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45B" w:rsidRDefault="005F1FBB">
      <w:pPr>
        <w:pStyle w:val="div"/>
        <w:spacing w:line="360" w:lineRule="auto"/>
        <w:jc w:val="center"/>
        <w:rPr>
          <w:rFonts w:ascii="黑体" w:eastAsia="黑体" w:hAnsi="黑体" w:cs="黑体"/>
          <w:kern w:val="0"/>
          <w:sz w:val="32"/>
          <w:szCs w:val="32"/>
        </w:rPr>
      </w:pPr>
      <w:r>
        <w:rPr>
          <w:rFonts w:ascii="黑体" w:eastAsia="黑体" w:hAnsi="黑体" w:cs="黑体"/>
          <w:b/>
          <w:bCs/>
          <w:kern w:val="0"/>
          <w:sz w:val="32"/>
          <w:szCs w:val="32"/>
        </w:rPr>
        <w:t>国投瑞银中高等级债券型证券投资基金</w:t>
      </w:r>
    </w:p>
    <w:p w:rsidR="00C4745B" w:rsidRDefault="005F1FBB">
      <w:pPr>
        <w:pStyle w:val="div"/>
        <w:spacing w:line="360" w:lineRule="auto"/>
        <w:jc w:val="center"/>
        <w:rPr>
          <w:rFonts w:eastAsia="Times New Roman"/>
          <w:kern w:val="0"/>
          <w:sz w:val="32"/>
          <w:szCs w:val="32"/>
        </w:rPr>
      </w:pPr>
      <w:r>
        <w:rPr>
          <w:rFonts w:ascii="黑体" w:eastAsia="黑体" w:hAnsi="黑体" w:cs="黑体"/>
          <w:b/>
          <w:bCs/>
          <w:kern w:val="0"/>
          <w:sz w:val="32"/>
          <w:szCs w:val="32"/>
        </w:rPr>
        <w:t>分红公告</w:t>
      </w:r>
    </w:p>
    <w:p w:rsidR="00C4745B" w:rsidRDefault="00C4745B">
      <w:pPr>
        <w:pStyle w:val="p"/>
        <w:spacing w:line="360" w:lineRule="auto"/>
        <w:jc w:val="left"/>
        <w:rPr>
          <w:rFonts w:eastAsia="Times New Roman"/>
          <w:kern w:val="0"/>
          <w:sz w:val="24"/>
          <w:szCs w:val="24"/>
        </w:rPr>
      </w:pPr>
    </w:p>
    <w:p w:rsidR="00C4745B" w:rsidRDefault="005F1FBB">
      <w:pPr>
        <w:pStyle w:val="div"/>
        <w:spacing w:line="360" w:lineRule="auto"/>
        <w:jc w:val="center"/>
        <w:rPr>
          <w:rFonts w:ascii="宋体" w:hAnsi="宋体" w:cs="宋体"/>
          <w:kern w:val="0"/>
          <w:sz w:val="24"/>
          <w:szCs w:val="24"/>
        </w:rPr>
      </w:pPr>
      <w:r>
        <w:rPr>
          <w:rFonts w:ascii="宋体" w:hAnsi="宋体" w:cs="宋体"/>
          <w:kern w:val="0"/>
          <w:sz w:val="24"/>
          <w:szCs w:val="24"/>
        </w:rPr>
        <w:t>公告送出日期：</w:t>
      </w:r>
      <w:r>
        <w:rPr>
          <w:rStyle w:val="custom"/>
          <w:rFonts w:ascii="宋体" w:hAnsi="宋体" w:cs="宋体"/>
          <w:kern w:val="0"/>
          <w:sz w:val="24"/>
          <w:szCs w:val="24"/>
        </w:rPr>
        <w:t>2024年1月10日</w:t>
      </w:r>
    </w:p>
    <w:p w:rsidR="00C4745B" w:rsidRDefault="00C4745B">
      <w:pPr>
        <w:pStyle w:val="p"/>
        <w:spacing w:line="360" w:lineRule="auto"/>
        <w:jc w:val="left"/>
        <w:rPr>
          <w:rFonts w:eastAsia="Times New Roman"/>
          <w:kern w:val="0"/>
          <w:sz w:val="24"/>
          <w:szCs w:val="24"/>
        </w:rPr>
      </w:pPr>
    </w:p>
    <w:p w:rsidR="00C4745B" w:rsidRDefault="005F1FBB">
      <w:pPr>
        <w:pStyle w:val="div"/>
        <w:spacing w:line="360" w:lineRule="auto"/>
        <w:ind w:firstLine="480"/>
        <w:jc w:val="left"/>
        <w:rPr>
          <w:rFonts w:eastAsia="Times New Roman"/>
          <w:kern w:val="0"/>
          <w:sz w:val="24"/>
          <w:szCs w:val="24"/>
        </w:rPr>
      </w:pPr>
      <w:r>
        <w:rPr>
          <w:rFonts w:ascii="宋体" w:hAnsi="宋体" w:cs="宋体"/>
          <w:b/>
          <w:bCs/>
          <w:kern w:val="0"/>
          <w:sz w:val="24"/>
          <w:szCs w:val="24"/>
        </w:rPr>
        <w:t>1 公告基本信息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1656"/>
        <w:gridCol w:w="2390"/>
        <w:gridCol w:w="2244"/>
        <w:gridCol w:w="2186"/>
      </w:tblGrid>
      <w:tr w:rsidR="00C4745B">
        <w:trPr>
          <w:jc w:val="center"/>
        </w:trPr>
        <w:tc>
          <w:tcPr>
            <w:tcW w:w="5062" w:type="dxa"/>
            <w:gridSpan w:val="2"/>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基金名称</w:t>
            </w:r>
          </w:p>
        </w:tc>
        <w:tc>
          <w:tcPr>
            <w:tcW w:w="4994" w:type="dxa"/>
            <w:gridSpan w:val="2"/>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国投瑞银中高等级债券型证券投资基金</w:t>
            </w:r>
          </w:p>
        </w:tc>
      </w:tr>
      <w:tr w:rsidR="00C4745B">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基金简称</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国投瑞银中高等级债券</w:t>
            </w:r>
          </w:p>
        </w:tc>
      </w:tr>
      <w:tr w:rsidR="00C4745B">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基金主代码</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000069</w:t>
            </w:r>
          </w:p>
        </w:tc>
      </w:tr>
      <w:tr w:rsidR="00C4745B">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基金合同生效日</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2013年5月14日</w:t>
            </w:r>
          </w:p>
        </w:tc>
      </w:tr>
      <w:tr w:rsidR="00C4745B">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基金管理人名称</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国投瑞银基金管理有限公司</w:t>
            </w:r>
          </w:p>
        </w:tc>
      </w:tr>
      <w:tr w:rsidR="00C4745B">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基金托管人名称</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中国银行股份有限公司</w:t>
            </w:r>
          </w:p>
        </w:tc>
      </w:tr>
      <w:tr w:rsidR="00C4745B">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公告依据</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《公开募集证券投资基金信息披露管理办法》及本基金的基金合同和招募说明书等</w:t>
            </w:r>
          </w:p>
        </w:tc>
      </w:tr>
      <w:tr w:rsidR="00C4745B">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收益分配基准日</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2023年12月31日</w:t>
            </w:r>
          </w:p>
        </w:tc>
      </w:tr>
      <w:tr w:rsidR="00C4745B">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有关年度分红次数的说明</w:t>
            </w:r>
          </w:p>
        </w:tc>
        <w:tc>
          <w:tcPr>
            <w:tcW w:w="4994" w:type="dxa"/>
            <w:gridSpan w:val="2"/>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2024年第1次分红</w:t>
            </w:r>
          </w:p>
        </w:tc>
      </w:tr>
      <w:tr w:rsidR="00C4745B">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下属基金份额的基金简称</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国投瑞银中高等级债券A</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国投瑞银中高等级债券C</w:t>
            </w:r>
          </w:p>
        </w:tc>
      </w:tr>
      <w:tr w:rsidR="00C4745B">
        <w:trPr>
          <w:jc w:val="center"/>
        </w:trPr>
        <w:tc>
          <w:tcPr>
            <w:tcW w:w="5062" w:type="dxa"/>
            <w:gridSpan w:val="2"/>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下属基金份额的交易代码</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000069</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0000</w:t>
            </w:r>
            <w:bookmarkStart w:id="0" w:name="_GoBack"/>
            <w:bookmarkEnd w:id="0"/>
            <w:r>
              <w:rPr>
                <w:rFonts w:ascii="宋体" w:hAnsi="宋体" w:cs="宋体"/>
                <w:color w:val="000000"/>
                <w:kern w:val="0"/>
                <w:szCs w:val="21"/>
              </w:rPr>
              <w:t>70</w:t>
            </w:r>
          </w:p>
        </w:tc>
      </w:tr>
      <w:tr w:rsidR="00C4745B">
        <w:trPr>
          <w:jc w:val="center"/>
        </w:trPr>
        <w:tc>
          <w:tcPr>
            <w:tcW w:w="2140" w:type="dxa"/>
            <w:vMerge w:val="restart"/>
            <w:tcBorders>
              <w:top w:val="single" w:sz="6" w:space="0" w:color="000000"/>
              <w:left w:val="single" w:sz="8"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截止基准日下属基金份额的相关指标</w:t>
            </w:r>
          </w:p>
        </w:tc>
        <w:tc>
          <w:tcPr>
            <w:tcW w:w="3073"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基准日下属基金份额份额净值(单位：元)</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1.124</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1.123</w:t>
            </w:r>
          </w:p>
        </w:tc>
      </w:tr>
      <w:tr w:rsidR="00C4745B">
        <w:trPr>
          <w:jc w:val="center"/>
        </w:trPr>
        <w:tc>
          <w:tcPr>
            <w:tcW w:w="0" w:type="auto"/>
            <w:vMerge/>
            <w:tcBorders>
              <w:top w:val="single" w:sz="8" w:space="0" w:color="000000"/>
              <w:left w:val="single" w:sz="8" w:space="0" w:color="000000"/>
              <w:bottom w:val="single" w:sz="8" w:space="0" w:color="000000"/>
              <w:right w:val="single" w:sz="6" w:space="0" w:color="000000"/>
            </w:tcBorders>
            <w:vAlign w:val="center"/>
            <w:hideMark/>
          </w:tcPr>
          <w:p w:rsidR="00C4745B" w:rsidRDefault="00C4745B">
            <w:pPr>
              <w:rPr>
                <w:rFonts w:ascii="宋体" w:hAnsi="宋体" w:cs="宋体"/>
                <w:color w:val="000000"/>
                <w:kern w:val="0"/>
                <w:szCs w:val="21"/>
              </w:rPr>
            </w:pPr>
          </w:p>
        </w:tc>
        <w:tc>
          <w:tcPr>
            <w:tcW w:w="3073"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基准日下属基金份额可供分配利润(单位：元)</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1,412,211.27</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211,496.57</w:t>
            </w:r>
          </w:p>
        </w:tc>
      </w:tr>
      <w:tr w:rsidR="00C4745B">
        <w:trPr>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C4745B" w:rsidRDefault="00C4745B">
            <w:pPr>
              <w:rPr>
                <w:rFonts w:ascii="宋体" w:hAnsi="宋体" w:cs="宋体"/>
                <w:color w:val="000000"/>
                <w:kern w:val="0"/>
                <w:szCs w:val="21"/>
              </w:rPr>
            </w:pPr>
          </w:p>
        </w:tc>
        <w:tc>
          <w:tcPr>
            <w:tcW w:w="3073"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截止基准日按照基金合同约定的分红比例计算的应分配金额(单位：元)</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Pr="00923616" w:rsidRDefault="005F1FBB">
            <w:pPr>
              <w:pStyle w:val="div"/>
              <w:widowControl/>
              <w:jc w:val="left"/>
              <w:rPr>
                <w:rFonts w:eastAsia="Times New Roman"/>
                <w:color w:val="000000"/>
                <w:kern w:val="0"/>
                <w:szCs w:val="21"/>
              </w:rPr>
            </w:pPr>
            <w:r w:rsidRPr="00923616">
              <w:rPr>
                <w:rFonts w:ascii="宋体" w:hAnsi="宋体" w:cs="宋体"/>
                <w:color w:val="000000"/>
                <w:kern w:val="0"/>
                <w:szCs w:val="21"/>
              </w:rPr>
              <w:t>706,105.64</w:t>
            </w:r>
          </w:p>
        </w:tc>
        <w:tc>
          <w:tcPr>
            <w:tcW w:w="2554" w:type="dxa"/>
            <w:tcBorders>
              <w:top w:val="single" w:sz="6" w:space="0" w:color="000000"/>
              <w:left w:val="single" w:sz="6" w:space="0" w:color="000000"/>
              <w:bottom w:val="single" w:sz="6" w:space="0" w:color="000000"/>
              <w:right w:val="single" w:sz="6" w:space="0" w:color="000000"/>
            </w:tcBorders>
            <w:tcMar>
              <w:top w:w="0" w:type="dxa"/>
              <w:left w:w="82" w:type="dxa"/>
              <w:bottom w:w="0" w:type="dxa"/>
              <w:right w:w="82" w:type="dxa"/>
            </w:tcMar>
            <w:hideMark/>
          </w:tcPr>
          <w:p w:rsidR="00C4745B" w:rsidRPr="00923616" w:rsidRDefault="005F1FBB">
            <w:pPr>
              <w:pStyle w:val="div"/>
              <w:widowControl/>
              <w:jc w:val="left"/>
              <w:rPr>
                <w:rFonts w:eastAsia="Times New Roman"/>
                <w:color w:val="000000"/>
                <w:kern w:val="0"/>
                <w:szCs w:val="21"/>
              </w:rPr>
            </w:pPr>
            <w:r w:rsidRPr="00923616">
              <w:rPr>
                <w:rFonts w:ascii="宋体" w:hAnsi="宋体" w:cs="宋体"/>
                <w:color w:val="000000"/>
                <w:kern w:val="0"/>
                <w:szCs w:val="21"/>
              </w:rPr>
              <w:t>105,748.29</w:t>
            </w:r>
          </w:p>
        </w:tc>
      </w:tr>
      <w:tr w:rsidR="00C4745B">
        <w:trPr>
          <w:jc w:val="center"/>
        </w:trPr>
        <w:tc>
          <w:tcPr>
            <w:tcW w:w="5062" w:type="dxa"/>
            <w:gridSpan w:val="2"/>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本次下属基金份额分红方案(单位：元/10份基金份额)</w:t>
            </w:r>
          </w:p>
        </w:tc>
        <w:tc>
          <w:tcPr>
            <w:tcW w:w="2554" w:type="dxa"/>
            <w:tcBorders>
              <w:top w:val="single" w:sz="6" w:space="0" w:color="000000"/>
              <w:left w:val="single" w:sz="6" w:space="0" w:color="000000"/>
              <w:bottom w:val="single" w:sz="8" w:space="0" w:color="000000"/>
              <w:right w:val="single" w:sz="6" w:space="0" w:color="000000"/>
            </w:tcBorders>
            <w:tcMar>
              <w:top w:w="0" w:type="dxa"/>
              <w:left w:w="82" w:type="dxa"/>
              <w:bottom w:w="0" w:type="dxa"/>
              <w:right w:w="82" w:type="dxa"/>
            </w:tcMar>
            <w:hideMark/>
          </w:tcPr>
          <w:p w:rsidR="00C4745B" w:rsidRPr="00923616" w:rsidRDefault="005F1FBB">
            <w:pPr>
              <w:pStyle w:val="div"/>
              <w:widowControl/>
              <w:jc w:val="left"/>
              <w:rPr>
                <w:rFonts w:eastAsia="Times New Roman"/>
                <w:color w:val="000000"/>
                <w:kern w:val="0"/>
                <w:szCs w:val="21"/>
              </w:rPr>
            </w:pPr>
            <w:r w:rsidRPr="00923616">
              <w:rPr>
                <w:rFonts w:ascii="宋体" w:hAnsi="宋体" w:cs="宋体"/>
                <w:color w:val="000000"/>
                <w:kern w:val="0"/>
                <w:szCs w:val="21"/>
              </w:rPr>
              <w:t>0.013</w:t>
            </w:r>
          </w:p>
        </w:tc>
        <w:tc>
          <w:tcPr>
            <w:tcW w:w="2554" w:type="dxa"/>
            <w:tcBorders>
              <w:top w:val="single" w:sz="6" w:space="0" w:color="000000"/>
              <w:left w:val="single" w:sz="6" w:space="0" w:color="000000"/>
              <w:bottom w:val="single" w:sz="8" w:space="0" w:color="000000"/>
              <w:right w:val="single" w:sz="6" w:space="0" w:color="000000"/>
            </w:tcBorders>
            <w:tcMar>
              <w:top w:w="0" w:type="dxa"/>
              <w:left w:w="82" w:type="dxa"/>
              <w:bottom w:w="0" w:type="dxa"/>
              <w:right w:w="82" w:type="dxa"/>
            </w:tcMar>
            <w:hideMark/>
          </w:tcPr>
          <w:p w:rsidR="00C4745B" w:rsidRPr="00923616" w:rsidRDefault="005F1FBB">
            <w:pPr>
              <w:pStyle w:val="div"/>
              <w:widowControl/>
              <w:jc w:val="left"/>
              <w:rPr>
                <w:rFonts w:eastAsia="Times New Roman"/>
                <w:color w:val="000000"/>
                <w:kern w:val="0"/>
                <w:szCs w:val="21"/>
              </w:rPr>
            </w:pPr>
            <w:r w:rsidRPr="00923616">
              <w:rPr>
                <w:rFonts w:ascii="宋体" w:hAnsi="宋体" w:cs="宋体"/>
                <w:color w:val="000000"/>
                <w:kern w:val="0"/>
                <w:szCs w:val="21"/>
              </w:rPr>
              <w:t>0.011</w:t>
            </w:r>
          </w:p>
        </w:tc>
      </w:tr>
    </w:tbl>
    <w:p w:rsidR="00C4745B" w:rsidRDefault="005F1FBB">
      <w:pPr>
        <w:pStyle w:val="div"/>
        <w:ind w:firstLine="420"/>
        <w:jc w:val="left"/>
        <w:rPr>
          <w:rFonts w:ascii="宋体" w:hAnsi="宋体" w:cs="宋体"/>
          <w:kern w:val="0"/>
          <w:szCs w:val="21"/>
        </w:rPr>
      </w:pPr>
      <w:r>
        <w:rPr>
          <w:rFonts w:ascii="宋体" w:hAnsi="宋体" w:cs="宋体"/>
          <w:kern w:val="0"/>
          <w:szCs w:val="21"/>
        </w:rPr>
        <w:t>注：在符合有关基金分红条件的前提下，本基金每类基金份额每年收益分配次数最多为12次，最少1次，每年收益分配比例不低于该年度该类基金份额已实现收益的90%；同时，在每月最后一个交易日，若本基金同一类别的每10份基金份额可供分配利润高于0.05 元（含），则在次月10个工作日之内对该类基金份额实施收益分配，每次分配比例不低于该类基金份额可供分配利润的50%。基金收益分配后两类基金份额净值不能低于面值：即基金收益分配基准日的两类基金份额净值减去该类基金份额每单位基金份额收益分配金额后不能低于面值。本基金本次分红符合基金合同相关规定。</w:t>
      </w:r>
    </w:p>
    <w:p w:rsidR="00C4745B" w:rsidRDefault="00C4745B">
      <w:pPr>
        <w:autoSpaceDE w:val="0"/>
        <w:autoSpaceDN w:val="0"/>
        <w:adjustRightInd w:val="0"/>
        <w:spacing w:line="360" w:lineRule="auto"/>
        <w:ind w:firstLineChars="200" w:firstLine="480"/>
        <w:jc w:val="center"/>
        <w:rPr>
          <w:rFonts w:ascii="宋体" w:hAnsi="宋体"/>
          <w:sz w:val="24"/>
          <w:szCs w:val="24"/>
        </w:rPr>
      </w:pPr>
    </w:p>
    <w:p w:rsidR="00C4745B" w:rsidRDefault="005F1FBB">
      <w:pPr>
        <w:pStyle w:val="div"/>
        <w:spacing w:line="360" w:lineRule="auto"/>
        <w:ind w:firstLine="480"/>
        <w:jc w:val="left"/>
        <w:rPr>
          <w:rFonts w:eastAsia="Times New Roman"/>
          <w:kern w:val="0"/>
          <w:sz w:val="24"/>
          <w:szCs w:val="24"/>
        </w:rPr>
      </w:pPr>
      <w:r>
        <w:rPr>
          <w:rFonts w:ascii="宋体" w:hAnsi="宋体" w:cs="宋体"/>
          <w:b/>
          <w:bCs/>
          <w:kern w:val="0"/>
          <w:sz w:val="24"/>
          <w:szCs w:val="24"/>
        </w:rPr>
        <w:t>2 与分红相关的其他信息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2866"/>
        <w:gridCol w:w="5610"/>
      </w:tblGrid>
      <w:tr w:rsidR="00C4745B">
        <w:trPr>
          <w:jc w:val="center"/>
        </w:trPr>
        <w:tc>
          <w:tcPr>
            <w:tcW w:w="3174" w:type="dxa"/>
            <w:tcBorders>
              <w:top w:val="single" w:sz="8"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权益登记日</w:t>
            </w:r>
          </w:p>
        </w:tc>
        <w:tc>
          <w:tcPr>
            <w:tcW w:w="6180" w:type="dxa"/>
            <w:tcBorders>
              <w:top w:val="single" w:sz="8"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2024年1月12日</w:t>
            </w:r>
          </w:p>
        </w:tc>
      </w:tr>
      <w:tr w:rsidR="00C4745B">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lastRenderedPageBreak/>
              <w:t>除息日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2024年1月12日</w:t>
            </w:r>
          </w:p>
        </w:tc>
      </w:tr>
      <w:tr w:rsidR="00C4745B">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现金红利发放日</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2024年1月16日</w:t>
            </w:r>
          </w:p>
        </w:tc>
      </w:tr>
      <w:tr w:rsidR="00C4745B">
        <w:trPr>
          <w:jc w:val="center"/>
        </w:trPr>
        <w:tc>
          <w:tcPr>
            <w:tcW w:w="3174" w:type="dxa"/>
            <w:tcBorders>
              <w:top w:val="single" w:sz="6" w:space="0" w:color="000000"/>
              <w:left w:val="single" w:sz="8" w:space="0" w:color="000000"/>
              <w:bottom w:val="single" w:sz="6"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分红对象</w:t>
            </w:r>
          </w:p>
        </w:tc>
        <w:tc>
          <w:tcPr>
            <w:tcW w:w="6180" w:type="dxa"/>
            <w:tcBorders>
              <w:top w:val="single" w:sz="6" w:space="0" w:color="000000"/>
              <w:left w:val="single" w:sz="6" w:space="0" w:color="000000"/>
              <w:bottom w:val="single" w:sz="6"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权益登记日在注册登记机构国投瑞银基金管理有限公司登记在册的本基金的全体基金份额持有人</w:t>
            </w:r>
          </w:p>
        </w:tc>
      </w:tr>
      <w:tr w:rsidR="00C4745B">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红利再投资相关事项的说明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对于选择红利再投资方式的投资者，将以2024年1月12日的基金份额净值为计算基准确定再投资份额，本基金注册登记机构将于2024年1月15日对红利再投资的基金份额进行确认。2024年1月16日起，投资者可以查询、 赎回红利再投资的份额。</w:t>
            </w:r>
          </w:p>
        </w:tc>
      </w:tr>
      <w:tr w:rsidR="00C4745B">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C4745B" w:rsidRDefault="005F1FBB">
            <w:pPr>
              <w:pStyle w:val="div"/>
              <w:widowControl/>
              <w:spacing w:before="306"/>
              <w:jc w:val="left"/>
              <w:rPr>
                <w:rFonts w:eastAsia="Times New Roman"/>
                <w:color w:val="000000"/>
                <w:kern w:val="0"/>
                <w:szCs w:val="21"/>
              </w:rPr>
            </w:pPr>
            <w:r>
              <w:rPr>
                <w:rFonts w:ascii="宋体" w:hAnsi="宋体" w:cs="宋体"/>
                <w:color w:val="000000"/>
                <w:kern w:val="0"/>
                <w:szCs w:val="21"/>
              </w:rPr>
              <w:t>税收相关事项的说明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根据财政部、国家税务总局的财税字〖2002〗128号《关于开放式证券投资基金有关税收问题的通知》，投资者(包括个人和机构投资者)从基金收益分配中取得的收入，暂不征收个人所得税和企业所得税。</w:t>
            </w:r>
          </w:p>
        </w:tc>
      </w:tr>
      <w:tr w:rsidR="00C4745B">
        <w:trPr>
          <w:jc w:val="center"/>
        </w:trPr>
        <w:tc>
          <w:tcPr>
            <w:tcW w:w="3174" w:type="dxa"/>
            <w:tcBorders>
              <w:top w:val="single" w:sz="6" w:space="0" w:color="000000"/>
              <w:left w:val="single" w:sz="8" w:space="0" w:color="000000"/>
              <w:bottom w:val="single" w:sz="8" w:space="0" w:color="000000"/>
              <w:right w:val="single" w:sz="6" w:space="0" w:color="000000"/>
            </w:tcBorders>
            <w:tcMar>
              <w:top w:w="0" w:type="dxa"/>
              <w:left w:w="85" w:type="dxa"/>
              <w:bottom w:w="0" w:type="dxa"/>
              <w:right w:w="82"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费用相关事项的说明</w:t>
            </w:r>
          </w:p>
        </w:tc>
        <w:tc>
          <w:tcPr>
            <w:tcW w:w="6180" w:type="dxa"/>
            <w:tcBorders>
              <w:top w:val="single" w:sz="6" w:space="0" w:color="000000"/>
              <w:left w:val="single" w:sz="6" w:space="0" w:color="000000"/>
              <w:bottom w:val="single" w:sz="8" w:space="0" w:color="000000"/>
              <w:right w:val="single" w:sz="8" w:space="0" w:color="000000"/>
            </w:tcBorders>
            <w:tcMar>
              <w:top w:w="0" w:type="dxa"/>
              <w:left w:w="82" w:type="dxa"/>
              <w:bottom w:w="0" w:type="dxa"/>
              <w:right w:w="85" w:type="dxa"/>
            </w:tcMar>
            <w:hideMark/>
          </w:tcPr>
          <w:p w:rsidR="00C4745B" w:rsidRDefault="005F1FBB">
            <w:pPr>
              <w:pStyle w:val="div"/>
              <w:widowControl/>
              <w:jc w:val="left"/>
              <w:rPr>
                <w:rFonts w:eastAsia="Times New Roman"/>
                <w:color w:val="000000"/>
                <w:kern w:val="0"/>
                <w:szCs w:val="21"/>
              </w:rPr>
            </w:pPr>
            <w:r>
              <w:rPr>
                <w:rFonts w:ascii="宋体" w:hAnsi="宋体" w:cs="宋体"/>
                <w:color w:val="000000"/>
                <w:kern w:val="0"/>
                <w:szCs w:val="21"/>
              </w:rPr>
              <w:t>本次分红免收分红手续费和红利再投资费用。选择红利再投资方式的投资者其红利再投资的基金份额免收申购费用。</w:t>
            </w:r>
          </w:p>
        </w:tc>
      </w:tr>
    </w:tbl>
    <w:p w:rsidR="00C4745B" w:rsidRDefault="005F1FBB">
      <w:pPr>
        <w:pStyle w:val="div"/>
        <w:ind w:firstLine="420"/>
        <w:jc w:val="left"/>
        <w:rPr>
          <w:rFonts w:ascii="宋体" w:hAnsi="宋体" w:cs="宋体"/>
          <w:kern w:val="0"/>
          <w:szCs w:val="21"/>
        </w:rPr>
      </w:pPr>
      <w:r>
        <w:rPr>
          <w:rFonts w:ascii="宋体" w:hAnsi="宋体" w:cs="宋体"/>
          <w:kern w:val="0"/>
          <w:szCs w:val="21"/>
        </w:rPr>
        <w:t>注：“现金红利发放日”是指现金红利款自基金托管账户划出的日期，非投资者实际收到现金红利款的日期。选择现金红利方式的投资者的红利款将于2024年1月16日(现金红利发放日)自基金托管账户划出。</w:t>
      </w:r>
    </w:p>
    <w:p w:rsidR="00C4745B" w:rsidRDefault="00C4745B">
      <w:pPr>
        <w:autoSpaceDE w:val="0"/>
        <w:autoSpaceDN w:val="0"/>
        <w:adjustRightInd w:val="0"/>
        <w:spacing w:line="360" w:lineRule="auto"/>
        <w:ind w:firstLineChars="200" w:firstLine="480"/>
        <w:jc w:val="center"/>
        <w:rPr>
          <w:rFonts w:ascii="宋体" w:hAnsi="宋体"/>
          <w:sz w:val="24"/>
          <w:szCs w:val="24"/>
        </w:rPr>
      </w:pPr>
    </w:p>
    <w:p w:rsidR="00C4745B" w:rsidRDefault="005F1FBB">
      <w:pPr>
        <w:pStyle w:val="div"/>
        <w:spacing w:line="360" w:lineRule="auto"/>
        <w:ind w:firstLine="480"/>
        <w:jc w:val="left"/>
        <w:rPr>
          <w:rFonts w:eastAsia="Times New Roman"/>
          <w:kern w:val="0"/>
          <w:sz w:val="24"/>
          <w:szCs w:val="24"/>
        </w:rPr>
      </w:pPr>
      <w:r>
        <w:rPr>
          <w:rFonts w:ascii="宋体" w:hAnsi="宋体" w:cs="宋体"/>
          <w:b/>
          <w:bCs/>
          <w:kern w:val="0"/>
          <w:sz w:val="24"/>
          <w:szCs w:val="24"/>
        </w:rPr>
        <w:t>3 其他需要提示的事项</w:t>
      </w:r>
    </w:p>
    <w:p w:rsidR="00C4745B" w:rsidRDefault="005F1FBB">
      <w:pPr>
        <w:pStyle w:val="div"/>
        <w:spacing w:line="360" w:lineRule="auto"/>
        <w:ind w:firstLine="480"/>
        <w:jc w:val="left"/>
        <w:rPr>
          <w:rFonts w:eastAsia="Times New Roman"/>
          <w:kern w:val="0"/>
          <w:sz w:val="24"/>
          <w:szCs w:val="24"/>
        </w:rPr>
      </w:pPr>
      <w:r>
        <w:rPr>
          <w:rFonts w:ascii="宋体" w:hAnsi="宋体" w:cs="宋体"/>
          <w:kern w:val="0"/>
          <w:sz w:val="24"/>
          <w:szCs w:val="24"/>
        </w:rPr>
        <w:t>(1)权益登记日（如该日为开放日）申请申购的基金份额不享有本次分红权益，权益登记日（如该日为开放日）申请赎回的基金份额享有本次分红权益。</w:t>
      </w:r>
    </w:p>
    <w:p w:rsidR="00C4745B" w:rsidRDefault="005F1FBB">
      <w:pPr>
        <w:pStyle w:val="div"/>
        <w:spacing w:line="360" w:lineRule="auto"/>
        <w:ind w:firstLine="480"/>
        <w:jc w:val="left"/>
        <w:rPr>
          <w:rFonts w:eastAsia="Times New Roman"/>
          <w:kern w:val="0"/>
          <w:sz w:val="24"/>
          <w:szCs w:val="24"/>
        </w:rPr>
      </w:pPr>
      <w:r>
        <w:rPr>
          <w:rFonts w:ascii="宋体" w:hAnsi="宋体" w:cs="宋体"/>
          <w:kern w:val="0"/>
          <w:sz w:val="24"/>
          <w:szCs w:val="24"/>
        </w:rPr>
        <w:t>(2)本基金默认的分红方式为现金分红。本次分红方式将以权益登记日注册登记系统记录的分红方式为准。</w:t>
      </w:r>
    </w:p>
    <w:p w:rsidR="00C4745B" w:rsidRDefault="005F1FBB">
      <w:pPr>
        <w:pStyle w:val="div"/>
        <w:spacing w:line="360" w:lineRule="auto"/>
        <w:ind w:firstLine="480"/>
        <w:jc w:val="left"/>
        <w:rPr>
          <w:rFonts w:ascii="宋体" w:hAnsi="宋体" w:cs="宋体"/>
          <w:kern w:val="0"/>
          <w:sz w:val="24"/>
          <w:szCs w:val="24"/>
        </w:rPr>
      </w:pPr>
      <w:r>
        <w:rPr>
          <w:rFonts w:ascii="宋体" w:hAnsi="宋体" w:cs="宋体"/>
          <w:kern w:val="0"/>
          <w:sz w:val="24"/>
          <w:szCs w:val="24"/>
        </w:rPr>
        <w:t>(3)持有人可登录本公司的网站或拨打本公司客服电话查询注册登记系统记录的分红方式。有意愿变更分红方式的持有人请务必在</w:t>
      </w:r>
      <w:r>
        <w:rPr>
          <w:rStyle w:val="custom"/>
          <w:rFonts w:ascii="宋体" w:hAnsi="宋体" w:cs="宋体"/>
          <w:kern w:val="0"/>
          <w:sz w:val="24"/>
          <w:szCs w:val="24"/>
        </w:rPr>
        <w:t>2024年1月11日</w:t>
      </w:r>
      <w:r>
        <w:rPr>
          <w:rFonts w:ascii="宋体" w:hAnsi="宋体" w:cs="宋体"/>
          <w:kern w:val="0"/>
          <w:sz w:val="24"/>
          <w:szCs w:val="24"/>
        </w:rPr>
        <w:t>前(含当日)到销售机构网点或通过销售机构提供的其他非现场交易方式修改分红方式。</w:t>
      </w:r>
    </w:p>
    <w:p w:rsidR="00C4745B" w:rsidRDefault="005F1FBB">
      <w:pPr>
        <w:pStyle w:val="div"/>
        <w:spacing w:line="360" w:lineRule="auto"/>
        <w:ind w:firstLine="480"/>
        <w:jc w:val="left"/>
        <w:rPr>
          <w:rFonts w:eastAsia="Times New Roman"/>
          <w:kern w:val="0"/>
          <w:sz w:val="24"/>
          <w:szCs w:val="24"/>
        </w:rPr>
      </w:pPr>
      <w:r>
        <w:rPr>
          <w:rFonts w:ascii="宋体" w:hAnsi="宋体" w:cs="宋体"/>
          <w:kern w:val="0"/>
          <w:sz w:val="24"/>
          <w:szCs w:val="24"/>
        </w:rPr>
        <w:t>(4)本次分红红利再投资部分的份额持有期将自</w:t>
      </w:r>
      <w:r>
        <w:rPr>
          <w:rStyle w:val="custom"/>
          <w:rFonts w:ascii="宋体" w:hAnsi="宋体" w:cs="宋体"/>
          <w:kern w:val="0"/>
          <w:sz w:val="24"/>
          <w:szCs w:val="24"/>
        </w:rPr>
        <w:t>2024年1月15日</w:t>
      </w:r>
      <w:r>
        <w:rPr>
          <w:rFonts w:ascii="宋体" w:hAnsi="宋体" w:cs="宋体"/>
          <w:kern w:val="0"/>
          <w:sz w:val="24"/>
          <w:szCs w:val="24"/>
        </w:rPr>
        <w:t>开始重新计算，本基金申请赎回且持有时间少于</w:t>
      </w:r>
      <w:r>
        <w:rPr>
          <w:rStyle w:val="custom"/>
          <w:rFonts w:ascii="宋体" w:hAnsi="宋体" w:cs="宋体"/>
          <w:kern w:val="0"/>
          <w:sz w:val="24"/>
          <w:szCs w:val="24"/>
        </w:rPr>
        <w:t>7</w:t>
      </w:r>
      <w:r>
        <w:rPr>
          <w:rFonts w:ascii="宋体" w:hAnsi="宋体" w:cs="宋体"/>
          <w:kern w:val="0"/>
          <w:sz w:val="24"/>
          <w:szCs w:val="24"/>
        </w:rPr>
        <w:t>日的红利再投资份额将收取</w:t>
      </w:r>
      <w:r>
        <w:rPr>
          <w:rStyle w:val="custom"/>
          <w:rFonts w:ascii="宋体" w:hAnsi="宋体" w:cs="宋体"/>
          <w:kern w:val="0"/>
          <w:sz w:val="24"/>
          <w:szCs w:val="24"/>
        </w:rPr>
        <w:t>1.5</w:t>
      </w:r>
      <w:r>
        <w:rPr>
          <w:rFonts w:ascii="宋体" w:hAnsi="宋体" w:cs="宋体"/>
          <w:kern w:val="0"/>
          <w:sz w:val="24"/>
          <w:szCs w:val="24"/>
        </w:rPr>
        <w:t>%的赎回费。</w:t>
      </w:r>
    </w:p>
    <w:p w:rsidR="00C4745B" w:rsidRDefault="005F1FBB">
      <w:pPr>
        <w:pStyle w:val="div"/>
        <w:spacing w:line="360" w:lineRule="auto"/>
        <w:ind w:firstLine="480"/>
        <w:jc w:val="left"/>
        <w:rPr>
          <w:rFonts w:eastAsia="Times New Roman"/>
          <w:kern w:val="0"/>
          <w:sz w:val="24"/>
          <w:szCs w:val="24"/>
        </w:rPr>
      </w:pPr>
      <w:r>
        <w:rPr>
          <w:rFonts w:ascii="宋体" w:hAnsi="宋体" w:cs="宋体"/>
          <w:kern w:val="0"/>
          <w:sz w:val="24"/>
          <w:szCs w:val="24"/>
        </w:rPr>
        <w:t>(5)咨询办法：</w:t>
      </w:r>
    </w:p>
    <w:p w:rsidR="00C4745B" w:rsidRDefault="005F1FBB">
      <w:pPr>
        <w:pStyle w:val="div"/>
        <w:spacing w:line="360" w:lineRule="auto"/>
        <w:ind w:firstLine="480"/>
        <w:jc w:val="left"/>
        <w:rPr>
          <w:rFonts w:eastAsia="Times New Roman"/>
          <w:kern w:val="0"/>
          <w:sz w:val="24"/>
          <w:szCs w:val="24"/>
        </w:rPr>
      </w:pPr>
      <w:r>
        <w:rPr>
          <w:rFonts w:ascii="宋体" w:hAnsi="宋体" w:cs="宋体"/>
          <w:kern w:val="0"/>
          <w:sz w:val="24"/>
          <w:szCs w:val="24"/>
        </w:rPr>
        <w:t>①登陆本公司网站http://www.ubssdic.com。</w:t>
      </w:r>
    </w:p>
    <w:p w:rsidR="00C4745B" w:rsidRDefault="005F1FBB">
      <w:pPr>
        <w:pStyle w:val="div"/>
        <w:spacing w:line="360" w:lineRule="auto"/>
        <w:ind w:firstLine="480"/>
        <w:jc w:val="left"/>
        <w:rPr>
          <w:rFonts w:eastAsia="Times New Roman"/>
          <w:kern w:val="0"/>
          <w:sz w:val="24"/>
          <w:szCs w:val="24"/>
        </w:rPr>
      </w:pPr>
      <w:r>
        <w:rPr>
          <w:rFonts w:ascii="宋体" w:hAnsi="宋体" w:cs="宋体"/>
          <w:kern w:val="0"/>
          <w:sz w:val="24"/>
          <w:szCs w:val="24"/>
        </w:rPr>
        <w:t>②拨打本公司客户服务热线：400-880-6868。</w:t>
      </w:r>
    </w:p>
    <w:p w:rsidR="00C4745B" w:rsidRDefault="005F1FBB">
      <w:pPr>
        <w:pStyle w:val="div"/>
        <w:spacing w:line="360" w:lineRule="auto"/>
        <w:ind w:firstLine="480"/>
        <w:jc w:val="left"/>
        <w:rPr>
          <w:rFonts w:eastAsia="Times New Roman"/>
          <w:kern w:val="0"/>
          <w:sz w:val="24"/>
          <w:szCs w:val="24"/>
        </w:rPr>
      </w:pPr>
      <w:r>
        <w:rPr>
          <w:rFonts w:ascii="宋体" w:hAnsi="宋体" w:cs="宋体"/>
          <w:kern w:val="0"/>
          <w:sz w:val="24"/>
          <w:szCs w:val="24"/>
        </w:rPr>
        <w:t>③向本基金的各销售网点查询。    </w:t>
      </w:r>
    </w:p>
    <w:p w:rsidR="00C4745B" w:rsidRDefault="00C4745B">
      <w:pPr>
        <w:pStyle w:val="p"/>
        <w:spacing w:line="360" w:lineRule="auto"/>
        <w:ind w:firstLine="480"/>
        <w:jc w:val="right"/>
        <w:rPr>
          <w:rFonts w:eastAsia="Times New Roman"/>
          <w:kern w:val="0"/>
          <w:sz w:val="24"/>
          <w:szCs w:val="24"/>
        </w:rPr>
      </w:pPr>
    </w:p>
    <w:p w:rsidR="00C4745B" w:rsidRDefault="00C4745B">
      <w:pPr>
        <w:pStyle w:val="p"/>
        <w:spacing w:line="360" w:lineRule="auto"/>
        <w:ind w:firstLine="480"/>
        <w:jc w:val="right"/>
        <w:rPr>
          <w:rFonts w:eastAsia="Times New Roman"/>
          <w:kern w:val="0"/>
          <w:sz w:val="24"/>
          <w:szCs w:val="24"/>
        </w:rPr>
      </w:pPr>
    </w:p>
    <w:p w:rsidR="00C4745B" w:rsidRDefault="005F1FBB">
      <w:pPr>
        <w:pStyle w:val="div"/>
        <w:spacing w:line="360" w:lineRule="auto"/>
        <w:ind w:firstLine="480"/>
        <w:jc w:val="right"/>
        <w:rPr>
          <w:rFonts w:eastAsia="Times New Roman"/>
          <w:kern w:val="0"/>
          <w:sz w:val="24"/>
          <w:szCs w:val="24"/>
        </w:rPr>
      </w:pPr>
      <w:r>
        <w:rPr>
          <w:rFonts w:ascii="宋体" w:hAnsi="宋体" w:cs="宋体"/>
          <w:kern w:val="0"/>
          <w:sz w:val="24"/>
          <w:szCs w:val="24"/>
        </w:rPr>
        <w:t>国投瑞银基金管理有限公司</w:t>
      </w:r>
    </w:p>
    <w:p w:rsidR="00C4745B" w:rsidRDefault="005F1FBB">
      <w:pPr>
        <w:pStyle w:val="div"/>
        <w:spacing w:line="360" w:lineRule="auto"/>
        <w:jc w:val="right"/>
        <w:rPr>
          <w:rFonts w:ascii="宋体" w:hAnsi="宋体" w:cs="宋体"/>
          <w:kern w:val="0"/>
          <w:sz w:val="24"/>
          <w:szCs w:val="24"/>
        </w:rPr>
      </w:pPr>
      <w:r>
        <w:rPr>
          <w:rFonts w:ascii="宋体" w:hAnsi="宋体" w:cs="宋体"/>
          <w:kern w:val="0"/>
          <w:sz w:val="24"/>
          <w:szCs w:val="24"/>
        </w:rPr>
        <w:t>2024年1月10日</w:t>
      </w:r>
    </w:p>
    <w:sectPr w:rsidR="00C4745B" w:rsidSect="0009412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702" w:rsidRDefault="003D2702">
      <w:r>
        <w:separator/>
      </w:r>
    </w:p>
  </w:endnote>
  <w:endnote w:type="continuationSeparator" w:id="0">
    <w:p w:rsidR="003D2702" w:rsidRDefault="003D2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5B" w:rsidRDefault="0009412E">
    <w:pPr>
      <w:pStyle w:val="a9"/>
      <w:jc w:val="center"/>
      <w:rPr>
        <w:color w:val="000000" w:themeColor="text1"/>
      </w:rPr>
    </w:pPr>
    <w:r>
      <w:rPr>
        <w:color w:val="000000" w:themeColor="text1"/>
      </w:rPr>
      <w:fldChar w:fldCharType="begin"/>
    </w:r>
    <w:r w:rsidR="005F1FBB">
      <w:rPr>
        <w:color w:val="000000" w:themeColor="text1"/>
      </w:rPr>
      <w:instrText>PAGE   \* MERGEFORMAT</w:instrText>
    </w:r>
    <w:r>
      <w:rPr>
        <w:color w:val="000000" w:themeColor="text1"/>
      </w:rPr>
      <w:fldChar w:fldCharType="separate"/>
    </w:r>
    <w:r w:rsidR="007B25F6" w:rsidRPr="007B25F6">
      <w:rPr>
        <w:noProof/>
        <w:color w:val="000000" w:themeColor="text1"/>
        <w:lang w:val="zh-CN"/>
      </w:rPr>
      <w:t>2</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702" w:rsidRDefault="003D2702">
      <w:r>
        <w:separator/>
      </w:r>
    </w:p>
  </w:footnote>
  <w:footnote w:type="continuationSeparator" w:id="0">
    <w:p w:rsidR="003D2702" w:rsidRDefault="003D2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12E"/>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2702"/>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1FB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25F6"/>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61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45B"/>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4545"/>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12E"/>
    <w:pPr>
      <w:widowControl w:val="0"/>
      <w:jc w:val="both"/>
    </w:pPr>
    <w:rPr>
      <w:kern w:val="2"/>
      <w:sz w:val="21"/>
      <w:lang w:eastAsia="zh-CN"/>
    </w:rPr>
  </w:style>
  <w:style w:type="paragraph" w:styleId="1">
    <w:name w:val="heading 1"/>
    <w:basedOn w:val="a"/>
    <w:next w:val="a"/>
    <w:link w:val="1Char"/>
    <w:qFormat/>
    <w:rsid w:val="0009412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09412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9412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412E"/>
    <w:pPr>
      <w:ind w:firstLineChars="200" w:firstLine="420"/>
    </w:pPr>
  </w:style>
  <w:style w:type="paragraph" w:styleId="a4">
    <w:name w:val="Document Map"/>
    <w:basedOn w:val="a"/>
    <w:qFormat/>
    <w:rsid w:val="0009412E"/>
    <w:pPr>
      <w:shd w:val="clear" w:color="auto" w:fill="000080"/>
    </w:pPr>
  </w:style>
  <w:style w:type="paragraph" w:styleId="a5">
    <w:name w:val="annotation text"/>
    <w:basedOn w:val="a"/>
    <w:link w:val="Char"/>
    <w:qFormat/>
    <w:rsid w:val="0009412E"/>
    <w:pPr>
      <w:jc w:val="left"/>
    </w:pPr>
  </w:style>
  <w:style w:type="paragraph" w:styleId="a6">
    <w:name w:val="Body Text"/>
    <w:basedOn w:val="a"/>
    <w:link w:val="Char0"/>
    <w:qFormat/>
    <w:rsid w:val="0009412E"/>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09412E"/>
    <w:pPr>
      <w:ind w:leftChars="400" w:left="840"/>
    </w:pPr>
  </w:style>
  <w:style w:type="paragraph" w:styleId="a7">
    <w:name w:val="Plain Text"/>
    <w:basedOn w:val="a"/>
    <w:qFormat/>
    <w:rsid w:val="0009412E"/>
    <w:pPr>
      <w:adjustRightInd w:val="0"/>
      <w:spacing w:line="312" w:lineRule="atLeast"/>
      <w:textAlignment w:val="baseline"/>
    </w:pPr>
    <w:rPr>
      <w:rFonts w:ascii="宋体" w:hAnsi="Courier New"/>
      <w:kern w:val="0"/>
    </w:rPr>
  </w:style>
  <w:style w:type="paragraph" w:styleId="20">
    <w:name w:val="Body Text Indent 2"/>
    <w:basedOn w:val="a"/>
    <w:qFormat/>
    <w:rsid w:val="0009412E"/>
    <w:pPr>
      <w:spacing w:line="360" w:lineRule="auto"/>
      <w:ind w:firstLine="425"/>
    </w:pPr>
    <w:rPr>
      <w:rFonts w:ascii="仿宋_GB2312" w:eastAsia="仿宋_GB2312"/>
      <w:sz w:val="28"/>
    </w:rPr>
  </w:style>
  <w:style w:type="paragraph" w:styleId="a8">
    <w:name w:val="Balloon Text"/>
    <w:basedOn w:val="a"/>
    <w:qFormat/>
    <w:rsid w:val="0009412E"/>
    <w:rPr>
      <w:sz w:val="18"/>
    </w:rPr>
  </w:style>
  <w:style w:type="paragraph" w:styleId="a9">
    <w:name w:val="footer"/>
    <w:basedOn w:val="a"/>
    <w:link w:val="Char1"/>
    <w:uiPriority w:val="99"/>
    <w:qFormat/>
    <w:rsid w:val="0009412E"/>
    <w:pPr>
      <w:tabs>
        <w:tab w:val="center" w:pos="4153"/>
        <w:tab w:val="right" w:pos="8306"/>
      </w:tabs>
      <w:snapToGrid w:val="0"/>
      <w:jc w:val="left"/>
    </w:pPr>
    <w:rPr>
      <w:sz w:val="18"/>
    </w:rPr>
  </w:style>
  <w:style w:type="paragraph" w:styleId="aa">
    <w:name w:val="header"/>
    <w:basedOn w:val="a"/>
    <w:link w:val="Char2"/>
    <w:uiPriority w:val="99"/>
    <w:qFormat/>
    <w:rsid w:val="0009412E"/>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09412E"/>
    <w:pPr>
      <w:tabs>
        <w:tab w:val="right" w:leader="dot" w:pos="8296"/>
      </w:tabs>
      <w:spacing w:line="360" w:lineRule="auto"/>
    </w:pPr>
  </w:style>
  <w:style w:type="paragraph" w:styleId="ab">
    <w:name w:val="footnote text"/>
    <w:basedOn w:val="a"/>
    <w:qFormat/>
    <w:rsid w:val="0009412E"/>
    <w:pPr>
      <w:snapToGrid w:val="0"/>
      <w:jc w:val="left"/>
    </w:pPr>
    <w:rPr>
      <w:sz w:val="18"/>
    </w:rPr>
  </w:style>
  <w:style w:type="paragraph" w:styleId="31">
    <w:name w:val="Body Text Indent 3"/>
    <w:basedOn w:val="a"/>
    <w:qFormat/>
    <w:rsid w:val="0009412E"/>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09412E"/>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09412E"/>
    <w:pPr>
      <w:spacing w:before="240" w:after="60"/>
      <w:jc w:val="center"/>
      <w:outlineLvl w:val="0"/>
    </w:pPr>
    <w:rPr>
      <w:rFonts w:ascii="Cambria" w:hAnsi="Cambria"/>
      <w:b/>
      <w:sz w:val="32"/>
      <w:lang w:val="zh-CN"/>
    </w:rPr>
  </w:style>
  <w:style w:type="paragraph" w:styleId="ae">
    <w:name w:val="annotation subject"/>
    <w:basedOn w:val="a5"/>
    <w:next w:val="a5"/>
    <w:qFormat/>
    <w:rsid w:val="0009412E"/>
    <w:rPr>
      <w:b/>
    </w:rPr>
  </w:style>
  <w:style w:type="character" w:styleId="af">
    <w:name w:val="page number"/>
    <w:basedOn w:val="a0"/>
    <w:rsid w:val="0009412E"/>
  </w:style>
  <w:style w:type="character" w:styleId="af0">
    <w:name w:val="Hyperlink"/>
    <w:qFormat/>
    <w:rsid w:val="0009412E"/>
    <w:rPr>
      <w:color w:val="0000FF"/>
      <w:u w:val="single"/>
    </w:rPr>
  </w:style>
  <w:style w:type="character" w:styleId="af1">
    <w:name w:val="annotation reference"/>
    <w:rsid w:val="0009412E"/>
    <w:rPr>
      <w:sz w:val="21"/>
    </w:rPr>
  </w:style>
  <w:style w:type="character" w:styleId="af2">
    <w:name w:val="footnote reference"/>
    <w:rsid w:val="0009412E"/>
    <w:rPr>
      <w:vertAlign w:val="superscript"/>
    </w:rPr>
  </w:style>
  <w:style w:type="character" w:customStyle="1" w:styleId="Char0">
    <w:name w:val="正文文本 Char"/>
    <w:link w:val="a6"/>
    <w:rsid w:val="0009412E"/>
    <w:rPr>
      <w:rFonts w:ascii="宋体"/>
      <w:lang w:val="zh-CN" w:eastAsia="zh-CN"/>
    </w:rPr>
  </w:style>
  <w:style w:type="character" w:customStyle="1" w:styleId="unnamed11">
    <w:name w:val="unnamed11"/>
    <w:rsid w:val="0009412E"/>
    <w:rPr>
      <w:rFonts w:ascii="宋体" w:eastAsia="宋体" w:hAnsi="宋体" w:hint="eastAsia"/>
      <w:sz w:val="18"/>
    </w:rPr>
  </w:style>
  <w:style w:type="character" w:customStyle="1" w:styleId="Char3">
    <w:name w:val="标题 Char"/>
    <w:link w:val="ad"/>
    <w:rsid w:val="0009412E"/>
    <w:rPr>
      <w:rFonts w:ascii="Cambria" w:hAnsi="Cambria"/>
      <w:b/>
      <w:kern w:val="2"/>
      <w:sz w:val="32"/>
      <w:lang w:val="zh-CN" w:eastAsia="zh-CN"/>
    </w:rPr>
  </w:style>
  <w:style w:type="character" w:customStyle="1" w:styleId="Char2">
    <w:name w:val="页眉 Char"/>
    <w:link w:val="aa"/>
    <w:uiPriority w:val="99"/>
    <w:qFormat/>
    <w:rsid w:val="0009412E"/>
    <w:rPr>
      <w:kern w:val="2"/>
      <w:sz w:val="18"/>
    </w:rPr>
  </w:style>
  <w:style w:type="character" w:customStyle="1" w:styleId="read">
    <w:name w:val="read"/>
    <w:basedOn w:val="a0"/>
    <w:qFormat/>
    <w:rsid w:val="0009412E"/>
  </w:style>
  <w:style w:type="paragraph" w:customStyle="1" w:styleId="CharChar">
    <w:name w:val="Char Char"/>
    <w:basedOn w:val="a"/>
    <w:qFormat/>
    <w:rsid w:val="0009412E"/>
  </w:style>
  <w:style w:type="paragraph" w:customStyle="1" w:styleId="Default">
    <w:name w:val="Default"/>
    <w:qFormat/>
    <w:rsid w:val="0009412E"/>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09412E"/>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09412E"/>
    <w:pPr>
      <w:widowControl/>
      <w:numPr>
        <w:numId w:val="1"/>
      </w:numPr>
      <w:jc w:val="left"/>
    </w:pPr>
    <w:rPr>
      <w:kern w:val="0"/>
      <w:sz w:val="24"/>
    </w:rPr>
  </w:style>
  <w:style w:type="paragraph" w:customStyle="1" w:styleId="msonormal1">
    <w:name w:val="msonormal1"/>
    <w:qFormat/>
    <w:rsid w:val="0009412E"/>
    <w:pPr>
      <w:widowControl w:val="0"/>
      <w:jc w:val="both"/>
    </w:pPr>
    <w:rPr>
      <w:kern w:val="2"/>
      <w:sz w:val="21"/>
      <w:lang w:eastAsia="zh-CN"/>
    </w:rPr>
  </w:style>
  <w:style w:type="paragraph" w:customStyle="1" w:styleId="af3">
    <w:name w:val="正文正文"/>
    <w:basedOn w:val="a"/>
    <w:qFormat/>
    <w:rsid w:val="0009412E"/>
    <w:pPr>
      <w:spacing w:afterLines="25" w:line="360" w:lineRule="auto"/>
      <w:ind w:firstLineChars="200" w:firstLine="200"/>
    </w:pPr>
    <w:rPr>
      <w:sz w:val="24"/>
    </w:rPr>
  </w:style>
  <w:style w:type="paragraph" w:customStyle="1" w:styleId="Char4">
    <w:name w:val="Char"/>
    <w:basedOn w:val="a"/>
    <w:qFormat/>
    <w:rsid w:val="0009412E"/>
  </w:style>
  <w:style w:type="paragraph" w:customStyle="1" w:styleId="Char10">
    <w:name w:val="Char1"/>
    <w:basedOn w:val="a"/>
    <w:qFormat/>
    <w:rsid w:val="0009412E"/>
  </w:style>
  <w:style w:type="paragraph" w:customStyle="1" w:styleId="CharCharChar">
    <w:name w:val="Char Char Char"/>
    <w:basedOn w:val="a"/>
    <w:qFormat/>
    <w:rsid w:val="0009412E"/>
  </w:style>
  <w:style w:type="paragraph" w:customStyle="1" w:styleId="InfoBlue">
    <w:name w:val="InfoBlue"/>
    <w:basedOn w:val="a"/>
    <w:next w:val="a6"/>
    <w:qFormat/>
    <w:rsid w:val="0009412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09412E"/>
    <w:pPr>
      <w:tabs>
        <w:tab w:val="left" w:pos="360"/>
      </w:tabs>
    </w:pPr>
  </w:style>
  <w:style w:type="paragraph" w:customStyle="1" w:styleId="CharChar1">
    <w:name w:val="Char Char1"/>
    <w:basedOn w:val="a"/>
    <w:qFormat/>
    <w:rsid w:val="0009412E"/>
  </w:style>
  <w:style w:type="paragraph" w:customStyle="1" w:styleId="af4">
    <w:name w:val="正文所"/>
    <w:basedOn w:val="a"/>
    <w:qFormat/>
    <w:rsid w:val="0009412E"/>
    <w:pPr>
      <w:spacing w:line="360" w:lineRule="auto"/>
      <w:ind w:firstLineChars="200" w:firstLine="420"/>
    </w:pPr>
    <w:rPr>
      <w:rFonts w:ascii="宋体"/>
    </w:rPr>
  </w:style>
  <w:style w:type="paragraph" w:customStyle="1" w:styleId="11">
    <w:name w:val="修订1"/>
    <w:hidden/>
    <w:uiPriority w:val="99"/>
    <w:semiHidden/>
    <w:qFormat/>
    <w:rsid w:val="0009412E"/>
    <w:rPr>
      <w:kern w:val="2"/>
      <w:sz w:val="21"/>
      <w:lang w:eastAsia="zh-CN"/>
    </w:rPr>
  </w:style>
  <w:style w:type="character" w:customStyle="1" w:styleId="1Char">
    <w:name w:val="标题 1 Char"/>
    <w:link w:val="1"/>
    <w:qFormat/>
    <w:rsid w:val="0009412E"/>
    <w:rPr>
      <w:rFonts w:ascii="宋体"/>
      <w:b/>
      <w:color w:val="000000"/>
      <w:sz w:val="24"/>
    </w:rPr>
  </w:style>
  <w:style w:type="character" w:customStyle="1" w:styleId="Char">
    <w:name w:val="批注文字 Char"/>
    <w:link w:val="a5"/>
    <w:qFormat/>
    <w:rsid w:val="0009412E"/>
    <w:rPr>
      <w:kern w:val="2"/>
      <w:sz w:val="21"/>
    </w:rPr>
  </w:style>
  <w:style w:type="paragraph" w:customStyle="1" w:styleId="CharChar2">
    <w:name w:val="Char Char2"/>
    <w:basedOn w:val="a"/>
    <w:qFormat/>
    <w:rsid w:val="0009412E"/>
  </w:style>
  <w:style w:type="paragraph" w:customStyle="1" w:styleId="CharChar3">
    <w:name w:val="Char Char3"/>
    <w:basedOn w:val="a"/>
    <w:qFormat/>
    <w:rsid w:val="0009412E"/>
  </w:style>
  <w:style w:type="paragraph" w:customStyle="1" w:styleId="Char20">
    <w:name w:val="Char2"/>
    <w:basedOn w:val="a"/>
    <w:qFormat/>
    <w:rsid w:val="0009412E"/>
  </w:style>
  <w:style w:type="paragraph" w:customStyle="1" w:styleId="CharCharChar1">
    <w:name w:val="Char Char Char1"/>
    <w:basedOn w:val="a"/>
    <w:qFormat/>
    <w:rsid w:val="0009412E"/>
  </w:style>
  <w:style w:type="paragraph" w:customStyle="1" w:styleId="CharCharCharChar1">
    <w:name w:val="Char Char Char Char1"/>
    <w:basedOn w:val="a"/>
    <w:qFormat/>
    <w:rsid w:val="0009412E"/>
    <w:pPr>
      <w:tabs>
        <w:tab w:val="left" w:pos="360"/>
      </w:tabs>
    </w:pPr>
  </w:style>
  <w:style w:type="paragraph" w:customStyle="1" w:styleId="CharChar11">
    <w:name w:val="Char Char11"/>
    <w:basedOn w:val="a"/>
    <w:qFormat/>
    <w:rsid w:val="0009412E"/>
  </w:style>
  <w:style w:type="paragraph" w:customStyle="1" w:styleId="CharChar4">
    <w:name w:val="Char Char4"/>
    <w:basedOn w:val="a"/>
    <w:qFormat/>
    <w:rsid w:val="0009412E"/>
  </w:style>
  <w:style w:type="paragraph" w:styleId="af5">
    <w:name w:val="List Paragraph"/>
    <w:basedOn w:val="a"/>
    <w:uiPriority w:val="34"/>
    <w:qFormat/>
    <w:rsid w:val="0009412E"/>
    <w:pPr>
      <w:ind w:firstLineChars="200" w:firstLine="420"/>
    </w:pPr>
  </w:style>
  <w:style w:type="paragraph" w:customStyle="1" w:styleId="CharChar12">
    <w:name w:val="Char Char12"/>
    <w:basedOn w:val="a"/>
    <w:qFormat/>
    <w:rsid w:val="0009412E"/>
  </w:style>
  <w:style w:type="paragraph" w:customStyle="1" w:styleId="Char30">
    <w:name w:val="Char3"/>
    <w:basedOn w:val="a"/>
    <w:qFormat/>
    <w:rsid w:val="0009412E"/>
  </w:style>
  <w:style w:type="paragraph" w:customStyle="1" w:styleId="CharChar13">
    <w:name w:val="Char Char13"/>
    <w:basedOn w:val="a"/>
    <w:qFormat/>
    <w:rsid w:val="0009412E"/>
  </w:style>
  <w:style w:type="paragraph" w:customStyle="1" w:styleId="Char40">
    <w:name w:val="Char4"/>
    <w:basedOn w:val="a"/>
    <w:qFormat/>
    <w:rsid w:val="0009412E"/>
  </w:style>
  <w:style w:type="paragraph" w:customStyle="1" w:styleId="CharChar14">
    <w:name w:val="Char Char14"/>
    <w:basedOn w:val="a"/>
    <w:qFormat/>
    <w:rsid w:val="0009412E"/>
  </w:style>
  <w:style w:type="paragraph" w:customStyle="1" w:styleId="Char5">
    <w:name w:val="Char5"/>
    <w:basedOn w:val="a"/>
    <w:qFormat/>
    <w:rsid w:val="0009412E"/>
  </w:style>
  <w:style w:type="paragraph" w:customStyle="1" w:styleId="CharChar5">
    <w:name w:val="Char Char5"/>
    <w:basedOn w:val="a"/>
    <w:qFormat/>
    <w:rsid w:val="0009412E"/>
  </w:style>
  <w:style w:type="character" w:customStyle="1" w:styleId="Char1">
    <w:name w:val="页脚 Char"/>
    <w:basedOn w:val="a0"/>
    <w:link w:val="a9"/>
    <w:uiPriority w:val="99"/>
    <w:qFormat/>
    <w:rsid w:val="0009412E"/>
    <w:rPr>
      <w:kern w:val="2"/>
      <w:sz w:val="18"/>
    </w:rPr>
  </w:style>
  <w:style w:type="paragraph" w:customStyle="1" w:styleId="div">
    <w:name w:val="div"/>
    <w:basedOn w:val="a"/>
    <w:rsid w:val="0009412E"/>
  </w:style>
  <w:style w:type="paragraph" w:customStyle="1" w:styleId="p">
    <w:name w:val="p"/>
    <w:basedOn w:val="a"/>
    <w:rsid w:val="0009412E"/>
  </w:style>
  <w:style w:type="character" w:customStyle="1" w:styleId="custom">
    <w:name w:val="custom"/>
    <w:basedOn w:val="a0"/>
    <w:rsid w:val="0009412E"/>
  </w:style>
  <w:style w:type="table" w:customStyle="1" w:styleId="table">
    <w:name w:val="table"/>
    <w:basedOn w:val="a1"/>
    <w:rsid w:val="0009412E"/>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B01C-BB47-4E56-A9A9-F8C8E5ECEA73}">
  <ds:schemaRefs>
    <ds:schemaRef ds:uri="http://schemas.openxmlformats.org/officeDocument/2006/bibliography"/>
  </ds:schemaRefs>
</ds:datastoreItem>
</file>

<file path=customXml/itemProps2.xml><?xml version="1.0" encoding="utf-8"?>
<ds:datastoreItem xmlns:ds="http://schemas.openxmlformats.org/officeDocument/2006/customXml" ds:itemID="{4C9ADB6D-AFBB-4100-A291-4BA84B90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1468</Characters>
  <Application>Microsoft Office Word</Application>
  <DocSecurity>4</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2024-01-09T16:01:00Z</dcterms:created>
  <dcterms:modified xsi:type="dcterms:W3CDTF">2024-01-09T16:01:00Z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