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Default="00076CB4">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Pr>
          <w:rFonts w:ascii="黑体" w:eastAsia="黑体" w:hAnsi="黑体" w:cs="Arial" w:hint="eastAsia"/>
          <w:b/>
          <w:color w:val="000000"/>
          <w:kern w:val="0"/>
          <w:sz w:val="30"/>
          <w:szCs w:val="30"/>
        </w:rPr>
        <w:t>关于旗下部分基金</w:t>
      </w:r>
      <w:r w:rsidR="0013056B">
        <w:rPr>
          <w:rFonts w:ascii="黑体" w:eastAsia="黑体" w:hAnsi="黑体" w:cs="Arial" w:hint="eastAsia"/>
          <w:b/>
          <w:color w:val="000000"/>
          <w:kern w:val="0"/>
          <w:sz w:val="30"/>
          <w:szCs w:val="30"/>
        </w:rPr>
        <w:t>增加西安银行股份有限公司为</w:t>
      </w:r>
      <w:r w:rsidR="0013056B">
        <w:rPr>
          <w:rFonts w:ascii="黑体" w:eastAsia="黑体" w:hAnsi="黑体" w:cs="Arial"/>
          <w:b/>
          <w:color w:val="000000"/>
          <w:kern w:val="0"/>
          <w:sz w:val="30"/>
          <w:szCs w:val="30"/>
        </w:rPr>
        <w:t>销售</w:t>
      </w:r>
      <w:bookmarkStart w:id="0" w:name="_GoBack"/>
      <w:bookmarkEnd w:id="0"/>
      <w:r>
        <w:rPr>
          <w:rFonts w:ascii="黑体" w:eastAsia="黑体" w:hAnsi="黑体" w:cs="Arial" w:hint="eastAsia"/>
          <w:b/>
          <w:color w:val="000000"/>
          <w:kern w:val="0"/>
          <w:sz w:val="30"/>
          <w:szCs w:val="30"/>
        </w:rPr>
        <w:t>机构并参加其费率优惠活动的公告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根据前海开源基金管理有限公司（以下简称“本公司”）与</w:t>
      </w:r>
      <w:r>
        <w:rPr>
          <w:rFonts w:ascii="宋体" w:hAnsi="宋体" w:cs="Arial"/>
          <w:color w:val="000000" w:themeColor="text1"/>
          <w:kern w:val="0"/>
          <w:sz w:val="24"/>
          <w:szCs w:val="24"/>
        </w:rPr>
        <w:t>西安银行股份有限公司</w:t>
      </w:r>
      <w:r>
        <w:rPr>
          <w:rFonts w:ascii="宋体" w:hAnsi="宋体" w:cs="Arial"/>
          <w:color w:val="000000"/>
          <w:kern w:val="0"/>
          <w:sz w:val="24"/>
          <w:szCs w:val="24"/>
        </w:rPr>
        <w:t>（以下简称“</w:t>
      </w:r>
      <w:r>
        <w:rPr>
          <w:rFonts w:ascii="宋体" w:hAnsi="宋体" w:cs="Arial"/>
          <w:color w:val="000000" w:themeColor="text1"/>
          <w:kern w:val="0"/>
          <w:sz w:val="24"/>
          <w:szCs w:val="24"/>
        </w:rPr>
        <w:t>西安银行</w:t>
      </w:r>
      <w:r>
        <w:rPr>
          <w:rFonts w:ascii="宋体" w:hAnsi="宋体" w:cs="Arial"/>
          <w:color w:val="000000"/>
          <w:kern w:val="0"/>
          <w:sz w:val="24"/>
          <w:szCs w:val="24"/>
        </w:rPr>
        <w:t>”）签署的基金销售</w:t>
      </w:r>
      <w:r>
        <w:rPr>
          <w:rFonts w:ascii="宋体" w:hAnsi="宋体" w:cs="Arial" w:hint="eastAsia"/>
          <w:color w:val="000000"/>
          <w:kern w:val="0"/>
          <w:sz w:val="24"/>
          <w:szCs w:val="24"/>
        </w:rPr>
        <w:t>服务</w:t>
      </w:r>
      <w:r>
        <w:rPr>
          <w:rFonts w:ascii="宋体" w:hAnsi="宋体" w:cs="Arial"/>
          <w:color w:val="000000"/>
          <w:kern w:val="0"/>
          <w:sz w:val="24"/>
          <w:szCs w:val="24"/>
        </w:rPr>
        <w:t>协议，</w:t>
      </w:r>
      <w:r>
        <w:rPr>
          <w:rFonts w:ascii="宋体" w:hAnsi="宋体" w:cs="Arial" w:hint="eastAsia"/>
          <w:color w:val="000000"/>
          <w:kern w:val="0"/>
          <w:sz w:val="24"/>
          <w:szCs w:val="24"/>
        </w:rPr>
        <w:t>自</w:t>
      </w:r>
      <w:r>
        <w:rPr>
          <w:rFonts w:ascii="宋体" w:hAnsi="宋体" w:cs="Arial"/>
          <w:color w:val="000000" w:themeColor="text1"/>
          <w:kern w:val="0"/>
          <w:sz w:val="24"/>
          <w:szCs w:val="24"/>
        </w:rPr>
        <w:t>2024年1月8日</w:t>
      </w:r>
      <w:r>
        <w:rPr>
          <w:rFonts w:ascii="宋体" w:hAnsi="宋体" w:cs="Arial" w:hint="eastAsia"/>
          <w:color w:val="000000"/>
          <w:kern w:val="0"/>
          <w:sz w:val="24"/>
          <w:szCs w:val="24"/>
        </w:rPr>
        <w:t>起，</w:t>
      </w:r>
      <w:r>
        <w:rPr>
          <w:rFonts w:ascii="宋体" w:hAnsi="宋体" w:cs="Arial"/>
          <w:color w:val="000000" w:themeColor="text1"/>
          <w:kern w:val="0"/>
          <w:sz w:val="24"/>
          <w:szCs w:val="24"/>
        </w:rPr>
        <w:t>西安银行</w:t>
      </w:r>
      <w:r>
        <w:rPr>
          <w:rFonts w:ascii="宋体" w:hAnsi="宋体" w:cs="Arial" w:hint="eastAsia"/>
          <w:color w:val="000000"/>
          <w:kern w:val="0"/>
          <w:sz w:val="24"/>
          <w:szCs w:val="24"/>
        </w:rPr>
        <w:t>将销售本公司旗下部分开放式证券投资基金。现将有关事项公告如下：</w:t>
      </w:r>
    </w:p>
    <w:p w:rsidR="005623FC" w:rsidRDefault="00076CB4" w:rsidP="0025420D">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一、适用基金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164"/>
        <w:gridCol w:w="6780"/>
      </w:tblGrid>
      <w:tr w:rsidR="005623FC">
        <w:trPr>
          <w:trHeight w:val="285"/>
        </w:trPr>
        <w:tc>
          <w:tcPr>
            <w:tcW w:w="339" w:type="pct"/>
            <w:shd w:val="clear" w:color="auto" w:fill="auto"/>
            <w:noWrap/>
            <w:vAlign w:val="center"/>
          </w:tcPr>
          <w:p w:rsidR="005623FC" w:rsidRDefault="00076CB4">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683" w:type="pct"/>
            <w:shd w:val="clear" w:color="auto" w:fill="auto"/>
            <w:noWrap/>
            <w:vAlign w:val="center"/>
          </w:tcPr>
          <w:p w:rsidR="005623FC" w:rsidRDefault="00076CB4">
            <w:pPr>
              <w:widowControl/>
              <w:jc w:val="center"/>
              <w:rPr>
                <w:rFonts w:ascii="宋体" w:hAnsi="宋体" w:cs="宋体"/>
                <w:b/>
                <w:bCs/>
                <w:kern w:val="0"/>
                <w:sz w:val="22"/>
              </w:rPr>
            </w:pPr>
            <w:r>
              <w:rPr>
                <w:rFonts w:ascii="宋体" w:hAnsi="宋体" w:cs="宋体" w:hint="eastAsia"/>
                <w:b/>
                <w:bCs/>
                <w:kern w:val="0"/>
                <w:sz w:val="22"/>
              </w:rPr>
              <w:t>基金代码</w:t>
            </w:r>
          </w:p>
        </w:tc>
        <w:tc>
          <w:tcPr>
            <w:tcW w:w="3978" w:type="pct"/>
            <w:shd w:val="clear" w:color="auto" w:fill="auto"/>
            <w:noWrap/>
            <w:vAlign w:val="center"/>
          </w:tcPr>
          <w:p w:rsidR="005623FC" w:rsidRDefault="00076CB4">
            <w:pPr>
              <w:widowControl/>
              <w:jc w:val="center"/>
              <w:rPr>
                <w:rFonts w:ascii="宋体" w:hAnsi="宋体" w:cs="宋体"/>
                <w:b/>
                <w:bCs/>
                <w:kern w:val="0"/>
                <w:sz w:val="22"/>
              </w:rPr>
            </w:pPr>
            <w:r>
              <w:rPr>
                <w:rFonts w:ascii="宋体" w:hAnsi="宋体" w:cs="宋体" w:hint="eastAsia"/>
                <w:b/>
                <w:bCs/>
                <w:kern w:val="0"/>
                <w:sz w:val="22"/>
              </w:rPr>
              <w:t>基金名称</w:t>
            </w:r>
          </w:p>
        </w:tc>
      </w:tr>
      <w:tr w:rsidR="00D04C82" w:rsidTr="0061236C">
        <w:trPr>
          <w:trHeight w:val="270"/>
        </w:trPr>
        <w:tc>
          <w:tcPr>
            <w:tcW w:w="339" w:type="pct"/>
            <w:shd w:val="clear" w:color="auto" w:fill="auto"/>
            <w:vAlign w:val="center"/>
          </w:tcPr>
          <w:p w:rsidR="00D04C82" w:rsidRDefault="008F3D92">
            <w:pPr>
              <w:jc w:val="center"/>
            </w:pPr>
            <w:r>
              <w:rPr>
                <w:rFonts w:ascii="宋体" w:hAnsi="宋体" w:cs="宋体"/>
                <w:color w:val="000000"/>
                <w:position w:val="-1"/>
              </w:rPr>
              <w:t>1</w:t>
            </w:r>
          </w:p>
        </w:tc>
        <w:tc>
          <w:tcPr>
            <w:tcW w:w="683" w:type="pct"/>
            <w:shd w:val="clear" w:color="auto" w:fill="auto"/>
            <w:vAlign w:val="center"/>
          </w:tcPr>
          <w:p w:rsidR="00D04C82" w:rsidRDefault="008F3D92">
            <w:pPr>
              <w:jc w:val="center"/>
            </w:pPr>
            <w:r>
              <w:rPr>
                <w:rFonts w:ascii="宋体" w:hAnsi="宋体" w:cs="宋体"/>
                <w:color w:val="000000"/>
                <w:position w:val="-1"/>
              </w:rPr>
              <w:t>005669</w:t>
            </w:r>
          </w:p>
        </w:tc>
        <w:tc>
          <w:tcPr>
            <w:tcW w:w="3978" w:type="pct"/>
            <w:shd w:val="clear" w:color="auto" w:fill="auto"/>
            <w:vAlign w:val="center"/>
          </w:tcPr>
          <w:p w:rsidR="00D04C82" w:rsidRDefault="008F3D92">
            <w:pPr>
              <w:jc w:val="center"/>
            </w:pPr>
            <w:r>
              <w:rPr>
                <w:rFonts w:ascii="宋体" w:hAnsi="宋体" w:cs="宋体"/>
                <w:color w:val="000000"/>
                <w:position w:val="-1"/>
              </w:rPr>
              <w:t>前海开源公用事业行业股票型证券投资基金</w:t>
            </w:r>
          </w:p>
        </w:tc>
      </w:tr>
      <w:tr w:rsidR="00D04C82" w:rsidTr="0061236C">
        <w:trPr>
          <w:trHeight w:val="270"/>
        </w:trPr>
        <w:tc>
          <w:tcPr>
            <w:tcW w:w="339" w:type="pct"/>
            <w:shd w:val="clear" w:color="auto" w:fill="auto"/>
            <w:vAlign w:val="center"/>
          </w:tcPr>
          <w:p w:rsidR="00D04C82" w:rsidRDefault="0061236C">
            <w:pPr>
              <w:jc w:val="center"/>
            </w:pPr>
            <w:r>
              <w:rPr>
                <w:rFonts w:ascii="宋体" w:hAnsi="宋体" w:cs="宋体"/>
                <w:color w:val="000000"/>
                <w:position w:val="-1"/>
              </w:rPr>
              <w:t>2</w:t>
            </w:r>
          </w:p>
        </w:tc>
        <w:tc>
          <w:tcPr>
            <w:tcW w:w="683" w:type="pct"/>
            <w:shd w:val="clear" w:color="auto" w:fill="auto"/>
            <w:vAlign w:val="center"/>
          </w:tcPr>
          <w:p w:rsidR="00D04C82" w:rsidRDefault="008F3D92">
            <w:pPr>
              <w:jc w:val="center"/>
            </w:pPr>
            <w:r>
              <w:rPr>
                <w:rFonts w:ascii="宋体" w:hAnsi="宋体" w:cs="宋体"/>
                <w:color w:val="000000"/>
                <w:position w:val="-1"/>
              </w:rPr>
              <w:t>001302</w:t>
            </w:r>
          </w:p>
        </w:tc>
        <w:tc>
          <w:tcPr>
            <w:tcW w:w="3978" w:type="pct"/>
            <w:shd w:val="clear" w:color="auto" w:fill="auto"/>
            <w:vAlign w:val="center"/>
          </w:tcPr>
          <w:p w:rsidR="00D04C82" w:rsidRDefault="008F3D92">
            <w:pPr>
              <w:jc w:val="center"/>
            </w:pPr>
            <w:r>
              <w:rPr>
                <w:rFonts w:ascii="宋体" w:hAnsi="宋体" w:cs="宋体"/>
                <w:color w:val="000000"/>
                <w:position w:val="-1"/>
              </w:rPr>
              <w:t>前海开源金银珠宝主题精选灵活配置混合型证券投资基金</w:t>
            </w:r>
            <w:r w:rsidR="00E45EF1">
              <w:rPr>
                <w:rFonts w:ascii="宋体" w:hAnsi="宋体" w:cs="宋体" w:hint="eastAsia"/>
                <w:color w:val="000000"/>
                <w:position w:val="-1"/>
              </w:rPr>
              <w:t>A</w:t>
            </w:r>
          </w:p>
        </w:tc>
      </w:tr>
      <w:tr w:rsidR="0061236C" w:rsidTr="0061236C">
        <w:trPr>
          <w:trHeight w:val="270"/>
        </w:trPr>
        <w:tc>
          <w:tcPr>
            <w:tcW w:w="339" w:type="pct"/>
            <w:shd w:val="clear" w:color="auto" w:fill="auto"/>
            <w:vAlign w:val="center"/>
          </w:tcPr>
          <w:p w:rsidR="0061236C" w:rsidRDefault="0061236C" w:rsidP="0061236C">
            <w:pPr>
              <w:jc w:val="center"/>
            </w:pPr>
            <w:r>
              <w:rPr>
                <w:rFonts w:ascii="宋体" w:hAnsi="宋体" w:cs="宋体"/>
                <w:color w:val="000000"/>
                <w:position w:val="-1"/>
              </w:rPr>
              <w:t>3</w:t>
            </w:r>
          </w:p>
        </w:tc>
        <w:tc>
          <w:tcPr>
            <w:tcW w:w="683" w:type="pct"/>
            <w:shd w:val="clear" w:color="auto" w:fill="auto"/>
            <w:vAlign w:val="center"/>
          </w:tcPr>
          <w:p w:rsidR="0061236C" w:rsidRDefault="0061236C" w:rsidP="0061236C">
            <w:pPr>
              <w:jc w:val="center"/>
            </w:pPr>
            <w:r>
              <w:rPr>
                <w:rFonts w:ascii="宋体" w:hAnsi="宋体" w:cs="宋体"/>
                <w:color w:val="000000"/>
                <w:position w:val="-1"/>
              </w:rPr>
              <w:t>002207</w:t>
            </w:r>
          </w:p>
        </w:tc>
        <w:tc>
          <w:tcPr>
            <w:tcW w:w="3978" w:type="pct"/>
            <w:shd w:val="clear" w:color="auto" w:fill="auto"/>
            <w:vAlign w:val="center"/>
          </w:tcPr>
          <w:p w:rsidR="0061236C" w:rsidRDefault="0061236C" w:rsidP="0061236C">
            <w:pPr>
              <w:jc w:val="center"/>
            </w:pPr>
            <w:r>
              <w:rPr>
                <w:rFonts w:ascii="宋体" w:hAnsi="宋体" w:cs="宋体"/>
                <w:color w:val="000000"/>
                <w:position w:val="-1"/>
              </w:rPr>
              <w:t>前海开源金银珠宝主题精选灵活配置混合型证券投资基金C</w:t>
            </w:r>
          </w:p>
        </w:tc>
      </w:tr>
      <w:tr w:rsidR="00D04C82" w:rsidTr="0061236C">
        <w:trPr>
          <w:trHeight w:val="270"/>
        </w:trPr>
        <w:tc>
          <w:tcPr>
            <w:tcW w:w="339" w:type="pct"/>
            <w:shd w:val="clear" w:color="auto" w:fill="auto"/>
            <w:vAlign w:val="center"/>
          </w:tcPr>
          <w:p w:rsidR="00D04C82" w:rsidRDefault="008F3D92">
            <w:pPr>
              <w:jc w:val="center"/>
            </w:pPr>
            <w:r>
              <w:rPr>
                <w:rFonts w:ascii="宋体" w:hAnsi="宋体" w:cs="宋体"/>
                <w:color w:val="000000"/>
                <w:position w:val="-1"/>
              </w:rPr>
              <w:t>4</w:t>
            </w:r>
          </w:p>
        </w:tc>
        <w:tc>
          <w:tcPr>
            <w:tcW w:w="683" w:type="pct"/>
            <w:shd w:val="clear" w:color="auto" w:fill="auto"/>
            <w:vAlign w:val="center"/>
          </w:tcPr>
          <w:p w:rsidR="00D04C82" w:rsidRDefault="008F3D92">
            <w:pPr>
              <w:jc w:val="center"/>
            </w:pPr>
            <w:r>
              <w:rPr>
                <w:rFonts w:ascii="宋体" w:hAnsi="宋体" w:cs="宋体"/>
                <w:color w:val="000000"/>
                <w:position w:val="-1"/>
              </w:rPr>
              <w:t>000916</w:t>
            </w:r>
          </w:p>
        </w:tc>
        <w:tc>
          <w:tcPr>
            <w:tcW w:w="3978" w:type="pct"/>
            <w:shd w:val="clear" w:color="auto" w:fill="auto"/>
            <w:vAlign w:val="center"/>
          </w:tcPr>
          <w:p w:rsidR="00D04C82" w:rsidRDefault="008F3D92">
            <w:pPr>
              <w:jc w:val="center"/>
            </w:pPr>
            <w:r>
              <w:rPr>
                <w:rFonts w:ascii="宋体" w:hAnsi="宋体" w:cs="宋体"/>
                <w:color w:val="000000"/>
                <w:position w:val="-1"/>
              </w:rPr>
              <w:t>前海开源股息率100强等权重股票型证券投资基金</w:t>
            </w:r>
          </w:p>
        </w:tc>
      </w:tr>
    </w:tbl>
    <w:p w:rsidR="005623FC" w:rsidRDefault="00076CB4" w:rsidP="0025420D">
      <w:pPr>
        <w:spacing w:beforeLines="50"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自</w:t>
      </w:r>
      <w:r>
        <w:rPr>
          <w:rFonts w:ascii="宋体" w:hAnsi="宋体" w:cs="Arial"/>
          <w:color w:val="000000" w:themeColor="text1"/>
          <w:kern w:val="0"/>
          <w:sz w:val="24"/>
          <w:szCs w:val="24"/>
        </w:rPr>
        <w:t>2024年1月8日</w:t>
      </w:r>
      <w:r>
        <w:rPr>
          <w:rFonts w:ascii="宋体" w:hAnsi="宋体" w:cs="Arial"/>
          <w:color w:val="000000"/>
          <w:kern w:val="0"/>
          <w:sz w:val="24"/>
          <w:szCs w:val="24"/>
        </w:rPr>
        <w:t>起，投资者可通过</w:t>
      </w:r>
      <w:r w:rsidR="00A90BFC">
        <w:rPr>
          <w:rFonts w:ascii="宋体" w:hAnsi="宋体" w:cs="Arial"/>
          <w:color w:val="000000" w:themeColor="text1"/>
          <w:kern w:val="0"/>
          <w:sz w:val="24"/>
          <w:szCs w:val="24"/>
        </w:rPr>
        <w:t>西安银行</w:t>
      </w:r>
      <w:r>
        <w:rPr>
          <w:rFonts w:ascii="宋体" w:hAnsi="宋体" w:cs="Arial"/>
          <w:color w:val="000000"/>
          <w:kern w:val="0"/>
          <w:sz w:val="24"/>
          <w:szCs w:val="24"/>
        </w:rPr>
        <w:t>办理上述适用基金的申购、</w:t>
      </w:r>
      <w:r>
        <w:rPr>
          <w:rFonts w:ascii="宋体" w:hAnsi="宋体" w:cs="Arial" w:hint="eastAsia"/>
          <w:color w:val="000000"/>
          <w:kern w:val="0"/>
          <w:sz w:val="24"/>
          <w:szCs w:val="24"/>
        </w:rPr>
        <w:t>定期定额投资（</w:t>
      </w:r>
      <w:r>
        <w:rPr>
          <w:rFonts w:ascii="宋体" w:hAnsi="宋体" w:cs="Arial"/>
          <w:color w:val="000000"/>
          <w:kern w:val="0"/>
          <w:sz w:val="24"/>
          <w:szCs w:val="24"/>
        </w:rPr>
        <w:t>以下简称“</w:t>
      </w:r>
      <w:r>
        <w:rPr>
          <w:rFonts w:ascii="宋体" w:hAnsi="宋体" w:cs="Arial" w:hint="eastAsia"/>
          <w:color w:val="000000"/>
          <w:kern w:val="0"/>
          <w:sz w:val="24"/>
          <w:szCs w:val="24"/>
        </w:rPr>
        <w:t>定投</w:t>
      </w:r>
      <w:r>
        <w:rPr>
          <w:rFonts w:ascii="宋体" w:hAnsi="宋体" w:cs="Arial"/>
          <w:color w:val="000000"/>
          <w:kern w:val="0"/>
          <w:sz w:val="24"/>
          <w:szCs w:val="24"/>
        </w:rPr>
        <w:t>”</w:t>
      </w:r>
      <w:r>
        <w:rPr>
          <w:rFonts w:ascii="宋体" w:hAnsi="宋体" w:cs="Arial" w:hint="eastAsia"/>
          <w:color w:val="000000"/>
          <w:kern w:val="0"/>
          <w:sz w:val="24"/>
          <w:szCs w:val="24"/>
        </w:rPr>
        <w:t>）、</w:t>
      </w:r>
      <w:r>
        <w:rPr>
          <w:rFonts w:ascii="宋体" w:hAnsi="宋体" w:cs="Arial"/>
          <w:color w:val="000000"/>
          <w:kern w:val="0"/>
          <w:sz w:val="24"/>
          <w:szCs w:val="24"/>
        </w:rPr>
        <w:t>赎回、</w:t>
      </w:r>
      <w:r>
        <w:rPr>
          <w:rFonts w:ascii="宋体" w:hAnsi="宋体" w:cs="Arial" w:hint="eastAsia"/>
          <w:color w:val="000000"/>
          <w:kern w:val="0"/>
          <w:sz w:val="24"/>
          <w:szCs w:val="24"/>
        </w:rPr>
        <w:t>转换等业务，业务开始或结束办理的具体时间及具体程序、规则以</w:t>
      </w:r>
      <w:r w:rsidR="00A90BFC">
        <w:rPr>
          <w:rFonts w:ascii="宋体" w:hAnsi="宋体" w:cs="Arial"/>
          <w:color w:val="000000" w:themeColor="text1"/>
          <w:kern w:val="0"/>
          <w:sz w:val="24"/>
          <w:szCs w:val="24"/>
        </w:rPr>
        <w:t>西安银行</w:t>
      </w:r>
      <w:r>
        <w:rPr>
          <w:rFonts w:ascii="宋体" w:hAnsi="宋体" w:cs="Arial" w:hint="eastAsia"/>
          <w:color w:val="000000"/>
          <w:kern w:val="0"/>
          <w:sz w:val="24"/>
          <w:szCs w:val="24"/>
        </w:rPr>
        <w:t>的有关规定为准。</w:t>
      </w:r>
    </w:p>
    <w:p w:rsidR="005623FC" w:rsidRDefault="00076CB4" w:rsidP="0025420D">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Change w:id="1" w:author="ZHONGM" w:date="2024-01-08T00:01:00Z">
          <w:pPr>
            <w:widowControl/>
            <w:shd w:val="clear" w:color="auto" w:fill="FFFFFF"/>
            <w:adjustRightInd w:val="0"/>
            <w:snapToGrid w:val="0"/>
            <w:spacing w:beforeLines="50" w:line="360" w:lineRule="auto"/>
            <w:ind w:firstLineChars="200" w:firstLine="482"/>
          </w:pPr>
        </w:pPrChange>
      </w:pPr>
      <w:r>
        <w:rPr>
          <w:rFonts w:ascii="宋体" w:hAnsi="宋体" w:cs="Arial" w:hint="eastAsia"/>
          <w:b/>
          <w:color w:val="000000"/>
          <w:kern w:val="0"/>
          <w:sz w:val="24"/>
          <w:szCs w:val="24"/>
        </w:rPr>
        <w:t>二、费率优惠及业务办理最低限额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1、费率优惠</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投资者通过</w:t>
      </w:r>
      <w:r>
        <w:rPr>
          <w:rFonts w:ascii="宋体" w:hAnsi="宋体" w:cs="Arial"/>
          <w:color w:val="000000" w:themeColor="text1"/>
          <w:kern w:val="0"/>
          <w:sz w:val="24"/>
          <w:szCs w:val="24"/>
        </w:rPr>
        <w:t>西安银行</w:t>
      </w:r>
      <w:r>
        <w:rPr>
          <w:rFonts w:ascii="宋体" w:hAnsi="宋体" w:cs="Arial" w:hint="eastAsia"/>
          <w:color w:val="000000"/>
          <w:kern w:val="0"/>
          <w:sz w:val="24"/>
          <w:szCs w:val="24"/>
        </w:rPr>
        <w:t>办理上述适用基金的申购、定投业务，其申购、定投费率</w:t>
      </w:r>
      <w:r w:rsidR="009417D4">
        <w:rPr>
          <w:rFonts w:ascii="宋体" w:hAnsi="宋体" w:cs="Arial"/>
          <w:color w:val="000000" w:themeColor="text1"/>
          <w:kern w:val="0"/>
          <w:sz w:val="24"/>
          <w:szCs w:val="24"/>
        </w:rPr>
        <w:t>不设折扣限制(包含固定费用)</w:t>
      </w:r>
      <w:r>
        <w:rPr>
          <w:rFonts w:ascii="宋体" w:hAnsi="宋体" w:cs="Arial" w:hint="eastAsia"/>
          <w:color w:val="000000"/>
          <w:kern w:val="0"/>
          <w:sz w:val="24"/>
          <w:szCs w:val="24"/>
        </w:rPr>
        <w:t>。具体折扣费率以</w:t>
      </w:r>
      <w:r>
        <w:rPr>
          <w:rFonts w:ascii="宋体" w:hAnsi="宋体" w:cs="Arial"/>
          <w:color w:val="000000" w:themeColor="text1"/>
          <w:kern w:val="0"/>
          <w:sz w:val="24"/>
          <w:szCs w:val="24"/>
        </w:rPr>
        <w:t>西安银行</w:t>
      </w:r>
      <w:r>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2、定投业务办理最低限额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投资者在</w:t>
      </w:r>
      <w:r>
        <w:rPr>
          <w:rFonts w:ascii="宋体" w:hAnsi="宋体" w:cs="Arial"/>
          <w:color w:val="000000" w:themeColor="text1"/>
          <w:kern w:val="0"/>
          <w:sz w:val="24"/>
          <w:szCs w:val="24"/>
        </w:rPr>
        <w:t>西安银行</w:t>
      </w:r>
      <w:r>
        <w:rPr>
          <w:rFonts w:ascii="宋体" w:hAnsi="宋体" w:cs="Arial" w:hint="eastAsia"/>
          <w:color w:val="000000"/>
          <w:kern w:val="0"/>
          <w:sz w:val="24"/>
          <w:szCs w:val="24"/>
        </w:rPr>
        <w:t>办理本公司上述基金的定投业务，最低单笔定投金额为人民币</w:t>
      </w:r>
      <w:r w:rsidR="00391168">
        <w:rPr>
          <w:rFonts w:ascii="宋体" w:hAnsi="宋体" w:cs="Arial"/>
          <w:color w:val="000000" w:themeColor="text1"/>
          <w:kern w:val="0"/>
          <w:sz w:val="24"/>
          <w:szCs w:val="24"/>
        </w:rPr>
        <w:t>100</w:t>
      </w:r>
      <w:r>
        <w:rPr>
          <w:rFonts w:ascii="宋体" w:hAnsi="宋体" w:cs="Arial" w:hint="eastAsia"/>
          <w:color w:val="000000" w:themeColor="text1"/>
          <w:kern w:val="0"/>
          <w:sz w:val="24"/>
          <w:szCs w:val="24"/>
        </w:rPr>
        <w:t>元（含）</w:t>
      </w:r>
      <w:r>
        <w:rPr>
          <w:rFonts w:ascii="宋体" w:hAnsi="宋体" w:cs="Arial" w:hint="eastAsia"/>
          <w:color w:val="000000"/>
          <w:kern w:val="0"/>
          <w:sz w:val="24"/>
          <w:szCs w:val="24"/>
        </w:rPr>
        <w:t>。如在产品相关公告中已约定单笔最低定投金额的产品，其单笔最低定投金额则按照产品相关公告执行。</w:t>
      </w:r>
    </w:p>
    <w:p w:rsidR="005623FC" w:rsidRDefault="005C199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sidR="00076CB4">
        <w:rPr>
          <w:rFonts w:ascii="宋体" w:hAnsi="宋体" w:cs="Arial" w:hint="eastAsia"/>
          <w:color w:val="000000"/>
          <w:kern w:val="0"/>
          <w:sz w:val="24"/>
          <w:szCs w:val="24"/>
        </w:rPr>
        <w:t>、后续本公司新增通过</w:t>
      </w:r>
      <w:r w:rsidR="00076CB4">
        <w:rPr>
          <w:rFonts w:ascii="宋体" w:hAnsi="宋体" w:cs="Arial"/>
          <w:color w:val="000000" w:themeColor="text1"/>
          <w:kern w:val="0"/>
          <w:sz w:val="24"/>
          <w:szCs w:val="24"/>
        </w:rPr>
        <w:t>西安银行</w:t>
      </w:r>
      <w:r w:rsidR="00076CB4">
        <w:rPr>
          <w:rFonts w:ascii="宋体" w:hAnsi="宋体" w:cs="Arial" w:hint="eastAsia"/>
          <w:color w:val="000000"/>
          <w:kern w:val="0"/>
          <w:sz w:val="24"/>
          <w:szCs w:val="24"/>
        </w:rPr>
        <w:t>销售的基金产品除基金法律文件或产品相关公告有特殊规定外，适用上述费率优惠及定投业务办理最低限额，本公司不再另行公告。</w:t>
      </w:r>
    </w:p>
    <w:p w:rsidR="005C199A" w:rsidRDefault="005C199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C199A" w:rsidRPr="005C199A" w:rsidRDefault="005C199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lastRenderedPageBreak/>
        <w:t>4</w:t>
      </w:r>
      <w:r>
        <w:rPr>
          <w:rFonts w:ascii="宋体" w:hAnsi="宋体" w:cs="Arial" w:hint="eastAsia"/>
          <w:color w:val="000000"/>
          <w:kern w:val="0"/>
          <w:sz w:val="24"/>
          <w:szCs w:val="24"/>
        </w:rPr>
        <w:t>、处于封闭期的产品，自开放申购、赎回业务之日起，适用于上述费率优惠及定投业务办理最低限额，本公司不再另行公告。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5、</w:t>
      </w:r>
      <w:r>
        <w:rPr>
          <w:rFonts w:ascii="宋体" w:hAnsi="宋体" w:cs="Arial" w:hint="eastAsia"/>
          <w:color w:val="000000"/>
          <w:kern w:val="0"/>
          <w:sz w:val="24"/>
          <w:szCs w:val="24"/>
        </w:rPr>
        <w:t>LOF基金的相关规则以中国证券登记结算有限责任公司的具体业务规定为准。</w:t>
      </w:r>
    </w:p>
    <w:p w:rsidR="005623FC" w:rsidRDefault="00076CB4" w:rsidP="0025420D">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重要提示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Pr>
          <w:rFonts w:ascii="宋体" w:hAnsi="宋体" w:cs="Arial" w:hint="eastAsia"/>
          <w:color w:val="000000"/>
          <w:kern w:val="0"/>
          <w:sz w:val="24"/>
          <w:szCs w:val="24"/>
        </w:rPr>
        <w:t>、</w:t>
      </w:r>
      <w:r>
        <w:rPr>
          <w:rFonts w:ascii="宋体" w:hAnsi="宋体" w:cs="Arial"/>
          <w:color w:val="000000"/>
          <w:kern w:val="0"/>
          <w:sz w:val="24"/>
          <w:szCs w:val="24"/>
        </w:rPr>
        <w:t>招募说明书</w:t>
      </w:r>
      <w:r>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5623FC" w:rsidRDefault="00076CB4" w:rsidP="0025420D">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5623FC" w:rsidRDefault="00076CB4" w:rsidP="0025420D">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Change w:id="2" w:author="ZHONGM" w:date="2024-01-08T00:01:00Z">
          <w:pPr>
            <w:widowControl/>
            <w:shd w:val="clear" w:color="auto" w:fill="FFFFFF"/>
            <w:adjustRightInd w:val="0"/>
            <w:snapToGrid w:val="0"/>
            <w:spacing w:beforeLines="50" w:line="360" w:lineRule="auto"/>
            <w:ind w:firstLineChars="200" w:firstLine="480"/>
          </w:pPr>
        </w:pPrChange>
      </w:pPr>
      <w:r>
        <w:rPr>
          <w:rFonts w:ascii="宋体" w:hAnsi="宋体" w:cs="Arial"/>
          <w:color w:val="000000"/>
          <w:kern w:val="0"/>
          <w:sz w:val="24"/>
          <w:szCs w:val="24"/>
        </w:rPr>
        <w:t>3、</w:t>
      </w:r>
      <w:r>
        <w:rPr>
          <w:rFonts w:ascii="宋体" w:hAnsi="宋体" w:cs="Arial" w:hint="eastAsia"/>
          <w:color w:val="000000"/>
          <w:kern w:val="0"/>
          <w:sz w:val="24"/>
          <w:szCs w:val="24"/>
        </w:rPr>
        <w:t>本公告解释权归本公司所有。</w:t>
      </w:r>
    </w:p>
    <w:p w:rsidR="005623FC" w:rsidRDefault="00076CB4" w:rsidP="0025420D">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Change w:id="3" w:author="ZHONGM" w:date="2024-01-08T00:01:00Z">
          <w:pPr>
            <w:widowControl/>
            <w:shd w:val="clear" w:color="auto" w:fill="FFFFFF"/>
            <w:adjustRightInd w:val="0"/>
            <w:snapToGrid w:val="0"/>
            <w:spacing w:beforeLines="50" w:line="360" w:lineRule="auto"/>
            <w:ind w:firstLineChars="200" w:firstLine="482"/>
          </w:pPr>
        </w:pPrChange>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w:t>
      </w:r>
      <w:r>
        <w:rPr>
          <w:rFonts w:ascii="宋体" w:hAnsi="宋体" w:cs="Arial"/>
          <w:color w:val="000000" w:themeColor="text1"/>
          <w:kern w:val="0"/>
          <w:sz w:val="24"/>
          <w:szCs w:val="24"/>
        </w:rPr>
        <w:t>西安银行股份有限公司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sidR="005628A5">
        <w:rPr>
          <w:rFonts w:ascii="宋体" w:hAnsi="宋体" w:cs="Arial" w:hint="eastAsia"/>
          <w:color w:val="000000"/>
          <w:kern w:val="0"/>
          <w:sz w:val="24"/>
          <w:szCs w:val="24"/>
        </w:rPr>
        <w:t>400</w:t>
      </w:r>
      <w:r w:rsidR="005628A5">
        <w:rPr>
          <w:rFonts w:ascii="宋体" w:hAnsi="宋体" w:cs="Arial"/>
          <w:color w:val="000000"/>
          <w:kern w:val="0"/>
          <w:sz w:val="24"/>
          <w:szCs w:val="24"/>
        </w:rPr>
        <w:t>-86-</w:t>
      </w:r>
      <w:r>
        <w:rPr>
          <w:rFonts w:ascii="宋体" w:hAnsi="宋体" w:cs="Arial"/>
          <w:color w:val="000000" w:themeColor="text1"/>
          <w:kern w:val="0"/>
          <w:sz w:val="24"/>
          <w:szCs w:val="24"/>
        </w:rPr>
        <w:t>96779</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bookmarkStart w:id="4" w:name="_Hlk119053644"/>
      <w:r>
        <w:rPr>
          <w:rFonts w:ascii="宋体" w:hAnsi="宋体" w:cs="Arial"/>
          <w:color w:val="000000" w:themeColor="text1"/>
          <w:kern w:val="0"/>
          <w:sz w:val="24"/>
          <w:szCs w:val="24"/>
        </w:rPr>
        <w:t>www.xacbank.com</w:t>
      </w:r>
      <w:bookmarkEnd w:id="4"/>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前海开源基金管理有限公司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网址：www.qhkyfund.com</w:t>
      </w:r>
    </w:p>
    <w:p w:rsidR="005623FC" w:rsidRDefault="00076CB4" w:rsidP="0025420D">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w:t>
      </w:r>
      <w:r>
        <w:rPr>
          <w:rFonts w:ascii="宋体" w:hAnsi="宋体" w:cs="Arial" w:hint="eastAsia"/>
          <w:color w:val="000000"/>
          <w:kern w:val="0"/>
          <w:sz w:val="24"/>
          <w:szCs w:val="24"/>
        </w:rPr>
        <w:lastRenderedPageBreak/>
        <w:t>但是定期定额投资并不能规避基金投资所固有的风险，不能保证投资者获得收益，也不是替代储蓄的等效理财方式。</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5623FC" w:rsidRDefault="009417D4">
      <w:pPr>
        <w:widowControl/>
        <w:shd w:val="clear" w:color="auto" w:fill="FFFFFF"/>
        <w:adjustRightInd w:val="0"/>
        <w:snapToGrid w:val="0"/>
        <w:spacing w:line="360" w:lineRule="auto"/>
        <w:ind w:firstLineChars="200" w:firstLine="480"/>
        <w:jc w:val="right"/>
        <w:rPr>
          <w:color w:val="FF0000"/>
        </w:rPr>
      </w:pPr>
      <w:r w:rsidRPr="009417D4">
        <w:rPr>
          <w:rFonts w:ascii="宋体" w:hAnsi="宋体" w:cs="Arial"/>
          <w:color w:val="000000"/>
          <w:kern w:val="0"/>
          <w:sz w:val="24"/>
          <w:szCs w:val="24"/>
        </w:rPr>
        <w:t>2024年1月8日</w:t>
      </w:r>
    </w:p>
    <w:sectPr w:rsidR="005623FC" w:rsidSect="004A423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70" w:rsidRDefault="00991070">
      <w:r>
        <w:separator/>
      </w:r>
    </w:p>
  </w:endnote>
  <w:endnote w:type="continuationSeparator" w:id="0">
    <w:p w:rsidR="00991070" w:rsidRDefault="009910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70" w:rsidRDefault="00991070">
      <w:r>
        <w:separator/>
      </w:r>
    </w:p>
  </w:footnote>
  <w:footnote w:type="continuationSeparator" w:id="0">
    <w:p w:rsidR="00991070" w:rsidRDefault="00991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FC" w:rsidRDefault="00076CB4">
    <w:pPr>
      <w:pStyle w:val="a6"/>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5623FC" w:rsidRDefault="005623F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RiZmVmMzFjYzU4NTNkNmYxNWI3NDdmMGI1MmIxMmEifQ=="/>
  </w:docVars>
  <w:rsids>
    <w:rsidRoot w:val="00D934B3"/>
    <w:rsid w:val="00002698"/>
    <w:rsid w:val="00022584"/>
    <w:rsid w:val="00044F7B"/>
    <w:rsid w:val="00052A23"/>
    <w:rsid w:val="000539B9"/>
    <w:rsid w:val="00054FD3"/>
    <w:rsid w:val="00060C4F"/>
    <w:rsid w:val="000641E8"/>
    <w:rsid w:val="00064A4A"/>
    <w:rsid w:val="00066B51"/>
    <w:rsid w:val="000709A2"/>
    <w:rsid w:val="0007546E"/>
    <w:rsid w:val="00076CB4"/>
    <w:rsid w:val="000865AE"/>
    <w:rsid w:val="00094A1B"/>
    <w:rsid w:val="000C0F62"/>
    <w:rsid w:val="000C3565"/>
    <w:rsid w:val="000D052F"/>
    <w:rsid w:val="000D7634"/>
    <w:rsid w:val="000E3C6B"/>
    <w:rsid w:val="000F6002"/>
    <w:rsid w:val="0010344B"/>
    <w:rsid w:val="00111219"/>
    <w:rsid w:val="0011704F"/>
    <w:rsid w:val="0013056B"/>
    <w:rsid w:val="00133541"/>
    <w:rsid w:val="00134461"/>
    <w:rsid w:val="0013797C"/>
    <w:rsid w:val="00145A86"/>
    <w:rsid w:val="001524EF"/>
    <w:rsid w:val="0016423F"/>
    <w:rsid w:val="00164F2D"/>
    <w:rsid w:val="00165B09"/>
    <w:rsid w:val="001724E1"/>
    <w:rsid w:val="0018732B"/>
    <w:rsid w:val="00192BD5"/>
    <w:rsid w:val="00192CEF"/>
    <w:rsid w:val="00193408"/>
    <w:rsid w:val="00194C79"/>
    <w:rsid w:val="001A3F03"/>
    <w:rsid w:val="001D19F8"/>
    <w:rsid w:val="001E508F"/>
    <w:rsid w:val="001E60F3"/>
    <w:rsid w:val="00220AE5"/>
    <w:rsid w:val="00223811"/>
    <w:rsid w:val="00230F4C"/>
    <w:rsid w:val="0023169F"/>
    <w:rsid w:val="002351B7"/>
    <w:rsid w:val="00244B57"/>
    <w:rsid w:val="00246411"/>
    <w:rsid w:val="002479D1"/>
    <w:rsid w:val="002507A7"/>
    <w:rsid w:val="00251B16"/>
    <w:rsid w:val="00252FA3"/>
    <w:rsid w:val="0025317B"/>
    <w:rsid w:val="0025420D"/>
    <w:rsid w:val="002631CC"/>
    <w:rsid w:val="00264431"/>
    <w:rsid w:val="002654C8"/>
    <w:rsid w:val="00275BCF"/>
    <w:rsid w:val="00276DA4"/>
    <w:rsid w:val="0027790A"/>
    <w:rsid w:val="00277F66"/>
    <w:rsid w:val="00287A3A"/>
    <w:rsid w:val="002A0758"/>
    <w:rsid w:val="002A2122"/>
    <w:rsid w:val="002A4AB8"/>
    <w:rsid w:val="002A689C"/>
    <w:rsid w:val="002A7C4B"/>
    <w:rsid w:val="002D0661"/>
    <w:rsid w:val="002D0FDF"/>
    <w:rsid w:val="002E1455"/>
    <w:rsid w:val="002E44D1"/>
    <w:rsid w:val="002F2F12"/>
    <w:rsid w:val="00315AE9"/>
    <w:rsid w:val="00316026"/>
    <w:rsid w:val="00317AAF"/>
    <w:rsid w:val="00324AA8"/>
    <w:rsid w:val="00331565"/>
    <w:rsid w:val="00332F1A"/>
    <w:rsid w:val="00333522"/>
    <w:rsid w:val="003359E5"/>
    <w:rsid w:val="0034459C"/>
    <w:rsid w:val="0035640E"/>
    <w:rsid w:val="003623A8"/>
    <w:rsid w:val="00364202"/>
    <w:rsid w:val="00370FF9"/>
    <w:rsid w:val="00374625"/>
    <w:rsid w:val="00377EBD"/>
    <w:rsid w:val="00382BE7"/>
    <w:rsid w:val="00391168"/>
    <w:rsid w:val="00394297"/>
    <w:rsid w:val="003973E8"/>
    <w:rsid w:val="003A1DE1"/>
    <w:rsid w:val="003A3E4F"/>
    <w:rsid w:val="003A7615"/>
    <w:rsid w:val="003B6C01"/>
    <w:rsid w:val="003C07C7"/>
    <w:rsid w:val="003C5684"/>
    <w:rsid w:val="003C6164"/>
    <w:rsid w:val="003C6B15"/>
    <w:rsid w:val="003C6CAC"/>
    <w:rsid w:val="003E0C9F"/>
    <w:rsid w:val="003E4F67"/>
    <w:rsid w:val="003E61C3"/>
    <w:rsid w:val="003E643B"/>
    <w:rsid w:val="003F1E78"/>
    <w:rsid w:val="003F3CB7"/>
    <w:rsid w:val="004008CA"/>
    <w:rsid w:val="00400FE1"/>
    <w:rsid w:val="00411C1D"/>
    <w:rsid w:val="00415C1E"/>
    <w:rsid w:val="00417B47"/>
    <w:rsid w:val="0042669A"/>
    <w:rsid w:val="0042703D"/>
    <w:rsid w:val="00437F1E"/>
    <w:rsid w:val="00450E23"/>
    <w:rsid w:val="0045209F"/>
    <w:rsid w:val="00472375"/>
    <w:rsid w:val="00476140"/>
    <w:rsid w:val="00481ADC"/>
    <w:rsid w:val="00481B4F"/>
    <w:rsid w:val="00486B91"/>
    <w:rsid w:val="0048736C"/>
    <w:rsid w:val="00495BA6"/>
    <w:rsid w:val="00495E06"/>
    <w:rsid w:val="004A0555"/>
    <w:rsid w:val="004A423E"/>
    <w:rsid w:val="004A5152"/>
    <w:rsid w:val="004B5811"/>
    <w:rsid w:val="004B65CB"/>
    <w:rsid w:val="004C5705"/>
    <w:rsid w:val="004D60B4"/>
    <w:rsid w:val="004E1667"/>
    <w:rsid w:val="004F1566"/>
    <w:rsid w:val="00510964"/>
    <w:rsid w:val="00514512"/>
    <w:rsid w:val="00534E48"/>
    <w:rsid w:val="00546F39"/>
    <w:rsid w:val="00556031"/>
    <w:rsid w:val="00561A24"/>
    <w:rsid w:val="005623FC"/>
    <w:rsid w:val="005628A5"/>
    <w:rsid w:val="00563288"/>
    <w:rsid w:val="0057602C"/>
    <w:rsid w:val="005766B6"/>
    <w:rsid w:val="00580BDE"/>
    <w:rsid w:val="0058162C"/>
    <w:rsid w:val="0058355D"/>
    <w:rsid w:val="00583B13"/>
    <w:rsid w:val="00590F6B"/>
    <w:rsid w:val="00594DC3"/>
    <w:rsid w:val="00596990"/>
    <w:rsid w:val="005A2EAF"/>
    <w:rsid w:val="005A45B3"/>
    <w:rsid w:val="005A5B42"/>
    <w:rsid w:val="005C199A"/>
    <w:rsid w:val="005D703A"/>
    <w:rsid w:val="005E6727"/>
    <w:rsid w:val="005F0A1F"/>
    <w:rsid w:val="005F6D69"/>
    <w:rsid w:val="005F6E56"/>
    <w:rsid w:val="00602E55"/>
    <w:rsid w:val="00611081"/>
    <w:rsid w:val="0061236C"/>
    <w:rsid w:val="00613F45"/>
    <w:rsid w:val="00630F31"/>
    <w:rsid w:val="00632D12"/>
    <w:rsid w:val="00633137"/>
    <w:rsid w:val="00634868"/>
    <w:rsid w:val="00642546"/>
    <w:rsid w:val="00642777"/>
    <w:rsid w:val="00653AC9"/>
    <w:rsid w:val="00655CBA"/>
    <w:rsid w:val="00661079"/>
    <w:rsid w:val="006642FC"/>
    <w:rsid w:val="00673C1B"/>
    <w:rsid w:val="00673F4A"/>
    <w:rsid w:val="006768EF"/>
    <w:rsid w:val="0067712A"/>
    <w:rsid w:val="0068271D"/>
    <w:rsid w:val="00686A5B"/>
    <w:rsid w:val="00686EC9"/>
    <w:rsid w:val="006A58C4"/>
    <w:rsid w:val="006B17C8"/>
    <w:rsid w:val="006B5AB5"/>
    <w:rsid w:val="006B782F"/>
    <w:rsid w:val="006B7D76"/>
    <w:rsid w:val="006C0D45"/>
    <w:rsid w:val="006C3340"/>
    <w:rsid w:val="006C3DC5"/>
    <w:rsid w:val="006D5682"/>
    <w:rsid w:val="006D771F"/>
    <w:rsid w:val="006E00F9"/>
    <w:rsid w:val="006E1994"/>
    <w:rsid w:val="006E340B"/>
    <w:rsid w:val="006F3AD5"/>
    <w:rsid w:val="00700DC4"/>
    <w:rsid w:val="00713F26"/>
    <w:rsid w:val="00715251"/>
    <w:rsid w:val="00725D59"/>
    <w:rsid w:val="00732AFC"/>
    <w:rsid w:val="00734075"/>
    <w:rsid w:val="00734C29"/>
    <w:rsid w:val="00735F1E"/>
    <w:rsid w:val="00736252"/>
    <w:rsid w:val="0074395D"/>
    <w:rsid w:val="00743987"/>
    <w:rsid w:val="0075461B"/>
    <w:rsid w:val="007604AF"/>
    <w:rsid w:val="007634EF"/>
    <w:rsid w:val="00763A7B"/>
    <w:rsid w:val="00781E4F"/>
    <w:rsid w:val="00782A1C"/>
    <w:rsid w:val="00782DF4"/>
    <w:rsid w:val="00783DF8"/>
    <w:rsid w:val="007A03B7"/>
    <w:rsid w:val="007A53B4"/>
    <w:rsid w:val="007A5BAB"/>
    <w:rsid w:val="007D0D95"/>
    <w:rsid w:val="007E2CA2"/>
    <w:rsid w:val="007E42E4"/>
    <w:rsid w:val="007E4357"/>
    <w:rsid w:val="007E5E75"/>
    <w:rsid w:val="00800130"/>
    <w:rsid w:val="00802CD7"/>
    <w:rsid w:val="008058B2"/>
    <w:rsid w:val="008059F6"/>
    <w:rsid w:val="008164FD"/>
    <w:rsid w:val="00835FBF"/>
    <w:rsid w:val="00843FAC"/>
    <w:rsid w:val="008448A8"/>
    <w:rsid w:val="00853D84"/>
    <w:rsid w:val="0085488E"/>
    <w:rsid w:val="00864A5B"/>
    <w:rsid w:val="008677FD"/>
    <w:rsid w:val="00872AEE"/>
    <w:rsid w:val="008747AC"/>
    <w:rsid w:val="00881592"/>
    <w:rsid w:val="00885D35"/>
    <w:rsid w:val="00886478"/>
    <w:rsid w:val="00894FF6"/>
    <w:rsid w:val="00896E04"/>
    <w:rsid w:val="008A42AA"/>
    <w:rsid w:val="008A5539"/>
    <w:rsid w:val="008B7A92"/>
    <w:rsid w:val="008B7AAC"/>
    <w:rsid w:val="008C0A1F"/>
    <w:rsid w:val="008C50E4"/>
    <w:rsid w:val="008C736A"/>
    <w:rsid w:val="008D08DC"/>
    <w:rsid w:val="008D48DC"/>
    <w:rsid w:val="008E2115"/>
    <w:rsid w:val="008E5164"/>
    <w:rsid w:val="008F2B6D"/>
    <w:rsid w:val="008F3D92"/>
    <w:rsid w:val="008F619D"/>
    <w:rsid w:val="008F6C7D"/>
    <w:rsid w:val="008F6F2E"/>
    <w:rsid w:val="00900648"/>
    <w:rsid w:val="00905C70"/>
    <w:rsid w:val="00907F19"/>
    <w:rsid w:val="00913012"/>
    <w:rsid w:val="0091779F"/>
    <w:rsid w:val="00923D64"/>
    <w:rsid w:val="009417D4"/>
    <w:rsid w:val="00947A68"/>
    <w:rsid w:val="00964DE5"/>
    <w:rsid w:val="00966456"/>
    <w:rsid w:val="00970BC8"/>
    <w:rsid w:val="00980236"/>
    <w:rsid w:val="0098596F"/>
    <w:rsid w:val="00990D58"/>
    <w:rsid w:val="00991070"/>
    <w:rsid w:val="0099744D"/>
    <w:rsid w:val="009A1C2A"/>
    <w:rsid w:val="009B0C50"/>
    <w:rsid w:val="009B1E7A"/>
    <w:rsid w:val="009B32A9"/>
    <w:rsid w:val="009C17EC"/>
    <w:rsid w:val="009C614A"/>
    <w:rsid w:val="009D2854"/>
    <w:rsid w:val="009D4CF3"/>
    <w:rsid w:val="009D7041"/>
    <w:rsid w:val="009E2862"/>
    <w:rsid w:val="009E40F3"/>
    <w:rsid w:val="009F4195"/>
    <w:rsid w:val="00A05C9D"/>
    <w:rsid w:val="00A05F48"/>
    <w:rsid w:val="00A15244"/>
    <w:rsid w:val="00A229FB"/>
    <w:rsid w:val="00A2591A"/>
    <w:rsid w:val="00A30ADD"/>
    <w:rsid w:val="00A32256"/>
    <w:rsid w:val="00A337A9"/>
    <w:rsid w:val="00A33A50"/>
    <w:rsid w:val="00A35000"/>
    <w:rsid w:val="00A375AA"/>
    <w:rsid w:val="00A40C14"/>
    <w:rsid w:val="00A40D20"/>
    <w:rsid w:val="00A44C24"/>
    <w:rsid w:val="00A47686"/>
    <w:rsid w:val="00A5268D"/>
    <w:rsid w:val="00A54D88"/>
    <w:rsid w:val="00A625F9"/>
    <w:rsid w:val="00A6429A"/>
    <w:rsid w:val="00A713B3"/>
    <w:rsid w:val="00A718C2"/>
    <w:rsid w:val="00A7435E"/>
    <w:rsid w:val="00A838AA"/>
    <w:rsid w:val="00A85258"/>
    <w:rsid w:val="00A90BFC"/>
    <w:rsid w:val="00A97198"/>
    <w:rsid w:val="00AA0810"/>
    <w:rsid w:val="00AA16C7"/>
    <w:rsid w:val="00AA30D0"/>
    <w:rsid w:val="00AA570C"/>
    <w:rsid w:val="00AA69BD"/>
    <w:rsid w:val="00AA79CF"/>
    <w:rsid w:val="00AB76B4"/>
    <w:rsid w:val="00AC156B"/>
    <w:rsid w:val="00AD542E"/>
    <w:rsid w:val="00AE49C7"/>
    <w:rsid w:val="00AE711A"/>
    <w:rsid w:val="00AF4FBA"/>
    <w:rsid w:val="00B01BFD"/>
    <w:rsid w:val="00B06B60"/>
    <w:rsid w:val="00B1348E"/>
    <w:rsid w:val="00B22243"/>
    <w:rsid w:val="00B23D5B"/>
    <w:rsid w:val="00B25CB2"/>
    <w:rsid w:val="00B42CF7"/>
    <w:rsid w:val="00B5208C"/>
    <w:rsid w:val="00B52B67"/>
    <w:rsid w:val="00B65D19"/>
    <w:rsid w:val="00B71624"/>
    <w:rsid w:val="00B738DD"/>
    <w:rsid w:val="00B81897"/>
    <w:rsid w:val="00B82604"/>
    <w:rsid w:val="00B83136"/>
    <w:rsid w:val="00B90161"/>
    <w:rsid w:val="00B90609"/>
    <w:rsid w:val="00B92782"/>
    <w:rsid w:val="00B97ABE"/>
    <w:rsid w:val="00BA0C0A"/>
    <w:rsid w:val="00BA4E3E"/>
    <w:rsid w:val="00BA5F5B"/>
    <w:rsid w:val="00BB287E"/>
    <w:rsid w:val="00BC1132"/>
    <w:rsid w:val="00BC39F3"/>
    <w:rsid w:val="00BD5248"/>
    <w:rsid w:val="00BE05F5"/>
    <w:rsid w:val="00BE0E90"/>
    <w:rsid w:val="00BE66E9"/>
    <w:rsid w:val="00BE7C68"/>
    <w:rsid w:val="00BF5482"/>
    <w:rsid w:val="00C025A7"/>
    <w:rsid w:val="00C052D3"/>
    <w:rsid w:val="00C12883"/>
    <w:rsid w:val="00C227BF"/>
    <w:rsid w:val="00C24838"/>
    <w:rsid w:val="00C32923"/>
    <w:rsid w:val="00C378D0"/>
    <w:rsid w:val="00C50F93"/>
    <w:rsid w:val="00C573F5"/>
    <w:rsid w:val="00C66731"/>
    <w:rsid w:val="00C7148E"/>
    <w:rsid w:val="00C74AC7"/>
    <w:rsid w:val="00C77D88"/>
    <w:rsid w:val="00C81D4E"/>
    <w:rsid w:val="00C86CBA"/>
    <w:rsid w:val="00CA1DDD"/>
    <w:rsid w:val="00CA66D8"/>
    <w:rsid w:val="00CA762E"/>
    <w:rsid w:val="00CB3BC8"/>
    <w:rsid w:val="00CC03CF"/>
    <w:rsid w:val="00CC738F"/>
    <w:rsid w:val="00CD59FC"/>
    <w:rsid w:val="00CE08B1"/>
    <w:rsid w:val="00CE13EA"/>
    <w:rsid w:val="00CE3BEA"/>
    <w:rsid w:val="00CF6A30"/>
    <w:rsid w:val="00D04615"/>
    <w:rsid w:val="00D04C82"/>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6112"/>
    <w:rsid w:val="00D72850"/>
    <w:rsid w:val="00D72B0E"/>
    <w:rsid w:val="00D7489D"/>
    <w:rsid w:val="00D74B5E"/>
    <w:rsid w:val="00D934B3"/>
    <w:rsid w:val="00DB09E6"/>
    <w:rsid w:val="00DB2986"/>
    <w:rsid w:val="00DB399F"/>
    <w:rsid w:val="00DB558F"/>
    <w:rsid w:val="00DB7254"/>
    <w:rsid w:val="00DC2B13"/>
    <w:rsid w:val="00DD3AB3"/>
    <w:rsid w:val="00DD5705"/>
    <w:rsid w:val="00DE2BF2"/>
    <w:rsid w:val="00DE6B99"/>
    <w:rsid w:val="00DF2143"/>
    <w:rsid w:val="00DF48FA"/>
    <w:rsid w:val="00E05137"/>
    <w:rsid w:val="00E061F2"/>
    <w:rsid w:val="00E14F4A"/>
    <w:rsid w:val="00E22214"/>
    <w:rsid w:val="00E23AC4"/>
    <w:rsid w:val="00E242D6"/>
    <w:rsid w:val="00E2727F"/>
    <w:rsid w:val="00E32857"/>
    <w:rsid w:val="00E37E87"/>
    <w:rsid w:val="00E41286"/>
    <w:rsid w:val="00E45EF1"/>
    <w:rsid w:val="00E46108"/>
    <w:rsid w:val="00E477E6"/>
    <w:rsid w:val="00E5745E"/>
    <w:rsid w:val="00E62DD7"/>
    <w:rsid w:val="00E6625E"/>
    <w:rsid w:val="00E6688A"/>
    <w:rsid w:val="00E70629"/>
    <w:rsid w:val="00E739EE"/>
    <w:rsid w:val="00E74F00"/>
    <w:rsid w:val="00E755BE"/>
    <w:rsid w:val="00E857FC"/>
    <w:rsid w:val="00E87068"/>
    <w:rsid w:val="00E941D7"/>
    <w:rsid w:val="00EA5AC5"/>
    <w:rsid w:val="00EB7957"/>
    <w:rsid w:val="00EC1D60"/>
    <w:rsid w:val="00EC50FF"/>
    <w:rsid w:val="00EC6506"/>
    <w:rsid w:val="00EE0C05"/>
    <w:rsid w:val="00EE6288"/>
    <w:rsid w:val="00EF3B08"/>
    <w:rsid w:val="00F01D0B"/>
    <w:rsid w:val="00F1335E"/>
    <w:rsid w:val="00F15AED"/>
    <w:rsid w:val="00F15E6D"/>
    <w:rsid w:val="00F16D58"/>
    <w:rsid w:val="00F176E8"/>
    <w:rsid w:val="00F17E42"/>
    <w:rsid w:val="00F20554"/>
    <w:rsid w:val="00F23429"/>
    <w:rsid w:val="00F26CC7"/>
    <w:rsid w:val="00F30D08"/>
    <w:rsid w:val="00F3349F"/>
    <w:rsid w:val="00F356D9"/>
    <w:rsid w:val="00F40494"/>
    <w:rsid w:val="00F4108E"/>
    <w:rsid w:val="00F415D5"/>
    <w:rsid w:val="00F41FCE"/>
    <w:rsid w:val="00F44155"/>
    <w:rsid w:val="00F519EF"/>
    <w:rsid w:val="00F57090"/>
    <w:rsid w:val="00F61419"/>
    <w:rsid w:val="00F66659"/>
    <w:rsid w:val="00F70345"/>
    <w:rsid w:val="00F81557"/>
    <w:rsid w:val="00F83C33"/>
    <w:rsid w:val="00FB2C5E"/>
    <w:rsid w:val="00FB55C5"/>
    <w:rsid w:val="00FC244C"/>
    <w:rsid w:val="00FD160D"/>
    <w:rsid w:val="00FD245D"/>
    <w:rsid w:val="00FD3787"/>
    <w:rsid w:val="00FF0A80"/>
    <w:rsid w:val="00FF787E"/>
    <w:rsid w:val="0119388B"/>
    <w:rsid w:val="0D295F98"/>
    <w:rsid w:val="345B262C"/>
    <w:rsid w:val="6D1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3E"/>
    <w:pPr>
      <w:widowControl w:val="0"/>
      <w:jc w:val="both"/>
    </w:pPr>
    <w:rPr>
      <w:kern w:val="2"/>
      <w:sz w:val="21"/>
      <w:szCs w:val="22"/>
    </w:rPr>
  </w:style>
  <w:style w:type="paragraph" w:styleId="2">
    <w:name w:val="heading 2"/>
    <w:basedOn w:val="a"/>
    <w:next w:val="a"/>
    <w:link w:val="2Char"/>
    <w:uiPriority w:val="9"/>
    <w:qFormat/>
    <w:rsid w:val="004A423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A423E"/>
    <w:pPr>
      <w:jc w:val="left"/>
    </w:pPr>
  </w:style>
  <w:style w:type="paragraph" w:styleId="a4">
    <w:name w:val="Balloon Text"/>
    <w:basedOn w:val="a"/>
    <w:link w:val="Char0"/>
    <w:uiPriority w:val="99"/>
    <w:semiHidden/>
    <w:unhideWhenUsed/>
    <w:rsid w:val="004A423E"/>
    <w:rPr>
      <w:sz w:val="18"/>
      <w:szCs w:val="18"/>
    </w:rPr>
  </w:style>
  <w:style w:type="paragraph" w:styleId="a5">
    <w:name w:val="footer"/>
    <w:basedOn w:val="a"/>
    <w:link w:val="Char1"/>
    <w:uiPriority w:val="99"/>
    <w:unhideWhenUsed/>
    <w:rsid w:val="004A423E"/>
    <w:pPr>
      <w:tabs>
        <w:tab w:val="center" w:pos="4153"/>
        <w:tab w:val="right" w:pos="8306"/>
      </w:tabs>
      <w:snapToGrid w:val="0"/>
      <w:jc w:val="left"/>
    </w:pPr>
    <w:rPr>
      <w:sz w:val="18"/>
      <w:szCs w:val="18"/>
    </w:rPr>
  </w:style>
  <w:style w:type="paragraph" w:styleId="a6">
    <w:name w:val="header"/>
    <w:basedOn w:val="a"/>
    <w:link w:val="Char2"/>
    <w:uiPriority w:val="99"/>
    <w:unhideWhenUsed/>
    <w:rsid w:val="004A423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A423E"/>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4A423E"/>
    <w:rPr>
      <w:b/>
      <w:bCs/>
    </w:rPr>
  </w:style>
  <w:style w:type="table" w:styleId="a9">
    <w:name w:val="Table Grid"/>
    <w:basedOn w:val="a1"/>
    <w:uiPriority w:val="59"/>
    <w:qFormat/>
    <w:rsid w:val="004A4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4A423E"/>
    <w:rPr>
      <w:color w:val="0000FF"/>
      <w:u w:val="single"/>
    </w:rPr>
  </w:style>
  <w:style w:type="character" w:styleId="ab">
    <w:name w:val="annotation reference"/>
    <w:uiPriority w:val="99"/>
    <w:semiHidden/>
    <w:unhideWhenUsed/>
    <w:rsid w:val="004A423E"/>
    <w:rPr>
      <w:sz w:val="21"/>
      <w:szCs w:val="21"/>
    </w:rPr>
  </w:style>
  <w:style w:type="character" w:customStyle="1" w:styleId="Char2">
    <w:name w:val="页眉 Char"/>
    <w:link w:val="a6"/>
    <w:uiPriority w:val="99"/>
    <w:rsid w:val="004A423E"/>
    <w:rPr>
      <w:rFonts w:ascii="Calibri" w:eastAsia="宋体" w:hAnsi="Calibri" w:cs="Times New Roman"/>
      <w:sz w:val="18"/>
      <w:szCs w:val="18"/>
    </w:rPr>
  </w:style>
  <w:style w:type="character" w:customStyle="1" w:styleId="Char0">
    <w:name w:val="批注框文本 Char"/>
    <w:link w:val="a4"/>
    <w:uiPriority w:val="99"/>
    <w:semiHidden/>
    <w:qFormat/>
    <w:rsid w:val="004A423E"/>
    <w:rPr>
      <w:sz w:val="18"/>
      <w:szCs w:val="18"/>
    </w:rPr>
  </w:style>
  <w:style w:type="character" w:customStyle="1" w:styleId="Char1">
    <w:name w:val="页脚 Char"/>
    <w:link w:val="a5"/>
    <w:uiPriority w:val="99"/>
    <w:qFormat/>
    <w:rsid w:val="004A423E"/>
    <w:rPr>
      <w:kern w:val="2"/>
      <w:sz w:val="18"/>
      <w:szCs w:val="18"/>
    </w:rPr>
  </w:style>
  <w:style w:type="character" w:customStyle="1" w:styleId="Char">
    <w:name w:val="批注文字 Char"/>
    <w:link w:val="a3"/>
    <w:uiPriority w:val="99"/>
    <w:semiHidden/>
    <w:rsid w:val="004A423E"/>
    <w:rPr>
      <w:kern w:val="2"/>
      <w:sz w:val="21"/>
      <w:szCs w:val="22"/>
    </w:rPr>
  </w:style>
  <w:style w:type="character" w:customStyle="1" w:styleId="Char3">
    <w:name w:val="批注主题 Char"/>
    <w:link w:val="a8"/>
    <w:uiPriority w:val="99"/>
    <w:semiHidden/>
    <w:rsid w:val="004A423E"/>
    <w:rPr>
      <w:b/>
      <w:bCs/>
      <w:kern w:val="2"/>
      <w:sz w:val="21"/>
      <w:szCs w:val="22"/>
    </w:rPr>
  </w:style>
  <w:style w:type="character" w:customStyle="1" w:styleId="2Char">
    <w:name w:val="标题 2 Char"/>
    <w:link w:val="2"/>
    <w:uiPriority w:val="9"/>
    <w:rsid w:val="004A423E"/>
    <w:rPr>
      <w:rFonts w:ascii="宋体" w:hAnsi="宋体" w:cs="宋体"/>
      <w:b/>
      <w:bCs/>
      <w:sz w:val="36"/>
      <w:szCs w:val="36"/>
    </w:rPr>
  </w:style>
  <w:style w:type="paragraph" w:styleId="ac">
    <w:name w:val="List Paragraph"/>
    <w:basedOn w:val="a"/>
    <w:uiPriority w:val="34"/>
    <w:qFormat/>
    <w:rsid w:val="004A423E"/>
    <w:pPr>
      <w:ind w:firstLineChars="200" w:firstLine="420"/>
    </w:pPr>
  </w:style>
  <w:style w:type="paragraph" w:customStyle="1" w:styleId="1">
    <w:name w:val="修订1"/>
    <w:hidden/>
    <w:uiPriority w:val="99"/>
    <w:semiHidden/>
    <w:qFormat/>
    <w:rsid w:val="004A423E"/>
    <w:rPr>
      <w:kern w:val="2"/>
      <w:sz w:val="21"/>
      <w:szCs w:val="22"/>
    </w:rPr>
  </w:style>
</w:styles>
</file>

<file path=word/webSettings.xml><?xml version="1.0" encoding="utf-8"?>
<w:webSettings xmlns:r="http://schemas.openxmlformats.org/officeDocument/2006/relationships" xmlns:w="http://schemas.openxmlformats.org/wordprocessingml/2006/main">
  <w:divs>
    <w:div w:id="99799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1BBE0E-4506-4C2A-B193-F825E379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1391</Characters>
  <Application>Microsoft Office Word</Application>
  <DocSecurity>4</DocSecurity>
  <Lines>11</Lines>
  <Paragraphs>3</Paragraphs>
  <ScaleCrop>false</ScaleCrop>
  <Company>Lenovo</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2024-01-07T16:01:00Z</dcterms:created>
  <dcterms:modified xsi:type="dcterms:W3CDTF">2024-01-07T16:01:00Z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E68EC10FF4D54C6BB49D17BC4EDA031D</vt:lpwstr>
  </property>
</Properties>
</file>