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756" w:rsidRDefault="007E604C">
      <w:pPr>
        <w:spacing w:line="360" w:lineRule="auto"/>
        <w:jc w:val="center"/>
        <w:rPr>
          <w:b/>
          <w:bCs/>
          <w:color w:val="000000"/>
          <w:sz w:val="30"/>
          <w:szCs w:val="30"/>
        </w:rPr>
      </w:pPr>
      <w:bookmarkStart w:id="0" w:name="_Toc249760023"/>
      <w:r>
        <w:rPr>
          <w:rFonts w:hint="eastAsia"/>
          <w:b/>
          <w:bCs/>
          <w:color w:val="000000"/>
          <w:sz w:val="30"/>
          <w:szCs w:val="30"/>
        </w:rPr>
        <w:t>中银基金管理有限公司关于中银创新成长混合型证券投资基金基金合同终止及基金财产清算的公告</w:t>
      </w:r>
    </w:p>
    <w:p w:rsidR="00717756" w:rsidRDefault="007E604C">
      <w:pPr>
        <w:spacing w:line="360" w:lineRule="auto"/>
        <w:jc w:val="center"/>
        <w:rPr>
          <w:rFonts w:ascii="Arial" w:hAnsi="Arial" w:cs="Arial"/>
          <w:b/>
          <w:sz w:val="24"/>
        </w:rPr>
      </w:pPr>
      <w:r>
        <w:rPr>
          <w:rFonts w:ascii="Arial" w:hAnsi="Arial" w:cs="Arial"/>
          <w:b/>
          <w:sz w:val="24"/>
        </w:rPr>
        <w:t>公告送出日期：</w:t>
      </w:r>
      <w:r>
        <w:rPr>
          <w:rFonts w:ascii="Arial" w:hAnsi="Arial" w:cs="Arial" w:hint="eastAsia"/>
          <w:b/>
          <w:sz w:val="24"/>
        </w:rPr>
        <w:t>20</w:t>
      </w:r>
      <w:r>
        <w:rPr>
          <w:rFonts w:ascii="Arial" w:hAnsi="Arial" w:cs="Arial"/>
          <w:b/>
          <w:sz w:val="24"/>
        </w:rPr>
        <w:t>2</w:t>
      </w:r>
      <w:r>
        <w:rPr>
          <w:rFonts w:ascii="Arial" w:hAnsi="Arial" w:cs="Arial" w:hint="eastAsia"/>
          <w:b/>
          <w:sz w:val="24"/>
        </w:rPr>
        <w:t>4</w:t>
      </w:r>
      <w:r>
        <w:rPr>
          <w:rFonts w:ascii="Arial" w:hAnsi="Arial" w:cs="Arial" w:hint="eastAsia"/>
          <w:b/>
          <w:sz w:val="24"/>
        </w:rPr>
        <w:t>年</w:t>
      </w:r>
      <w:r>
        <w:rPr>
          <w:rFonts w:ascii="Arial" w:hAnsi="Arial" w:cs="Arial" w:hint="eastAsia"/>
          <w:b/>
          <w:sz w:val="24"/>
        </w:rPr>
        <w:t>1</w:t>
      </w:r>
      <w:r>
        <w:rPr>
          <w:rFonts w:ascii="Arial" w:hAnsi="Arial" w:cs="Arial" w:hint="eastAsia"/>
          <w:b/>
          <w:sz w:val="24"/>
        </w:rPr>
        <w:t>月</w:t>
      </w:r>
      <w:r w:rsidR="00B44049">
        <w:rPr>
          <w:rFonts w:ascii="Arial" w:hAnsi="Arial" w:cs="Arial"/>
          <w:b/>
          <w:sz w:val="24"/>
        </w:rPr>
        <w:t>6</w:t>
      </w:r>
      <w:r>
        <w:rPr>
          <w:rFonts w:ascii="Arial" w:hAnsi="Arial" w:cs="Arial" w:hint="eastAsia"/>
          <w:b/>
          <w:sz w:val="24"/>
        </w:rPr>
        <w:t>日</w:t>
      </w:r>
    </w:p>
    <w:bookmarkEnd w:id="0"/>
    <w:p w:rsidR="00717756" w:rsidRDefault="00717756">
      <w:pPr>
        <w:pStyle w:val="Default"/>
      </w:pPr>
    </w:p>
    <w:p w:rsidR="00717756" w:rsidRDefault="007E604C">
      <w:pPr>
        <w:spacing w:line="360" w:lineRule="auto"/>
        <w:ind w:firstLineChars="200" w:firstLine="420"/>
        <w:rPr>
          <w:rFonts w:ascii="Arial" w:hAnsi="Arial" w:cs="Arial"/>
          <w:color w:val="000000"/>
          <w:szCs w:val="21"/>
        </w:rPr>
      </w:pPr>
      <w:r>
        <w:rPr>
          <w:rFonts w:ascii="Arial" w:hAnsi="Arial" w:cs="Arial" w:hint="eastAsia"/>
          <w:color w:val="000000"/>
          <w:szCs w:val="21"/>
        </w:rPr>
        <w:t>根据《中华人民共和国证券投资基金法》、《公开募集证券投资基金运作管理办法》、《中银创新成长混合型证券投资基金基金合同》（以下简称</w:t>
      </w:r>
      <w:r>
        <w:rPr>
          <w:rFonts w:ascii="宋体" w:cs="Arial"/>
          <w:color w:val="000000"/>
          <w:szCs w:val="21"/>
        </w:rPr>
        <w:t>“</w:t>
      </w:r>
      <w:r>
        <w:rPr>
          <w:rFonts w:ascii="Arial" w:hAnsi="Arial" w:cs="Arial" w:hint="eastAsia"/>
          <w:color w:val="000000"/>
          <w:szCs w:val="21"/>
        </w:rPr>
        <w:t>《基金合同》</w:t>
      </w:r>
      <w:r>
        <w:rPr>
          <w:rFonts w:ascii="宋体" w:cs="Arial"/>
          <w:color w:val="000000"/>
          <w:szCs w:val="21"/>
        </w:rPr>
        <w:t>”</w:t>
      </w:r>
      <w:r>
        <w:rPr>
          <w:rFonts w:ascii="Arial" w:hAnsi="Arial" w:cs="Arial" w:hint="eastAsia"/>
          <w:color w:val="000000"/>
          <w:szCs w:val="21"/>
        </w:rPr>
        <w:t>或</w:t>
      </w:r>
      <w:r>
        <w:rPr>
          <w:rFonts w:ascii="宋体" w:cs="Arial"/>
          <w:color w:val="000000"/>
          <w:szCs w:val="21"/>
        </w:rPr>
        <w:t>“</w:t>
      </w:r>
      <w:r>
        <w:rPr>
          <w:rFonts w:ascii="Arial" w:hAnsi="Arial" w:cs="Arial" w:hint="eastAsia"/>
          <w:color w:val="000000"/>
          <w:szCs w:val="21"/>
        </w:rPr>
        <w:t>基金合同</w:t>
      </w:r>
      <w:r>
        <w:rPr>
          <w:rFonts w:ascii="宋体" w:cs="Arial"/>
          <w:color w:val="000000"/>
          <w:szCs w:val="21"/>
        </w:rPr>
        <w:t>”</w:t>
      </w:r>
      <w:r>
        <w:rPr>
          <w:rFonts w:ascii="Arial" w:hAnsi="Arial" w:cs="Arial" w:hint="eastAsia"/>
          <w:color w:val="000000"/>
          <w:szCs w:val="21"/>
        </w:rPr>
        <w:t>）的有关规定，中银创新成长混合型证券投资基金（以下简称</w:t>
      </w:r>
      <w:r>
        <w:rPr>
          <w:rFonts w:ascii="宋体" w:cs="Arial"/>
          <w:color w:val="000000"/>
          <w:szCs w:val="21"/>
        </w:rPr>
        <w:t>“</w:t>
      </w:r>
      <w:r>
        <w:rPr>
          <w:rFonts w:ascii="Arial" w:hAnsi="Arial" w:cs="Arial" w:hint="eastAsia"/>
          <w:color w:val="000000"/>
          <w:szCs w:val="21"/>
        </w:rPr>
        <w:t>本基金</w:t>
      </w:r>
      <w:r>
        <w:rPr>
          <w:rFonts w:ascii="宋体" w:cs="Arial"/>
          <w:color w:val="000000"/>
          <w:szCs w:val="21"/>
        </w:rPr>
        <w:t>”</w:t>
      </w:r>
      <w:r>
        <w:rPr>
          <w:rFonts w:ascii="Arial" w:hAnsi="Arial" w:cs="Arial" w:hint="eastAsia"/>
          <w:color w:val="000000"/>
          <w:szCs w:val="21"/>
        </w:rPr>
        <w:t>）出现了基金合同终止事由，且中银基金管理有限公司（以下简称“本基金管理人”）应当在上述事由出现后按照约定程序终止基金合同，此事项不需召开基金份额持有人大会。现将相关事宜公告如下：</w:t>
      </w:r>
    </w:p>
    <w:p w:rsidR="00717756" w:rsidRDefault="007E604C">
      <w:pPr>
        <w:spacing w:line="360" w:lineRule="auto"/>
        <w:ind w:firstLineChars="200" w:firstLine="422"/>
        <w:rPr>
          <w:rFonts w:ascii="Arial" w:hAnsi="Arial" w:cs="Arial"/>
          <w:b/>
          <w:color w:val="000000"/>
          <w:szCs w:val="21"/>
        </w:rPr>
      </w:pPr>
      <w:r>
        <w:rPr>
          <w:rFonts w:ascii="Arial" w:hAnsi="Arial" w:cs="Arial" w:hint="eastAsia"/>
          <w:b/>
          <w:color w:val="000000"/>
          <w:szCs w:val="21"/>
        </w:rPr>
        <w:t>一、基金基本信息</w:t>
      </w: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83"/>
        <w:gridCol w:w="5152"/>
      </w:tblGrid>
      <w:tr w:rsidR="00717756">
        <w:trPr>
          <w:trHeight w:val="296"/>
          <w:jc w:val="center"/>
        </w:trPr>
        <w:tc>
          <w:tcPr>
            <w:tcW w:w="2883" w:type="dxa"/>
            <w:vAlign w:val="center"/>
          </w:tcPr>
          <w:p w:rsidR="00717756" w:rsidRDefault="007E604C">
            <w:pPr>
              <w:jc w:val="left"/>
              <w:rPr>
                <w:rFonts w:ascii="Arial" w:hAnsi="Arial" w:cs="Arial"/>
                <w:szCs w:val="21"/>
              </w:rPr>
            </w:pPr>
            <w:r>
              <w:rPr>
                <w:rFonts w:ascii="Arial" w:hAnsi="Arial" w:cs="Arial"/>
                <w:szCs w:val="21"/>
              </w:rPr>
              <w:t>基金名称</w:t>
            </w:r>
          </w:p>
        </w:tc>
        <w:tc>
          <w:tcPr>
            <w:tcW w:w="5152" w:type="dxa"/>
          </w:tcPr>
          <w:p w:rsidR="00717756" w:rsidRDefault="007E604C">
            <w:pPr>
              <w:rPr>
                <w:szCs w:val="21"/>
              </w:rPr>
            </w:pPr>
            <w:r>
              <w:rPr>
                <w:rFonts w:hint="eastAsia"/>
                <w:szCs w:val="21"/>
              </w:rPr>
              <w:t>中银创新成长混合型证券投资基金</w:t>
            </w:r>
          </w:p>
        </w:tc>
      </w:tr>
      <w:tr w:rsidR="00717756">
        <w:trPr>
          <w:trHeight w:val="311"/>
          <w:jc w:val="center"/>
        </w:trPr>
        <w:tc>
          <w:tcPr>
            <w:tcW w:w="2883" w:type="dxa"/>
            <w:vAlign w:val="center"/>
          </w:tcPr>
          <w:p w:rsidR="00717756" w:rsidRDefault="007E604C">
            <w:pPr>
              <w:rPr>
                <w:szCs w:val="21"/>
              </w:rPr>
            </w:pPr>
            <w:r>
              <w:rPr>
                <w:szCs w:val="21"/>
              </w:rPr>
              <w:t>基金简称</w:t>
            </w:r>
          </w:p>
        </w:tc>
        <w:tc>
          <w:tcPr>
            <w:tcW w:w="5152" w:type="dxa"/>
          </w:tcPr>
          <w:p w:rsidR="00717756" w:rsidRDefault="007E604C">
            <w:pPr>
              <w:rPr>
                <w:szCs w:val="21"/>
              </w:rPr>
            </w:pPr>
            <w:r>
              <w:rPr>
                <w:rFonts w:hint="eastAsia"/>
                <w:szCs w:val="21"/>
              </w:rPr>
              <w:t>中银创新成长混合</w:t>
            </w:r>
          </w:p>
        </w:tc>
      </w:tr>
      <w:tr w:rsidR="00717756">
        <w:trPr>
          <w:trHeight w:val="296"/>
          <w:jc w:val="center"/>
        </w:trPr>
        <w:tc>
          <w:tcPr>
            <w:tcW w:w="2883" w:type="dxa"/>
            <w:vAlign w:val="center"/>
          </w:tcPr>
          <w:p w:rsidR="00717756" w:rsidRDefault="007E604C">
            <w:pPr>
              <w:rPr>
                <w:szCs w:val="21"/>
              </w:rPr>
            </w:pPr>
            <w:r>
              <w:rPr>
                <w:szCs w:val="21"/>
              </w:rPr>
              <w:t>基金主代码</w:t>
            </w:r>
          </w:p>
        </w:tc>
        <w:tc>
          <w:tcPr>
            <w:tcW w:w="5152" w:type="dxa"/>
          </w:tcPr>
          <w:p w:rsidR="00717756" w:rsidRDefault="007E604C">
            <w:pPr>
              <w:rPr>
                <w:szCs w:val="21"/>
              </w:rPr>
            </w:pPr>
            <w:r>
              <w:rPr>
                <w:rFonts w:hint="eastAsia"/>
                <w:szCs w:val="21"/>
              </w:rPr>
              <w:t>016577</w:t>
            </w:r>
          </w:p>
        </w:tc>
      </w:tr>
      <w:tr w:rsidR="00717756">
        <w:trPr>
          <w:trHeight w:val="311"/>
          <w:jc w:val="center"/>
        </w:trPr>
        <w:tc>
          <w:tcPr>
            <w:tcW w:w="2883" w:type="dxa"/>
            <w:vAlign w:val="center"/>
          </w:tcPr>
          <w:p w:rsidR="00717756" w:rsidRDefault="007E604C">
            <w:pPr>
              <w:rPr>
                <w:szCs w:val="21"/>
              </w:rPr>
            </w:pPr>
            <w:r>
              <w:rPr>
                <w:szCs w:val="21"/>
              </w:rPr>
              <w:t>基金运作方式</w:t>
            </w:r>
          </w:p>
        </w:tc>
        <w:tc>
          <w:tcPr>
            <w:tcW w:w="5152" w:type="dxa"/>
          </w:tcPr>
          <w:p w:rsidR="00717756" w:rsidRDefault="007E604C">
            <w:pPr>
              <w:rPr>
                <w:szCs w:val="21"/>
              </w:rPr>
            </w:pPr>
            <w:r>
              <w:rPr>
                <w:rFonts w:hint="eastAsia"/>
                <w:szCs w:val="21"/>
              </w:rPr>
              <w:t>契约型开放式</w:t>
            </w:r>
          </w:p>
        </w:tc>
      </w:tr>
      <w:tr w:rsidR="00717756">
        <w:trPr>
          <w:trHeight w:val="296"/>
          <w:jc w:val="center"/>
        </w:trPr>
        <w:tc>
          <w:tcPr>
            <w:tcW w:w="2883" w:type="dxa"/>
            <w:vAlign w:val="center"/>
          </w:tcPr>
          <w:p w:rsidR="00717756" w:rsidRDefault="007E604C">
            <w:pPr>
              <w:rPr>
                <w:szCs w:val="21"/>
              </w:rPr>
            </w:pPr>
            <w:r>
              <w:rPr>
                <w:szCs w:val="21"/>
              </w:rPr>
              <w:t>基金合同生效日</w:t>
            </w:r>
          </w:p>
        </w:tc>
        <w:tc>
          <w:tcPr>
            <w:tcW w:w="5152" w:type="dxa"/>
          </w:tcPr>
          <w:p w:rsidR="00717756" w:rsidRDefault="007E604C">
            <w:pPr>
              <w:rPr>
                <w:szCs w:val="21"/>
              </w:rPr>
            </w:pPr>
            <w:r>
              <w:rPr>
                <w:szCs w:val="21"/>
              </w:rPr>
              <w:t>202</w:t>
            </w:r>
            <w:r>
              <w:rPr>
                <w:rFonts w:hint="eastAsia"/>
                <w:szCs w:val="21"/>
              </w:rPr>
              <w:t>3</w:t>
            </w:r>
            <w:r>
              <w:rPr>
                <w:szCs w:val="21"/>
              </w:rPr>
              <w:t>年</w:t>
            </w:r>
            <w:r>
              <w:rPr>
                <w:rFonts w:hint="eastAsia"/>
                <w:szCs w:val="21"/>
              </w:rPr>
              <w:t>2</w:t>
            </w:r>
            <w:r>
              <w:rPr>
                <w:szCs w:val="21"/>
              </w:rPr>
              <w:t>月</w:t>
            </w:r>
            <w:r>
              <w:rPr>
                <w:rFonts w:hint="eastAsia"/>
                <w:szCs w:val="21"/>
              </w:rPr>
              <w:t>15</w:t>
            </w:r>
            <w:r>
              <w:rPr>
                <w:szCs w:val="21"/>
              </w:rPr>
              <w:t>日</w:t>
            </w:r>
          </w:p>
        </w:tc>
      </w:tr>
      <w:tr w:rsidR="00717756">
        <w:trPr>
          <w:trHeight w:val="311"/>
          <w:jc w:val="center"/>
        </w:trPr>
        <w:tc>
          <w:tcPr>
            <w:tcW w:w="2883" w:type="dxa"/>
            <w:vAlign w:val="center"/>
          </w:tcPr>
          <w:p w:rsidR="00717756" w:rsidRDefault="007E604C">
            <w:pPr>
              <w:rPr>
                <w:szCs w:val="21"/>
              </w:rPr>
            </w:pPr>
            <w:r>
              <w:rPr>
                <w:szCs w:val="21"/>
              </w:rPr>
              <w:t>基金管理人名称</w:t>
            </w:r>
          </w:p>
        </w:tc>
        <w:tc>
          <w:tcPr>
            <w:tcW w:w="5152" w:type="dxa"/>
          </w:tcPr>
          <w:p w:rsidR="00717756" w:rsidRDefault="007E604C">
            <w:pPr>
              <w:rPr>
                <w:szCs w:val="21"/>
              </w:rPr>
            </w:pPr>
            <w:r>
              <w:rPr>
                <w:szCs w:val="21"/>
              </w:rPr>
              <w:t>中银基金管理有限公司</w:t>
            </w:r>
          </w:p>
        </w:tc>
      </w:tr>
      <w:tr w:rsidR="00717756">
        <w:trPr>
          <w:trHeight w:val="296"/>
          <w:jc w:val="center"/>
        </w:trPr>
        <w:tc>
          <w:tcPr>
            <w:tcW w:w="2883" w:type="dxa"/>
            <w:vAlign w:val="center"/>
          </w:tcPr>
          <w:p w:rsidR="00717756" w:rsidRDefault="007E604C">
            <w:pPr>
              <w:rPr>
                <w:szCs w:val="21"/>
              </w:rPr>
            </w:pPr>
            <w:r>
              <w:rPr>
                <w:szCs w:val="21"/>
              </w:rPr>
              <w:t>基金托管人名称</w:t>
            </w:r>
          </w:p>
        </w:tc>
        <w:tc>
          <w:tcPr>
            <w:tcW w:w="5152" w:type="dxa"/>
          </w:tcPr>
          <w:p w:rsidR="00717756" w:rsidRDefault="007E604C">
            <w:pPr>
              <w:rPr>
                <w:szCs w:val="21"/>
              </w:rPr>
            </w:pPr>
            <w:r>
              <w:rPr>
                <w:rFonts w:hint="eastAsia"/>
                <w:szCs w:val="21"/>
              </w:rPr>
              <w:t>交通银行股份有限公司</w:t>
            </w:r>
          </w:p>
        </w:tc>
      </w:tr>
      <w:tr w:rsidR="00717756">
        <w:trPr>
          <w:trHeight w:val="1244"/>
          <w:jc w:val="center"/>
        </w:trPr>
        <w:tc>
          <w:tcPr>
            <w:tcW w:w="2883" w:type="dxa"/>
            <w:vAlign w:val="center"/>
          </w:tcPr>
          <w:p w:rsidR="00717756" w:rsidRDefault="007E604C">
            <w:pPr>
              <w:rPr>
                <w:szCs w:val="21"/>
              </w:rPr>
            </w:pPr>
            <w:r>
              <w:rPr>
                <w:szCs w:val="21"/>
              </w:rPr>
              <w:t>公告依据</w:t>
            </w:r>
          </w:p>
        </w:tc>
        <w:tc>
          <w:tcPr>
            <w:tcW w:w="5152" w:type="dxa"/>
          </w:tcPr>
          <w:p w:rsidR="00717756" w:rsidRDefault="007E604C">
            <w:pPr>
              <w:rPr>
                <w:szCs w:val="21"/>
              </w:rPr>
            </w:pPr>
            <w:r>
              <w:rPr>
                <w:rFonts w:hint="eastAsia"/>
                <w:szCs w:val="21"/>
              </w:rPr>
              <w:t>《中华人民共和国证券投资基金法》、《公开募集证券投资基金运作管理办法》、《公开募集证券投资基金信息披露管理办法》、</w:t>
            </w:r>
            <w:r>
              <w:rPr>
                <w:szCs w:val="21"/>
              </w:rPr>
              <w:t>《</w:t>
            </w:r>
            <w:r>
              <w:rPr>
                <w:rFonts w:hint="eastAsia"/>
                <w:szCs w:val="21"/>
              </w:rPr>
              <w:t>中银创新成长混合型证券投资基金</w:t>
            </w:r>
            <w:r>
              <w:rPr>
                <w:szCs w:val="21"/>
              </w:rPr>
              <w:t>基金合同》、《</w:t>
            </w:r>
            <w:r>
              <w:rPr>
                <w:rFonts w:hint="eastAsia"/>
                <w:szCs w:val="21"/>
              </w:rPr>
              <w:t>中银创新成长混合型证券投资基金</w:t>
            </w:r>
            <w:r>
              <w:rPr>
                <w:szCs w:val="21"/>
              </w:rPr>
              <w:t>招募说明书》等</w:t>
            </w:r>
          </w:p>
        </w:tc>
      </w:tr>
    </w:tbl>
    <w:p w:rsidR="00717756" w:rsidRDefault="007E604C">
      <w:pPr>
        <w:spacing w:before="240" w:line="360" w:lineRule="auto"/>
        <w:ind w:firstLineChars="200" w:firstLine="422"/>
        <w:rPr>
          <w:rFonts w:ascii="Arial" w:hAnsi="Arial" w:cs="Arial"/>
          <w:b/>
          <w:color w:val="000000"/>
          <w:szCs w:val="21"/>
        </w:rPr>
      </w:pPr>
      <w:r>
        <w:rPr>
          <w:rFonts w:ascii="Arial" w:hAnsi="Arial" w:cs="Arial" w:hint="eastAsia"/>
          <w:b/>
          <w:color w:val="000000"/>
          <w:szCs w:val="21"/>
        </w:rPr>
        <w:t>二、基金合同终止事由</w:t>
      </w:r>
    </w:p>
    <w:p w:rsidR="00717756" w:rsidRDefault="007E604C">
      <w:pPr>
        <w:spacing w:line="360" w:lineRule="auto"/>
        <w:ind w:firstLineChars="200" w:firstLine="420"/>
        <w:rPr>
          <w:rFonts w:ascii="Arial" w:hAnsi="Arial" w:cs="Arial"/>
          <w:color w:val="000000"/>
          <w:szCs w:val="21"/>
        </w:rPr>
      </w:pPr>
      <w:r>
        <w:rPr>
          <w:rFonts w:ascii="Arial" w:hAnsi="Arial" w:cs="Arial" w:hint="eastAsia"/>
          <w:color w:val="000000"/>
          <w:szCs w:val="21"/>
        </w:rPr>
        <w:t>根据《基金合同》“第五部分</w:t>
      </w:r>
      <w:r>
        <w:rPr>
          <w:rFonts w:ascii="Arial" w:hAnsi="Arial" w:cs="Arial" w:hint="eastAsia"/>
          <w:color w:val="000000"/>
          <w:szCs w:val="21"/>
        </w:rPr>
        <w:t xml:space="preserve"> </w:t>
      </w:r>
      <w:r>
        <w:rPr>
          <w:rFonts w:ascii="Arial" w:hAnsi="Arial" w:cs="Arial" w:hint="eastAsia"/>
          <w:color w:val="000000"/>
          <w:szCs w:val="21"/>
        </w:rPr>
        <w:t>基金备案”之“三、基金存续期内的基金份额持有人数量和资产规模”的约定，</w:t>
      </w:r>
      <w:r>
        <w:rPr>
          <w:rFonts w:ascii="Arial" w:hAnsi="Arial" w:cs="Arial"/>
          <w:color w:val="000000"/>
          <w:szCs w:val="21"/>
        </w:rPr>
        <w:t>《基金合同》生效后，连续</w:t>
      </w:r>
      <w:r>
        <w:rPr>
          <w:rFonts w:ascii="Arial" w:hAnsi="Arial" w:cs="Arial"/>
          <w:color w:val="000000"/>
          <w:szCs w:val="21"/>
        </w:rPr>
        <w:t>50</w:t>
      </w:r>
      <w:r>
        <w:rPr>
          <w:rFonts w:ascii="Arial" w:hAnsi="Arial" w:cs="Arial"/>
          <w:color w:val="000000"/>
          <w:szCs w:val="21"/>
        </w:rPr>
        <w:t>个工作日出现基金份额持有人数量不满</w:t>
      </w:r>
      <w:r>
        <w:rPr>
          <w:rFonts w:ascii="Arial" w:hAnsi="Arial" w:cs="Arial"/>
          <w:color w:val="000000"/>
          <w:szCs w:val="21"/>
        </w:rPr>
        <w:t>200</w:t>
      </w:r>
      <w:r>
        <w:rPr>
          <w:rFonts w:ascii="Arial" w:hAnsi="Arial" w:cs="Arial"/>
          <w:color w:val="000000"/>
          <w:szCs w:val="21"/>
        </w:rPr>
        <w:t>人或者基金资产净值低于</w:t>
      </w:r>
      <w:r>
        <w:rPr>
          <w:rFonts w:ascii="Arial" w:hAnsi="Arial" w:cs="Arial"/>
          <w:color w:val="000000"/>
          <w:szCs w:val="21"/>
        </w:rPr>
        <w:t>5000</w:t>
      </w:r>
      <w:r>
        <w:rPr>
          <w:rFonts w:ascii="Arial" w:hAnsi="Arial" w:cs="Arial"/>
          <w:color w:val="000000"/>
          <w:szCs w:val="21"/>
        </w:rPr>
        <w:t>万元情形的，</w:t>
      </w:r>
      <w:r>
        <w:rPr>
          <w:rFonts w:ascii="Arial" w:hAnsi="Arial" w:cs="Arial" w:hint="eastAsia"/>
          <w:color w:val="000000"/>
          <w:szCs w:val="21"/>
        </w:rPr>
        <w:t>基金应当按照基金合同的约定程序进行清算并终止，且无需召开基金份额持有人大会</w:t>
      </w:r>
      <w:r>
        <w:rPr>
          <w:rFonts w:ascii="Arial" w:hAnsi="Arial" w:cs="Arial"/>
          <w:color w:val="000000"/>
          <w:szCs w:val="21"/>
        </w:rPr>
        <w:t>。</w:t>
      </w:r>
    </w:p>
    <w:p w:rsidR="00717756" w:rsidRDefault="007E604C">
      <w:pPr>
        <w:spacing w:line="360" w:lineRule="auto"/>
        <w:ind w:firstLineChars="200" w:firstLine="420"/>
        <w:rPr>
          <w:rFonts w:ascii="Arial" w:hAnsi="Arial" w:cs="Arial"/>
          <w:color w:val="000000"/>
          <w:szCs w:val="21"/>
        </w:rPr>
      </w:pPr>
      <w:r>
        <w:rPr>
          <w:rFonts w:ascii="Arial" w:hAnsi="Arial" w:cs="Arial" w:hint="eastAsia"/>
          <w:color w:val="000000"/>
          <w:szCs w:val="21"/>
        </w:rPr>
        <w:t>自基金合同生效以来，截至</w:t>
      </w:r>
      <w:r>
        <w:rPr>
          <w:rFonts w:ascii="Arial" w:hAnsi="Arial" w:cs="Arial" w:hint="eastAsia"/>
          <w:color w:val="000000"/>
          <w:szCs w:val="21"/>
        </w:rPr>
        <w:t>2024</w:t>
      </w:r>
      <w:r>
        <w:rPr>
          <w:rFonts w:ascii="Arial" w:hAnsi="Arial" w:cs="Arial" w:hint="eastAsia"/>
          <w:color w:val="000000"/>
          <w:szCs w:val="21"/>
        </w:rPr>
        <w:t>年</w:t>
      </w:r>
      <w:r>
        <w:rPr>
          <w:rFonts w:ascii="Arial" w:hAnsi="Arial" w:cs="Arial" w:hint="eastAsia"/>
          <w:color w:val="000000"/>
          <w:szCs w:val="21"/>
        </w:rPr>
        <w:t>1</w:t>
      </w:r>
      <w:r>
        <w:rPr>
          <w:rFonts w:ascii="Arial" w:hAnsi="Arial" w:cs="Arial" w:hint="eastAsia"/>
          <w:color w:val="000000"/>
          <w:szCs w:val="21"/>
        </w:rPr>
        <w:t>月</w:t>
      </w:r>
      <w:r>
        <w:rPr>
          <w:rFonts w:ascii="Arial" w:hAnsi="Arial" w:cs="Arial" w:hint="eastAsia"/>
          <w:color w:val="000000"/>
          <w:szCs w:val="21"/>
        </w:rPr>
        <w:t>5</w:t>
      </w:r>
      <w:r>
        <w:rPr>
          <w:rFonts w:ascii="Arial" w:hAnsi="Arial" w:cs="Arial" w:hint="eastAsia"/>
          <w:color w:val="000000"/>
          <w:szCs w:val="21"/>
        </w:rPr>
        <w:t>日，本基金已连续</w:t>
      </w:r>
      <w:r>
        <w:rPr>
          <w:rFonts w:ascii="Arial" w:hAnsi="Arial" w:cs="Arial"/>
          <w:color w:val="000000"/>
          <w:szCs w:val="21"/>
        </w:rPr>
        <w:t>5</w:t>
      </w:r>
      <w:r>
        <w:rPr>
          <w:rFonts w:ascii="Arial" w:hAnsi="Arial" w:cs="Arial" w:hint="eastAsia"/>
          <w:color w:val="000000"/>
          <w:szCs w:val="21"/>
        </w:rPr>
        <w:t>0</w:t>
      </w:r>
      <w:r>
        <w:rPr>
          <w:rFonts w:ascii="Arial" w:hAnsi="Arial" w:cs="Arial" w:hint="eastAsia"/>
          <w:color w:val="000000"/>
          <w:szCs w:val="21"/>
        </w:rPr>
        <w:t>个工作日基金资产净值低于</w:t>
      </w:r>
      <w:r>
        <w:rPr>
          <w:rFonts w:ascii="Arial" w:hAnsi="Arial" w:cs="Arial" w:hint="eastAsia"/>
          <w:color w:val="000000"/>
          <w:szCs w:val="21"/>
        </w:rPr>
        <w:t>5000</w:t>
      </w:r>
      <w:r>
        <w:rPr>
          <w:rFonts w:ascii="Arial" w:hAnsi="Arial" w:cs="Arial" w:hint="eastAsia"/>
          <w:color w:val="000000"/>
          <w:szCs w:val="21"/>
        </w:rPr>
        <w:t>万元。为维护基金份额持有人利益，根据基金合同约定，本基金管理人应当终止《基金合同》，并按照《基金合同》的约定程序进行清算，不需要召开基金份额持有人大会。</w:t>
      </w:r>
    </w:p>
    <w:p w:rsidR="00717756" w:rsidRDefault="007E604C">
      <w:pPr>
        <w:spacing w:line="360" w:lineRule="auto"/>
        <w:ind w:firstLineChars="200" w:firstLine="422"/>
        <w:rPr>
          <w:rFonts w:ascii="Arial" w:hAnsi="Arial" w:cs="Arial"/>
          <w:b/>
          <w:color w:val="000000"/>
          <w:szCs w:val="21"/>
        </w:rPr>
      </w:pPr>
      <w:r>
        <w:rPr>
          <w:rFonts w:ascii="Arial" w:hAnsi="Arial" w:cs="Arial" w:hint="eastAsia"/>
          <w:b/>
          <w:color w:val="000000"/>
          <w:szCs w:val="21"/>
        </w:rPr>
        <w:t>三、相关业务办理情况</w:t>
      </w:r>
    </w:p>
    <w:p w:rsidR="00717756" w:rsidRDefault="007E604C">
      <w:pPr>
        <w:spacing w:line="360" w:lineRule="auto"/>
        <w:ind w:firstLineChars="200" w:firstLine="420"/>
        <w:rPr>
          <w:rFonts w:ascii="Arial" w:hAnsi="Arial" w:cs="Arial"/>
          <w:color w:val="000000"/>
          <w:szCs w:val="21"/>
        </w:rPr>
      </w:pPr>
      <w:r>
        <w:rPr>
          <w:rFonts w:ascii="Arial" w:hAnsi="Arial" w:cs="Arial" w:hint="eastAsia"/>
          <w:color w:val="000000"/>
          <w:szCs w:val="21"/>
        </w:rPr>
        <w:lastRenderedPageBreak/>
        <w:t>为保护投资者利益，本基金将在进入清算程序前安排</w:t>
      </w:r>
      <w:r>
        <w:rPr>
          <w:rFonts w:ascii="Arial" w:hAnsi="Arial" w:cs="Arial"/>
          <w:color w:val="000000"/>
          <w:szCs w:val="21"/>
        </w:rPr>
        <w:t>5</w:t>
      </w:r>
      <w:r>
        <w:rPr>
          <w:rFonts w:ascii="Arial" w:hAnsi="Arial" w:cs="Arial" w:hint="eastAsia"/>
          <w:color w:val="000000"/>
          <w:szCs w:val="21"/>
        </w:rPr>
        <w:t>个工作日的赎回选择期。自</w:t>
      </w:r>
      <w:r>
        <w:rPr>
          <w:rFonts w:ascii="Arial" w:hAnsi="Arial" w:cs="Arial"/>
          <w:color w:val="000000"/>
          <w:szCs w:val="21"/>
        </w:rPr>
        <w:t>202</w:t>
      </w:r>
      <w:r>
        <w:rPr>
          <w:rFonts w:ascii="Arial" w:hAnsi="Arial" w:cs="Arial" w:hint="eastAsia"/>
          <w:color w:val="000000"/>
          <w:szCs w:val="21"/>
        </w:rPr>
        <w:t>4</w:t>
      </w:r>
      <w:r>
        <w:rPr>
          <w:rFonts w:ascii="Arial" w:hAnsi="Arial" w:cs="Arial" w:hint="eastAsia"/>
          <w:color w:val="000000"/>
          <w:szCs w:val="21"/>
        </w:rPr>
        <w:t>年</w:t>
      </w:r>
      <w:r>
        <w:rPr>
          <w:rFonts w:ascii="Arial" w:hAnsi="Arial" w:cs="Arial"/>
          <w:color w:val="000000"/>
          <w:szCs w:val="21"/>
        </w:rPr>
        <w:t>1</w:t>
      </w:r>
      <w:r>
        <w:rPr>
          <w:rFonts w:ascii="Arial" w:hAnsi="Arial" w:cs="Arial" w:hint="eastAsia"/>
          <w:color w:val="000000"/>
          <w:szCs w:val="21"/>
        </w:rPr>
        <w:t>月</w:t>
      </w:r>
      <w:r>
        <w:rPr>
          <w:rFonts w:ascii="Arial" w:hAnsi="Arial" w:cs="Arial" w:hint="eastAsia"/>
          <w:color w:val="000000"/>
          <w:szCs w:val="21"/>
        </w:rPr>
        <w:t>8</w:t>
      </w:r>
      <w:r>
        <w:rPr>
          <w:rFonts w:ascii="Arial" w:hAnsi="Arial" w:cs="Arial" w:hint="eastAsia"/>
          <w:color w:val="000000"/>
          <w:szCs w:val="21"/>
        </w:rPr>
        <w:t>日起至</w:t>
      </w:r>
      <w:r>
        <w:rPr>
          <w:rFonts w:ascii="Arial" w:hAnsi="Arial" w:cs="Arial"/>
          <w:color w:val="000000"/>
          <w:szCs w:val="21"/>
        </w:rPr>
        <w:t>202</w:t>
      </w:r>
      <w:r>
        <w:rPr>
          <w:rFonts w:ascii="Arial" w:hAnsi="Arial" w:cs="Arial" w:hint="eastAsia"/>
          <w:color w:val="000000"/>
          <w:szCs w:val="21"/>
        </w:rPr>
        <w:t>4</w:t>
      </w:r>
      <w:r>
        <w:rPr>
          <w:rFonts w:ascii="Arial" w:hAnsi="Arial" w:cs="Arial" w:hint="eastAsia"/>
          <w:color w:val="000000"/>
          <w:szCs w:val="21"/>
        </w:rPr>
        <w:t>年</w:t>
      </w:r>
      <w:r>
        <w:rPr>
          <w:rFonts w:ascii="Arial" w:hAnsi="Arial" w:cs="Arial"/>
          <w:color w:val="000000"/>
          <w:szCs w:val="21"/>
        </w:rPr>
        <w:t>1</w:t>
      </w:r>
      <w:r>
        <w:rPr>
          <w:rFonts w:ascii="Arial" w:hAnsi="Arial" w:cs="Arial" w:hint="eastAsia"/>
          <w:color w:val="000000"/>
          <w:szCs w:val="21"/>
        </w:rPr>
        <w:t>月</w:t>
      </w:r>
      <w:r>
        <w:rPr>
          <w:rFonts w:ascii="Arial" w:hAnsi="Arial" w:cs="Arial" w:hint="eastAsia"/>
          <w:color w:val="000000"/>
          <w:szCs w:val="21"/>
        </w:rPr>
        <w:t>12</w:t>
      </w:r>
      <w:r>
        <w:rPr>
          <w:rFonts w:ascii="Arial" w:hAnsi="Arial" w:cs="Arial" w:hint="eastAsia"/>
          <w:color w:val="000000"/>
          <w:szCs w:val="21"/>
        </w:rPr>
        <w:t>日止为本基金的赎回选择期，该期间基金份额持有人可以选择赎回、转换转出其持有的基金份额，但期间不恢复办理投资者的申购、定期定额投资及转换转入业务。</w:t>
      </w:r>
    </w:p>
    <w:p w:rsidR="00717756" w:rsidRDefault="007E604C">
      <w:pPr>
        <w:spacing w:line="360" w:lineRule="auto"/>
        <w:ind w:firstLineChars="200" w:firstLine="420"/>
        <w:rPr>
          <w:rFonts w:ascii="Arial" w:hAnsi="Arial" w:cs="Arial"/>
          <w:color w:val="000000"/>
          <w:szCs w:val="21"/>
        </w:rPr>
      </w:pPr>
      <w:r>
        <w:rPr>
          <w:rFonts w:ascii="Arial" w:hAnsi="Arial" w:cs="Arial" w:hint="eastAsia"/>
          <w:color w:val="000000"/>
          <w:szCs w:val="21"/>
        </w:rPr>
        <w:t>如果发生了巨额赎回等情形，基金管理人仍可根据《基金合同》的约定及实际情况决定全额赎回、延缓支付赎回款项或部分延期赎回。</w:t>
      </w:r>
    </w:p>
    <w:p w:rsidR="00717756" w:rsidRDefault="007E604C">
      <w:pPr>
        <w:spacing w:line="360" w:lineRule="auto"/>
        <w:ind w:firstLineChars="200" w:firstLine="420"/>
        <w:rPr>
          <w:rFonts w:ascii="Arial" w:hAnsi="Arial" w:cs="Arial"/>
          <w:color w:val="000000"/>
          <w:szCs w:val="21"/>
        </w:rPr>
      </w:pPr>
      <w:r>
        <w:rPr>
          <w:rFonts w:ascii="Arial" w:hAnsi="Arial" w:cs="Arial" w:hint="eastAsia"/>
          <w:color w:val="000000"/>
          <w:szCs w:val="21"/>
        </w:rPr>
        <w:t>自</w:t>
      </w:r>
      <w:r>
        <w:rPr>
          <w:rFonts w:ascii="Arial" w:hAnsi="Arial" w:cs="Arial" w:hint="eastAsia"/>
          <w:color w:val="000000"/>
          <w:szCs w:val="21"/>
        </w:rPr>
        <w:t>2024</w:t>
      </w:r>
      <w:r>
        <w:rPr>
          <w:rFonts w:ascii="Arial" w:hAnsi="Arial" w:cs="Arial" w:hint="eastAsia"/>
          <w:color w:val="000000"/>
          <w:szCs w:val="21"/>
        </w:rPr>
        <w:t>年</w:t>
      </w:r>
      <w:r>
        <w:rPr>
          <w:rFonts w:ascii="Arial" w:hAnsi="Arial" w:cs="Arial" w:hint="eastAsia"/>
          <w:color w:val="000000"/>
          <w:szCs w:val="21"/>
        </w:rPr>
        <w:t>1</w:t>
      </w:r>
      <w:r>
        <w:rPr>
          <w:rFonts w:ascii="Arial" w:hAnsi="Arial" w:cs="Arial" w:hint="eastAsia"/>
          <w:color w:val="000000"/>
          <w:szCs w:val="21"/>
        </w:rPr>
        <w:t>月</w:t>
      </w:r>
      <w:r w:rsidR="00B44049">
        <w:rPr>
          <w:rFonts w:ascii="Arial" w:hAnsi="Arial" w:cs="Arial"/>
          <w:color w:val="000000"/>
          <w:szCs w:val="21"/>
        </w:rPr>
        <w:t>1</w:t>
      </w:r>
      <w:r w:rsidR="00D278E7">
        <w:rPr>
          <w:rFonts w:ascii="Arial" w:hAnsi="Arial" w:cs="Arial"/>
          <w:color w:val="000000"/>
          <w:szCs w:val="21"/>
        </w:rPr>
        <w:t>3</w:t>
      </w:r>
      <w:r>
        <w:rPr>
          <w:rFonts w:ascii="Arial" w:hAnsi="Arial" w:cs="Arial" w:hint="eastAsia"/>
          <w:color w:val="000000"/>
          <w:szCs w:val="21"/>
        </w:rPr>
        <w:t>日起</w:t>
      </w:r>
      <w:r>
        <w:rPr>
          <w:rFonts w:ascii="Arial" w:hAnsi="Arial" w:cs="Arial"/>
          <w:color w:val="000000"/>
          <w:szCs w:val="21"/>
        </w:rPr>
        <w:t>，本基金进入清算程序，停止办理</w:t>
      </w:r>
      <w:r>
        <w:rPr>
          <w:rFonts w:ascii="Arial" w:hAnsi="Arial" w:cs="Arial" w:hint="eastAsia"/>
          <w:color w:val="000000"/>
          <w:szCs w:val="21"/>
        </w:rPr>
        <w:t>或不再恢复办理</w:t>
      </w:r>
      <w:r>
        <w:rPr>
          <w:rFonts w:ascii="Arial" w:hAnsi="Arial" w:cs="Arial"/>
          <w:color w:val="000000"/>
          <w:szCs w:val="21"/>
        </w:rPr>
        <w:t>申购、赎回</w:t>
      </w:r>
      <w:r>
        <w:rPr>
          <w:rFonts w:ascii="Arial" w:hAnsi="Arial" w:cs="Arial" w:hint="eastAsia"/>
          <w:color w:val="000000"/>
          <w:szCs w:val="21"/>
        </w:rPr>
        <w:t>、转换及定期定额投资</w:t>
      </w:r>
      <w:r>
        <w:rPr>
          <w:rFonts w:ascii="Arial" w:hAnsi="Arial" w:cs="Arial"/>
          <w:color w:val="000000"/>
          <w:szCs w:val="21"/>
        </w:rPr>
        <w:t>等业务。本基金进入清算程序后，停止收取基金管理费、基金托管费</w:t>
      </w:r>
      <w:r>
        <w:rPr>
          <w:rFonts w:ascii="Arial" w:hAnsi="Arial" w:cs="Arial" w:hint="eastAsia"/>
          <w:color w:val="000000"/>
          <w:szCs w:val="21"/>
        </w:rPr>
        <w:t>、</w:t>
      </w:r>
      <w:r>
        <w:rPr>
          <w:rFonts w:ascii="Arial" w:hAnsi="Arial" w:cs="Arial"/>
          <w:color w:val="000000"/>
          <w:szCs w:val="21"/>
        </w:rPr>
        <w:t>销售服务费</w:t>
      </w:r>
      <w:r>
        <w:rPr>
          <w:rFonts w:ascii="Arial" w:hAnsi="Arial" w:cs="Arial" w:hint="eastAsia"/>
          <w:color w:val="000000"/>
          <w:szCs w:val="21"/>
        </w:rPr>
        <w:t>等</w:t>
      </w:r>
      <w:r>
        <w:rPr>
          <w:rFonts w:ascii="Arial" w:hAnsi="Arial" w:cs="Arial"/>
          <w:color w:val="000000"/>
          <w:szCs w:val="21"/>
        </w:rPr>
        <w:t>费用。</w:t>
      </w:r>
    </w:p>
    <w:p w:rsidR="00717756" w:rsidRDefault="007E604C">
      <w:pPr>
        <w:spacing w:line="360" w:lineRule="auto"/>
        <w:ind w:firstLineChars="200" w:firstLine="420"/>
        <w:rPr>
          <w:rFonts w:ascii="Arial" w:hAnsi="Arial" w:cs="Arial"/>
          <w:color w:val="000000"/>
          <w:szCs w:val="21"/>
        </w:rPr>
      </w:pPr>
      <w:r>
        <w:rPr>
          <w:rFonts w:ascii="Arial" w:hAnsi="Arial" w:cs="Arial"/>
          <w:color w:val="000000"/>
          <w:szCs w:val="21"/>
        </w:rPr>
        <w:t>本基金进入清算程序前，本基金仍按照《基金合同》的约定进行运作。</w:t>
      </w:r>
    </w:p>
    <w:p w:rsidR="00717756" w:rsidRDefault="007E604C">
      <w:pPr>
        <w:spacing w:line="360" w:lineRule="auto"/>
        <w:ind w:firstLineChars="200" w:firstLine="422"/>
        <w:rPr>
          <w:rFonts w:ascii="Arial" w:hAnsi="Arial" w:cs="Arial"/>
          <w:b/>
          <w:color w:val="000000"/>
          <w:szCs w:val="21"/>
        </w:rPr>
      </w:pPr>
      <w:r>
        <w:rPr>
          <w:rFonts w:ascii="Arial" w:hAnsi="Arial" w:cs="Arial"/>
          <w:b/>
          <w:color w:val="000000"/>
          <w:szCs w:val="21"/>
        </w:rPr>
        <w:t>四</w:t>
      </w:r>
      <w:r>
        <w:rPr>
          <w:rFonts w:ascii="Arial" w:hAnsi="Arial" w:cs="Arial" w:hint="eastAsia"/>
          <w:b/>
          <w:color w:val="000000"/>
          <w:szCs w:val="21"/>
        </w:rPr>
        <w:t>、终止《基金合同》技术可行性</w:t>
      </w:r>
    </w:p>
    <w:p w:rsidR="00717756" w:rsidRDefault="007E604C">
      <w:pPr>
        <w:spacing w:line="360" w:lineRule="auto"/>
        <w:ind w:firstLineChars="200" w:firstLine="420"/>
        <w:rPr>
          <w:rFonts w:ascii="Arial" w:hAnsi="Arial" w:cs="Arial"/>
          <w:color w:val="000000"/>
          <w:szCs w:val="21"/>
        </w:rPr>
      </w:pPr>
      <w:r>
        <w:rPr>
          <w:rFonts w:ascii="Arial" w:hAnsi="Arial" w:cs="Arial" w:hint="eastAsia"/>
          <w:color w:val="000000"/>
          <w:szCs w:val="21"/>
        </w:rPr>
        <w:t>本基金进入清算程序后，根据《基金合同》中有关基金财产清算的规定，成立基金财产清算小组。基金财产清算小组成员由基金管理人、基金托管人、符合《中华人民共和国证券法》规定的注册会计师、律师以及中国证监会指定的人员组成。基金财产清算小组可以聘用必要的工作人员。本基金的基金管理人、基金托管人已就财产清算的有关事项进行了充分准备，技术可行。清算报告将由会计师事务所进行外部审计，律师事务所对清算报告出具法律意见书，报中国证监会备案并公告。</w:t>
      </w:r>
    </w:p>
    <w:p w:rsidR="00717756" w:rsidRDefault="007E604C">
      <w:pPr>
        <w:spacing w:line="360" w:lineRule="auto"/>
        <w:ind w:firstLineChars="200" w:firstLine="420"/>
        <w:rPr>
          <w:rFonts w:ascii="Arial" w:hAnsi="Arial" w:cs="Arial"/>
          <w:color w:val="000000"/>
          <w:szCs w:val="21"/>
        </w:rPr>
      </w:pPr>
      <w:r>
        <w:rPr>
          <w:rFonts w:ascii="Arial" w:hAnsi="Arial" w:cs="Arial" w:hint="eastAsia"/>
          <w:color w:val="000000"/>
          <w:szCs w:val="21"/>
        </w:rPr>
        <w:t>因此，终止《基金合同》不存在技术方面的障碍。</w:t>
      </w:r>
    </w:p>
    <w:p w:rsidR="00717756" w:rsidRDefault="007E604C">
      <w:pPr>
        <w:spacing w:before="240" w:line="360" w:lineRule="auto"/>
        <w:ind w:firstLineChars="200" w:firstLine="422"/>
        <w:rPr>
          <w:rFonts w:ascii="Arial" w:hAnsi="Arial" w:cs="Arial"/>
          <w:color w:val="000000"/>
          <w:szCs w:val="21"/>
        </w:rPr>
      </w:pPr>
      <w:r>
        <w:rPr>
          <w:rFonts w:ascii="Arial" w:hAnsi="Arial" w:cs="Arial"/>
          <w:b/>
          <w:color w:val="000000"/>
          <w:szCs w:val="21"/>
        </w:rPr>
        <w:t>五</w:t>
      </w:r>
      <w:r>
        <w:rPr>
          <w:rFonts w:ascii="Arial" w:hAnsi="Arial" w:cs="Arial" w:hint="eastAsia"/>
          <w:b/>
          <w:color w:val="000000"/>
          <w:szCs w:val="21"/>
        </w:rPr>
        <w:t>、基金财产的清算</w:t>
      </w:r>
    </w:p>
    <w:p w:rsidR="00717756" w:rsidRDefault="007E604C">
      <w:pPr>
        <w:spacing w:line="360" w:lineRule="auto"/>
        <w:ind w:firstLineChars="200" w:firstLine="420"/>
        <w:rPr>
          <w:rFonts w:ascii="Arial" w:hAnsi="Arial" w:cs="Arial"/>
          <w:color w:val="000000"/>
          <w:szCs w:val="21"/>
        </w:rPr>
      </w:pPr>
      <w:r>
        <w:rPr>
          <w:rFonts w:ascii="Arial" w:hAnsi="Arial" w:cs="Arial"/>
          <w:color w:val="000000"/>
          <w:szCs w:val="21"/>
        </w:rPr>
        <w:t>1</w:t>
      </w:r>
      <w:r>
        <w:rPr>
          <w:rFonts w:ascii="Arial" w:hAnsi="Arial" w:cs="Arial"/>
          <w:color w:val="000000"/>
          <w:szCs w:val="21"/>
        </w:rPr>
        <w:t>、基金财产清算小组：自出现《基金合同》终止事由之日起</w:t>
      </w:r>
      <w:r>
        <w:rPr>
          <w:rFonts w:ascii="Arial" w:hAnsi="Arial" w:cs="Arial"/>
          <w:color w:val="000000"/>
          <w:szCs w:val="21"/>
        </w:rPr>
        <w:t>30</w:t>
      </w:r>
      <w:r>
        <w:rPr>
          <w:rFonts w:ascii="Arial" w:hAnsi="Arial" w:cs="Arial"/>
          <w:color w:val="000000"/>
          <w:szCs w:val="21"/>
        </w:rPr>
        <w:t>个工作日内成立清算小组，基金管理人组织基金财产清算小组并在中国证监会的监督下进行基金清算。</w:t>
      </w:r>
    </w:p>
    <w:p w:rsidR="00717756" w:rsidRDefault="007E604C">
      <w:pPr>
        <w:spacing w:line="360" w:lineRule="auto"/>
        <w:ind w:firstLineChars="200" w:firstLine="420"/>
        <w:rPr>
          <w:rFonts w:ascii="Arial" w:hAnsi="Arial" w:cs="Arial"/>
          <w:color w:val="000000"/>
          <w:szCs w:val="21"/>
        </w:rPr>
      </w:pPr>
      <w:r>
        <w:rPr>
          <w:rFonts w:ascii="Arial" w:hAnsi="Arial" w:cs="Arial"/>
          <w:color w:val="000000"/>
          <w:szCs w:val="21"/>
        </w:rPr>
        <w:t>2</w:t>
      </w:r>
      <w:r>
        <w:rPr>
          <w:rFonts w:ascii="Arial" w:hAnsi="Arial" w:cs="Arial"/>
          <w:color w:val="000000"/>
          <w:szCs w:val="21"/>
        </w:rPr>
        <w:t>、基金财产清算小组组成：基金财产清算小组成员由基金管理人、基金托管人、</w:t>
      </w:r>
      <w:r>
        <w:rPr>
          <w:rFonts w:ascii="Arial" w:hAnsi="Arial" w:cs="Arial" w:hint="eastAsia"/>
          <w:color w:val="000000"/>
          <w:szCs w:val="21"/>
        </w:rPr>
        <w:t>符合《中华人民共和国证券法》规定</w:t>
      </w:r>
      <w:r>
        <w:rPr>
          <w:rFonts w:ascii="Arial" w:hAnsi="Arial" w:cs="Arial"/>
          <w:color w:val="000000"/>
          <w:szCs w:val="21"/>
        </w:rPr>
        <w:t>的注册会计师、律师以及中国证监会指定的人员组成。基金财产清算小组可以聘用必要的工作人员。</w:t>
      </w:r>
    </w:p>
    <w:p w:rsidR="00717756" w:rsidRDefault="007E604C">
      <w:pPr>
        <w:spacing w:line="360" w:lineRule="auto"/>
        <w:ind w:firstLineChars="200" w:firstLine="420"/>
        <w:rPr>
          <w:rFonts w:ascii="Arial" w:hAnsi="Arial" w:cs="Arial"/>
          <w:color w:val="000000"/>
          <w:szCs w:val="21"/>
        </w:rPr>
      </w:pPr>
      <w:r>
        <w:rPr>
          <w:rFonts w:ascii="Arial" w:hAnsi="Arial" w:cs="Arial"/>
          <w:color w:val="000000"/>
          <w:szCs w:val="21"/>
        </w:rPr>
        <w:t>3</w:t>
      </w:r>
      <w:r>
        <w:rPr>
          <w:rFonts w:ascii="Arial" w:hAnsi="Arial" w:cs="Arial"/>
          <w:color w:val="000000"/>
          <w:szCs w:val="21"/>
        </w:rPr>
        <w:t>、基金财产清算小组职责：基金财产清算小组负责基金财产的保管、清理、估价、变现和分配。基金财产清算小组可以依法进行必要的民事活动。</w:t>
      </w:r>
    </w:p>
    <w:p w:rsidR="00717756" w:rsidRDefault="007E604C">
      <w:pPr>
        <w:spacing w:line="360" w:lineRule="auto"/>
        <w:ind w:firstLineChars="200" w:firstLine="420"/>
        <w:rPr>
          <w:rFonts w:ascii="Arial" w:hAnsi="Arial" w:cs="Arial"/>
          <w:color w:val="000000"/>
          <w:szCs w:val="21"/>
        </w:rPr>
      </w:pPr>
      <w:r>
        <w:rPr>
          <w:rFonts w:ascii="Arial" w:hAnsi="Arial" w:cs="Arial"/>
          <w:color w:val="000000"/>
          <w:szCs w:val="21"/>
        </w:rPr>
        <w:t>4</w:t>
      </w:r>
      <w:r>
        <w:rPr>
          <w:rFonts w:ascii="Arial" w:hAnsi="Arial" w:cs="Arial"/>
          <w:color w:val="000000"/>
          <w:szCs w:val="21"/>
        </w:rPr>
        <w:t>、基金财产清算程序：</w:t>
      </w:r>
    </w:p>
    <w:p w:rsidR="00717756" w:rsidRDefault="007E604C">
      <w:pPr>
        <w:spacing w:line="360" w:lineRule="auto"/>
        <w:ind w:firstLineChars="200" w:firstLine="420"/>
        <w:rPr>
          <w:rFonts w:ascii="Arial" w:hAnsi="Arial" w:cs="Arial"/>
          <w:color w:val="000000"/>
          <w:szCs w:val="21"/>
        </w:rPr>
      </w:pPr>
      <w:r>
        <w:rPr>
          <w:rFonts w:ascii="Arial" w:hAnsi="Arial" w:cs="Arial"/>
          <w:color w:val="000000"/>
          <w:szCs w:val="21"/>
        </w:rPr>
        <w:t>（</w:t>
      </w:r>
      <w:r>
        <w:rPr>
          <w:rFonts w:ascii="Arial" w:hAnsi="Arial" w:cs="Arial"/>
          <w:color w:val="000000"/>
          <w:szCs w:val="21"/>
        </w:rPr>
        <w:t>1</w:t>
      </w:r>
      <w:r>
        <w:rPr>
          <w:rFonts w:ascii="Arial" w:hAnsi="Arial" w:cs="Arial"/>
          <w:color w:val="000000"/>
          <w:szCs w:val="21"/>
        </w:rPr>
        <w:t>）《基金合同》终止情形出现时，由基金财产清算小组统一接管基金；</w:t>
      </w:r>
    </w:p>
    <w:p w:rsidR="00717756" w:rsidRDefault="007E604C">
      <w:pPr>
        <w:spacing w:line="360" w:lineRule="auto"/>
        <w:ind w:firstLineChars="200" w:firstLine="420"/>
        <w:rPr>
          <w:rFonts w:ascii="Arial" w:hAnsi="Arial" w:cs="Arial"/>
          <w:color w:val="000000"/>
          <w:szCs w:val="21"/>
        </w:rPr>
      </w:pPr>
      <w:r>
        <w:rPr>
          <w:rFonts w:ascii="Arial" w:hAnsi="Arial" w:cs="Arial"/>
          <w:color w:val="000000"/>
          <w:szCs w:val="21"/>
        </w:rPr>
        <w:t>（</w:t>
      </w:r>
      <w:r>
        <w:rPr>
          <w:rFonts w:ascii="Arial" w:hAnsi="Arial" w:cs="Arial"/>
          <w:color w:val="000000"/>
          <w:szCs w:val="21"/>
        </w:rPr>
        <w:t>2</w:t>
      </w:r>
      <w:r>
        <w:rPr>
          <w:rFonts w:ascii="Arial" w:hAnsi="Arial" w:cs="Arial"/>
          <w:color w:val="000000"/>
          <w:szCs w:val="21"/>
        </w:rPr>
        <w:t>）对基金财产和债权债务进行清理和确认；</w:t>
      </w:r>
    </w:p>
    <w:p w:rsidR="00717756" w:rsidRDefault="007E604C">
      <w:pPr>
        <w:spacing w:line="360" w:lineRule="auto"/>
        <w:ind w:firstLineChars="200" w:firstLine="420"/>
        <w:rPr>
          <w:rFonts w:ascii="Arial" w:hAnsi="Arial" w:cs="Arial"/>
          <w:color w:val="000000"/>
          <w:szCs w:val="21"/>
        </w:rPr>
      </w:pPr>
      <w:r>
        <w:rPr>
          <w:rFonts w:ascii="Arial" w:hAnsi="Arial" w:cs="Arial"/>
          <w:color w:val="000000"/>
          <w:szCs w:val="21"/>
        </w:rPr>
        <w:lastRenderedPageBreak/>
        <w:t>（</w:t>
      </w:r>
      <w:r>
        <w:rPr>
          <w:rFonts w:ascii="Arial" w:hAnsi="Arial" w:cs="Arial"/>
          <w:color w:val="000000"/>
          <w:szCs w:val="21"/>
        </w:rPr>
        <w:t>3</w:t>
      </w:r>
      <w:r>
        <w:rPr>
          <w:rFonts w:ascii="Arial" w:hAnsi="Arial" w:cs="Arial"/>
          <w:color w:val="000000"/>
          <w:szCs w:val="21"/>
        </w:rPr>
        <w:t>）对基金财产进行估值和变现；</w:t>
      </w:r>
    </w:p>
    <w:p w:rsidR="00717756" w:rsidRDefault="007E604C">
      <w:pPr>
        <w:spacing w:line="360" w:lineRule="auto"/>
        <w:ind w:firstLineChars="200" w:firstLine="420"/>
        <w:rPr>
          <w:rFonts w:ascii="Arial" w:hAnsi="Arial" w:cs="Arial"/>
          <w:color w:val="000000"/>
          <w:szCs w:val="21"/>
        </w:rPr>
      </w:pPr>
      <w:r>
        <w:rPr>
          <w:rFonts w:ascii="Arial" w:hAnsi="Arial" w:cs="Arial"/>
          <w:color w:val="000000"/>
          <w:szCs w:val="21"/>
        </w:rPr>
        <w:t>（</w:t>
      </w:r>
      <w:r>
        <w:rPr>
          <w:rFonts w:ascii="Arial" w:hAnsi="Arial" w:cs="Arial"/>
          <w:color w:val="000000"/>
          <w:szCs w:val="21"/>
        </w:rPr>
        <w:t>4</w:t>
      </w:r>
      <w:r>
        <w:rPr>
          <w:rFonts w:ascii="Arial" w:hAnsi="Arial" w:cs="Arial"/>
          <w:color w:val="000000"/>
          <w:szCs w:val="21"/>
        </w:rPr>
        <w:t>）制作清算报告；</w:t>
      </w:r>
    </w:p>
    <w:p w:rsidR="00717756" w:rsidRDefault="007E604C">
      <w:pPr>
        <w:spacing w:line="360" w:lineRule="auto"/>
        <w:ind w:firstLineChars="200" w:firstLine="420"/>
        <w:rPr>
          <w:rFonts w:ascii="Arial" w:hAnsi="Arial" w:cs="Arial"/>
          <w:color w:val="000000"/>
          <w:szCs w:val="21"/>
        </w:rPr>
      </w:pPr>
      <w:r>
        <w:rPr>
          <w:rFonts w:ascii="Arial" w:hAnsi="Arial" w:cs="Arial"/>
          <w:color w:val="000000"/>
          <w:szCs w:val="21"/>
        </w:rPr>
        <w:t>（</w:t>
      </w:r>
      <w:r>
        <w:rPr>
          <w:rFonts w:ascii="Arial" w:hAnsi="Arial" w:cs="Arial"/>
          <w:color w:val="000000"/>
          <w:szCs w:val="21"/>
        </w:rPr>
        <w:t>5</w:t>
      </w:r>
      <w:r>
        <w:rPr>
          <w:rFonts w:ascii="Arial" w:hAnsi="Arial" w:cs="Arial"/>
          <w:color w:val="000000"/>
          <w:szCs w:val="21"/>
        </w:rPr>
        <w:t>）聘请会计师事务所对清算报告进行外部审计，聘请律师事务所对清算报告出具法律意见书；</w:t>
      </w:r>
    </w:p>
    <w:p w:rsidR="00717756" w:rsidRDefault="007E604C">
      <w:pPr>
        <w:spacing w:line="360" w:lineRule="auto"/>
        <w:ind w:firstLineChars="200" w:firstLine="420"/>
        <w:rPr>
          <w:rFonts w:ascii="Arial" w:hAnsi="Arial" w:cs="Arial"/>
          <w:color w:val="000000"/>
          <w:szCs w:val="21"/>
        </w:rPr>
      </w:pPr>
      <w:r>
        <w:rPr>
          <w:rFonts w:ascii="Arial" w:hAnsi="Arial" w:cs="Arial"/>
          <w:color w:val="000000"/>
          <w:szCs w:val="21"/>
        </w:rPr>
        <w:t>（</w:t>
      </w:r>
      <w:r>
        <w:rPr>
          <w:rFonts w:ascii="Arial" w:hAnsi="Arial" w:cs="Arial"/>
          <w:color w:val="000000"/>
          <w:szCs w:val="21"/>
        </w:rPr>
        <w:t>6</w:t>
      </w:r>
      <w:r>
        <w:rPr>
          <w:rFonts w:ascii="Arial" w:hAnsi="Arial" w:cs="Arial"/>
          <w:color w:val="000000"/>
          <w:szCs w:val="21"/>
        </w:rPr>
        <w:t>）将清算报告报中国证监会备案并公告；</w:t>
      </w:r>
    </w:p>
    <w:p w:rsidR="00717756" w:rsidRDefault="007E604C">
      <w:pPr>
        <w:spacing w:line="360" w:lineRule="auto"/>
        <w:ind w:firstLineChars="200" w:firstLine="420"/>
        <w:rPr>
          <w:rFonts w:ascii="Arial" w:hAnsi="Arial" w:cs="Arial"/>
          <w:color w:val="000000"/>
          <w:szCs w:val="21"/>
        </w:rPr>
      </w:pPr>
      <w:r>
        <w:rPr>
          <w:rFonts w:ascii="Arial" w:hAnsi="Arial" w:cs="Arial"/>
          <w:color w:val="000000"/>
          <w:szCs w:val="21"/>
        </w:rPr>
        <w:t>（</w:t>
      </w:r>
      <w:r>
        <w:rPr>
          <w:rFonts w:ascii="Arial" w:hAnsi="Arial" w:cs="Arial"/>
          <w:color w:val="000000"/>
          <w:szCs w:val="21"/>
        </w:rPr>
        <w:t>7</w:t>
      </w:r>
      <w:r>
        <w:rPr>
          <w:rFonts w:ascii="Arial" w:hAnsi="Arial" w:cs="Arial"/>
          <w:color w:val="000000"/>
          <w:szCs w:val="21"/>
        </w:rPr>
        <w:t>）对基金剩余财产进行分配。</w:t>
      </w:r>
    </w:p>
    <w:p w:rsidR="00717756" w:rsidRDefault="007E604C">
      <w:pPr>
        <w:spacing w:line="360" w:lineRule="auto"/>
        <w:ind w:firstLineChars="200" w:firstLine="420"/>
        <w:rPr>
          <w:rFonts w:ascii="Arial" w:hAnsi="Arial" w:cs="Arial"/>
          <w:color w:val="000000"/>
          <w:szCs w:val="21"/>
        </w:rPr>
      </w:pPr>
      <w:r>
        <w:rPr>
          <w:rFonts w:ascii="Arial" w:hAnsi="Arial" w:cs="Arial"/>
          <w:color w:val="000000"/>
          <w:szCs w:val="21"/>
        </w:rPr>
        <w:t>5</w:t>
      </w:r>
      <w:r>
        <w:rPr>
          <w:rFonts w:ascii="Arial" w:hAnsi="Arial" w:cs="Arial"/>
          <w:color w:val="000000"/>
          <w:szCs w:val="21"/>
        </w:rPr>
        <w:t>、基金财产清算的期限为</w:t>
      </w:r>
      <w:r>
        <w:rPr>
          <w:rFonts w:ascii="Arial" w:hAnsi="Arial" w:cs="Arial"/>
          <w:color w:val="000000"/>
          <w:szCs w:val="21"/>
        </w:rPr>
        <w:t>6</w:t>
      </w:r>
      <w:r>
        <w:rPr>
          <w:rFonts w:ascii="Arial" w:hAnsi="Arial" w:cs="Arial"/>
          <w:color w:val="000000"/>
          <w:szCs w:val="21"/>
        </w:rPr>
        <w:t>个月</w:t>
      </w:r>
      <w:r>
        <w:rPr>
          <w:rFonts w:ascii="Arial" w:hAnsi="Arial" w:cs="Arial" w:hint="eastAsia"/>
          <w:color w:val="000000"/>
          <w:szCs w:val="21"/>
        </w:rPr>
        <w:t>，但因本基金所持证券的流动性受到限制而不能及时变现的，清算期限相应顺延</w:t>
      </w:r>
      <w:r>
        <w:rPr>
          <w:rFonts w:ascii="Arial" w:hAnsi="Arial" w:cs="Arial"/>
          <w:color w:val="000000"/>
          <w:szCs w:val="21"/>
        </w:rPr>
        <w:t>。</w:t>
      </w:r>
    </w:p>
    <w:p w:rsidR="00717756" w:rsidRDefault="007E604C">
      <w:pPr>
        <w:spacing w:line="360" w:lineRule="auto"/>
        <w:ind w:firstLineChars="200" w:firstLine="420"/>
        <w:rPr>
          <w:rFonts w:ascii="Arial" w:hAnsi="Arial" w:cs="Arial"/>
          <w:color w:val="000000"/>
          <w:szCs w:val="21"/>
        </w:rPr>
      </w:pPr>
      <w:r>
        <w:rPr>
          <w:rFonts w:ascii="Arial" w:hAnsi="Arial" w:cs="Arial" w:hint="eastAsia"/>
          <w:color w:val="000000"/>
          <w:szCs w:val="21"/>
        </w:rPr>
        <w:t>6</w:t>
      </w:r>
      <w:r>
        <w:rPr>
          <w:rFonts w:ascii="Arial" w:hAnsi="Arial" w:cs="Arial" w:hint="eastAsia"/>
          <w:color w:val="000000"/>
          <w:szCs w:val="21"/>
        </w:rPr>
        <w:t>、</w:t>
      </w:r>
      <w:r>
        <w:rPr>
          <w:rFonts w:ascii="Arial" w:hAnsi="Arial" w:cs="Arial"/>
          <w:color w:val="000000"/>
          <w:szCs w:val="21"/>
        </w:rPr>
        <w:t>清算费用</w:t>
      </w:r>
    </w:p>
    <w:p w:rsidR="00717756" w:rsidRDefault="007E604C">
      <w:pPr>
        <w:spacing w:line="360" w:lineRule="auto"/>
        <w:ind w:firstLineChars="200" w:firstLine="420"/>
        <w:rPr>
          <w:rFonts w:ascii="Arial" w:hAnsi="Arial" w:cs="Arial"/>
          <w:color w:val="000000"/>
          <w:szCs w:val="21"/>
        </w:rPr>
      </w:pPr>
      <w:r>
        <w:rPr>
          <w:rFonts w:ascii="Arial" w:hAnsi="Arial" w:cs="Arial"/>
          <w:color w:val="000000"/>
          <w:szCs w:val="21"/>
        </w:rPr>
        <w:t>清算费用是指基金财产清算小组在进行基金清算过程中发生的所有合理费用，清算费用由基金财产清算小组优先从基金</w:t>
      </w:r>
      <w:r w:rsidR="006F26EC">
        <w:rPr>
          <w:rFonts w:ascii="Arial" w:hAnsi="Arial" w:cs="Arial" w:hint="eastAsia"/>
          <w:color w:val="000000"/>
          <w:szCs w:val="21"/>
        </w:rPr>
        <w:t>剩余</w:t>
      </w:r>
      <w:r>
        <w:rPr>
          <w:rFonts w:ascii="Arial" w:hAnsi="Arial" w:cs="Arial"/>
          <w:color w:val="000000"/>
          <w:szCs w:val="21"/>
        </w:rPr>
        <w:t>财产中支付。</w:t>
      </w:r>
    </w:p>
    <w:p w:rsidR="00717756" w:rsidRDefault="007E604C">
      <w:pPr>
        <w:spacing w:line="360" w:lineRule="auto"/>
        <w:ind w:firstLineChars="200" w:firstLine="420"/>
        <w:rPr>
          <w:rFonts w:ascii="Arial" w:hAnsi="Arial" w:cs="Arial"/>
          <w:color w:val="000000"/>
          <w:szCs w:val="21"/>
        </w:rPr>
      </w:pPr>
      <w:r>
        <w:rPr>
          <w:rFonts w:ascii="Arial" w:hAnsi="Arial" w:cs="Arial" w:hint="eastAsia"/>
          <w:color w:val="000000"/>
          <w:szCs w:val="21"/>
        </w:rPr>
        <w:t>7</w:t>
      </w:r>
      <w:r>
        <w:rPr>
          <w:rFonts w:ascii="Arial" w:hAnsi="Arial" w:cs="Arial" w:hint="eastAsia"/>
          <w:color w:val="000000"/>
          <w:szCs w:val="21"/>
        </w:rPr>
        <w:t>、</w:t>
      </w:r>
      <w:r>
        <w:rPr>
          <w:rFonts w:ascii="Arial" w:hAnsi="Arial" w:cs="Arial"/>
          <w:color w:val="000000"/>
          <w:szCs w:val="21"/>
        </w:rPr>
        <w:t>基金财产清算剩余资产的分配</w:t>
      </w:r>
    </w:p>
    <w:p w:rsidR="00717756" w:rsidRDefault="007E604C">
      <w:pPr>
        <w:spacing w:line="360" w:lineRule="auto"/>
        <w:ind w:firstLineChars="200" w:firstLine="420"/>
        <w:rPr>
          <w:rFonts w:ascii="Arial" w:hAnsi="Arial" w:cs="Arial"/>
          <w:color w:val="000000"/>
          <w:szCs w:val="21"/>
        </w:rPr>
      </w:pPr>
      <w:r>
        <w:rPr>
          <w:rFonts w:ascii="Arial" w:hAnsi="Arial" w:cs="Arial"/>
          <w:color w:val="000000"/>
          <w:szCs w:val="21"/>
        </w:rPr>
        <w:t>依据基金财产清算的分配方案，将基金财产清算后的全部剩余资产扣除基金财产清算费用、交纳所欠税款并清偿基金债务后，按基金份额持有人持有的基金份额比例进行分配。</w:t>
      </w:r>
    </w:p>
    <w:p w:rsidR="00717756" w:rsidRDefault="007E604C">
      <w:pPr>
        <w:spacing w:line="360" w:lineRule="auto"/>
        <w:ind w:firstLineChars="200" w:firstLine="420"/>
        <w:rPr>
          <w:rFonts w:ascii="Arial" w:hAnsi="Arial" w:cs="Arial"/>
          <w:color w:val="000000"/>
          <w:szCs w:val="21"/>
        </w:rPr>
      </w:pPr>
      <w:r>
        <w:rPr>
          <w:rFonts w:ascii="Arial" w:hAnsi="Arial" w:cs="Arial" w:hint="eastAsia"/>
          <w:color w:val="000000"/>
          <w:szCs w:val="21"/>
        </w:rPr>
        <w:t>8</w:t>
      </w:r>
      <w:r>
        <w:rPr>
          <w:rFonts w:ascii="Arial" w:hAnsi="Arial" w:cs="Arial" w:hint="eastAsia"/>
          <w:color w:val="000000"/>
          <w:szCs w:val="21"/>
        </w:rPr>
        <w:t>、</w:t>
      </w:r>
      <w:r>
        <w:rPr>
          <w:rFonts w:ascii="Arial" w:hAnsi="Arial" w:cs="Arial"/>
          <w:color w:val="000000"/>
          <w:szCs w:val="21"/>
        </w:rPr>
        <w:t>基金财产清算的公告</w:t>
      </w:r>
    </w:p>
    <w:p w:rsidR="00717756" w:rsidRDefault="007E604C">
      <w:pPr>
        <w:spacing w:line="360" w:lineRule="auto"/>
        <w:ind w:firstLineChars="200" w:firstLine="420"/>
        <w:rPr>
          <w:rFonts w:ascii="Arial" w:hAnsi="Arial" w:cs="Arial"/>
          <w:color w:val="000000"/>
          <w:szCs w:val="21"/>
        </w:rPr>
      </w:pPr>
      <w:r>
        <w:rPr>
          <w:rFonts w:ascii="Arial" w:hAnsi="Arial" w:cs="Arial"/>
          <w:color w:val="000000"/>
          <w:szCs w:val="21"/>
        </w:rPr>
        <w:t>清算过程中的有关重大事项须及时公告；基金财产清算报告经</w:t>
      </w:r>
      <w:r>
        <w:rPr>
          <w:rFonts w:ascii="Arial" w:hAnsi="Arial" w:cs="Arial" w:hint="eastAsia"/>
          <w:color w:val="000000"/>
          <w:szCs w:val="21"/>
        </w:rPr>
        <w:t>符合《中华人民共和国证券法》规定的</w:t>
      </w:r>
      <w:r>
        <w:rPr>
          <w:rFonts w:ascii="Arial" w:hAnsi="Arial" w:cs="Arial"/>
          <w:color w:val="000000"/>
          <w:szCs w:val="21"/>
        </w:rPr>
        <w:t>会计师事务所审计并由律师事务所出具法律意见书后报中国证监会备案并公告。基金财产清算公告于基金财产清算报告报中国证监会备案后</w:t>
      </w:r>
      <w:r>
        <w:rPr>
          <w:rFonts w:ascii="Arial" w:hAnsi="Arial" w:cs="Arial"/>
          <w:color w:val="000000"/>
          <w:szCs w:val="21"/>
        </w:rPr>
        <w:t>5</w:t>
      </w:r>
      <w:r>
        <w:rPr>
          <w:rFonts w:ascii="Arial" w:hAnsi="Arial" w:cs="Arial"/>
          <w:color w:val="000000"/>
          <w:szCs w:val="21"/>
        </w:rPr>
        <w:t>个工作日内由基金财产清算小组进行公告</w:t>
      </w:r>
      <w:r>
        <w:rPr>
          <w:rFonts w:ascii="Arial" w:hAnsi="Arial" w:cs="Arial" w:hint="eastAsia"/>
          <w:color w:val="000000"/>
          <w:szCs w:val="21"/>
        </w:rPr>
        <w:t>，基金财产清算小组应当将清算报告登载在规定网站上，并将清算报告提示性公告登载在规定报刊上</w:t>
      </w:r>
      <w:r>
        <w:rPr>
          <w:rFonts w:ascii="Arial" w:hAnsi="Arial" w:cs="Arial"/>
          <w:color w:val="000000"/>
          <w:szCs w:val="21"/>
        </w:rPr>
        <w:t>。</w:t>
      </w:r>
    </w:p>
    <w:p w:rsidR="00717756" w:rsidRDefault="007E604C">
      <w:pPr>
        <w:spacing w:line="360" w:lineRule="auto"/>
        <w:ind w:firstLineChars="200" w:firstLine="420"/>
        <w:rPr>
          <w:rFonts w:ascii="Arial" w:hAnsi="Arial" w:cs="Arial"/>
          <w:color w:val="000000"/>
          <w:szCs w:val="21"/>
        </w:rPr>
      </w:pPr>
      <w:r>
        <w:rPr>
          <w:rFonts w:ascii="Arial" w:hAnsi="Arial" w:cs="Arial" w:hint="eastAsia"/>
          <w:color w:val="000000"/>
          <w:szCs w:val="21"/>
        </w:rPr>
        <w:t>9</w:t>
      </w:r>
      <w:r>
        <w:rPr>
          <w:rFonts w:ascii="Arial" w:hAnsi="Arial" w:cs="Arial"/>
          <w:color w:val="000000"/>
          <w:szCs w:val="21"/>
        </w:rPr>
        <w:t>、基金财产清算账册及文件的保存</w:t>
      </w:r>
    </w:p>
    <w:p w:rsidR="00717756" w:rsidRDefault="007E604C">
      <w:pPr>
        <w:spacing w:line="360" w:lineRule="auto"/>
        <w:ind w:firstLineChars="200" w:firstLine="420"/>
        <w:rPr>
          <w:rFonts w:ascii="Arial" w:hAnsi="Arial" w:cs="Arial"/>
          <w:color w:val="000000"/>
          <w:szCs w:val="21"/>
        </w:rPr>
      </w:pPr>
      <w:r>
        <w:rPr>
          <w:rFonts w:ascii="Arial" w:hAnsi="Arial" w:cs="Arial"/>
          <w:color w:val="000000"/>
          <w:szCs w:val="21"/>
        </w:rPr>
        <w:t>基金财产清算账册及有关文件由基金托管人保存</w:t>
      </w:r>
      <w:r>
        <w:rPr>
          <w:rFonts w:ascii="Arial" w:hAnsi="Arial" w:cs="Arial" w:hint="eastAsia"/>
          <w:color w:val="000000"/>
          <w:szCs w:val="21"/>
        </w:rPr>
        <w:t>不低于法律法规规定的最低期限</w:t>
      </w:r>
      <w:r>
        <w:rPr>
          <w:rFonts w:ascii="Arial" w:hAnsi="Arial" w:cs="Arial"/>
          <w:color w:val="000000"/>
          <w:szCs w:val="21"/>
        </w:rPr>
        <w:t>。</w:t>
      </w:r>
    </w:p>
    <w:p w:rsidR="00717756" w:rsidRDefault="007E604C">
      <w:pPr>
        <w:spacing w:before="240" w:line="360" w:lineRule="auto"/>
        <w:ind w:firstLineChars="200" w:firstLine="422"/>
        <w:rPr>
          <w:rFonts w:ascii="Arial" w:hAnsi="Arial" w:cs="Arial"/>
          <w:b/>
          <w:szCs w:val="21"/>
        </w:rPr>
      </w:pPr>
      <w:r>
        <w:rPr>
          <w:rFonts w:ascii="Arial" w:hAnsi="Arial" w:cs="Arial" w:hint="eastAsia"/>
          <w:b/>
          <w:color w:val="000000"/>
          <w:szCs w:val="21"/>
        </w:rPr>
        <w:t>六、其他</w:t>
      </w:r>
      <w:r>
        <w:rPr>
          <w:rFonts w:ascii="Arial" w:hAnsi="Arial" w:cs="Arial"/>
          <w:b/>
          <w:color w:val="000000"/>
          <w:szCs w:val="21"/>
        </w:rPr>
        <w:t xml:space="preserve"> </w:t>
      </w:r>
    </w:p>
    <w:p w:rsidR="00717756" w:rsidRDefault="007E604C">
      <w:pPr>
        <w:spacing w:line="360" w:lineRule="auto"/>
        <w:ind w:firstLineChars="200" w:firstLine="420"/>
        <w:rPr>
          <w:rFonts w:ascii="Arial" w:hAnsi="Arial" w:cs="Arial"/>
          <w:color w:val="000000"/>
          <w:szCs w:val="21"/>
        </w:rPr>
      </w:pPr>
      <w:r>
        <w:rPr>
          <w:rFonts w:ascii="Arial" w:hAnsi="Arial" w:cs="Arial"/>
          <w:color w:val="000000"/>
          <w:szCs w:val="21"/>
        </w:rPr>
        <w:t>1</w:t>
      </w:r>
      <w:r>
        <w:rPr>
          <w:rFonts w:ascii="Arial" w:hAnsi="Arial" w:cs="Arial" w:hint="eastAsia"/>
          <w:color w:val="000000"/>
          <w:szCs w:val="21"/>
        </w:rPr>
        <w:t>、本基金进入清算程序后不再恢复</w:t>
      </w:r>
      <w:r>
        <w:rPr>
          <w:rFonts w:ascii="Arial" w:hAnsi="Arial" w:cs="Arial" w:hint="eastAsia"/>
          <w:color w:val="000000"/>
          <w:szCs w:val="21"/>
        </w:rPr>
        <w:t>/</w:t>
      </w:r>
      <w:r>
        <w:rPr>
          <w:rFonts w:ascii="Arial" w:hAnsi="Arial" w:cs="Arial" w:hint="eastAsia"/>
          <w:color w:val="000000"/>
          <w:szCs w:val="21"/>
        </w:rPr>
        <w:t>开放办理申购、赎回、转换及定期定额投资等业务。敬请投资者予以关注。本公司承诺在清算过程中以诚实信用、勤勉尽责的原则履行相关职责。基金财产清算结果将在报中国证监会备案后公布，并将遵照法律法规、基金合同等规定及时进行分配，敬请投资者留意。</w:t>
      </w:r>
    </w:p>
    <w:p w:rsidR="00717756" w:rsidRDefault="007E604C">
      <w:pPr>
        <w:spacing w:line="360" w:lineRule="auto"/>
        <w:ind w:firstLineChars="200" w:firstLine="420"/>
        <w:rPr>
          <w:rFonts w:ascii="Arial" w:hAnsi="Arial" w:cs="Arial"/>
          <w:color w:val="000000"/>
          <w:szCs w:val="21"/>
        </w:rPr>
      </w:pPr>
      <w:r>
        <w:rPr>
          <w:rFonts w:ascii="Arial" w:hAnsi="Arial" w:cs="Arial" w:hint="eastAsia"/>
          <w:color w:val="000000"/>
          <w:szCs w:val="21"/>
        </w:rPr>
        <w:t>2</w:t>
      </w:r>
      <w:r>
        <w:rPr>
          <w:rFonts w:ascii="Arial" w:hAnsi="Arial" w:cs="Arial" w:hint="eastAsia"/>
          <w:color w:val="000000"/>
          <w:szCs w:val="21"/>
        </w:rPr>
        <w:t>、投资者欲了解本基金的详细情况，请详细阅读《中银创新成长混合型证券投资基金基金合同》、《中银创新成长混合型证券投资基金招募说明书》等法律文件。投资者亦可拨打本公司的客户服务电话：</w:t>
      </w:r>
      <w:r>
        <w:rPr>
          <w:rFonts w:ascii="Arial" w:hAnsi="Arial" w:cs="Arial"/>
          <w:color w:val="000000"/>
          <w:szCs w:val="21"/>
        </w:rPr>
        <w:t>021-38834788 / 400-888-5566</w:t>
      </w:r>
      <w:r>
        <w:rPr>
          <w:rFonts w:ascii="Arial" w:hAnsi="Arial" w:cs="Arial" w:hint="eastAsia"/>
          <w:color w:val="000000"/>
          <w:szCs w:val="21"/>
        </w:rPr>
        <w:t>或登录本公司网站</w:t>
      </w:r>
      <w:r>
        <w:rPr>
          <w:rFonts w:ascii="Arial" w:hAnsi="Arial" w:cs="Arial"/>
          <w:color w:val="000000"/>
          <w:szCs w:val="21"/>
        </w:rPr>
        <w:t>www.bocim.com</w:t>
      </w:r>
      <w:r>
        <w:rPr>
          <w:rFonts w:ascii="Arial" w:hAnsi="Arial" w:cs="Arial" w:hint="eastAsia"/>
          <w:color w:val="000000"/>
          <w:szCs w:val="21"/>
        </w:rPr>
        <w:t>了解相关情况。</w:t>
      </w:r>
    </w:p>
    <w:p w:rsidR="00717756" w:rsidRDefault="007E604C">
      <w:pPr>
        <w:spacing w:line="360" w:lineRule="auto"/>
        <w:ind w:firstLineChars="200" w:firstLine="420"/>
        <w:rPr>
          <w:rFonts w:ascii="Arial" w:hAnsi="Arial" w:cs="Arial"/>
          <w:color w:val="000000"/>
          <w:szCs w:val="21"/>
        </w:rPr>
      </w:pPr>
      <w:r>
        <w:rPr>
          <w:rFonts w:ascii="Arial" w:hAnsi="Arial" w:cs="Arial" w:hint="eastAsia"/>
          <w:color w:val="000000"/>
          <w:szCs w:val="21"/>
        </w:rPr>
        <w:t>特此公告。</w:t>
      </w:r>
      <w:r>
        <w:rPr>
          <w:rFonts w:ascii="Arial" w:hAnsi="Arial" w:cs="Arial"/>
          <w:color w:val="000000"/>
          <w:szCs w:val="21"/>
        </w:rPr>
        <w:t xml:space="preserve"> </w:t>
      </w:r>
    </w:p>
    <w:p w:rsidR="00717756" w:rsidRDefault="007E604C">
      <w:pPr>
        <w:spacing w:line="360" w:lineRule="auto"/>
        <w:ind w:firstLineChars="200" w:firstLine="420"/>
        <w:jc w:val="right"/>
        <w:rPr>
          <w:rFonts w:ascii="Arial" w:hAnsi="Arial" w:cs="Arial"/>
          <w:color w:val="000000"/>
          <w:szCs w:val="21"/>
        </w:rPr>
      </w:pPr>
      <w:r>
        <w:rPr>
          <w:rFonts w:ascii="Arial" w:hAnsi="Arial" w:cs="Arial" w:hint="eastAsia"/>
          <w:color w:val="000000"/>
          <w:szCs w:val="21"/>
        </w:rPr>
        <w:t>中银基金管理有限公司</w:t>
      </w:r>
      <w:r>
        <w:rPr>
          <w:rFonts w:ascii="Arial" w:hAnsi="Arial" w:cs="Arial" w:hint="eastAsia"/>
          <w:color w:val="000000"/>
          <w:szCs w:val="21"/>
        </w:rPr>
        <w:t xml:space="preserve"> </w:t>
      </w:r>
    </w:p>
    <w:p w:rsidR="00717756" w:rsidRDefault="007E604C">
      <w:pPr>
        <w:spacing w:line="360" w:lineRule="auto"/>
        <w:ind w:firstLineChars="200" w:firstLine="420"/>
        <w:jc w:val="right"/>
        <w:rPr>
          <w:rFonts w:ascii="Arial" w:hAnsi="Arial" w:cs="Arial"/>
          <w:szCs w:val="21"/>
        </w:rPr>
      </w:pPr>
      <w:bookmarkStart w:id="1" w:name="_GoBack"/>
      <w:bookmarkEnd w:id="1"/>
      <w:r>
        <w:rPr>
          <w:rFonts w:ascii="Arial" w:hAnsi="Arial" w:cs="Arial" w:hint="eastAsia"/>
          <w:color w:val="000000"/>
          <w:szCs w:val="21"/>
        </w:rPr>
        <w:t>20</w:t>
      </w:r>
      <w:r>
        <w:rPr>
          <w:rFonts w:ascii="Arial" w:hAnsi="Arial" w:cs="Arial"/>
          <w:color w:val="000000"/>
          <w:szCs w:val="21"/>
        </w:rPr>
        <w:t>2</w:t>
      </w:r>
      <w:r>
        <w:rPr>
          <w:rFonts w:ascii="Arial" w:hAnsi="Arial" w:cs="Arial" w:hint="eastAsia"/>
          <w:color w:val="000000"/>
          <w:szCs w:val="21"/>
        </w:rPr>
        <w:t>4</w:t>
      </w:r>
      <w:r>
        <w:rPr>
          <w:rFonts w:ascii="Arial" w:hAnsi="Arial" w:cs="Arial" w:hint="eastAsia"/>
          <w:color w:val="000000"/>
          <w:szCs w:val="21"/>
        </w:rPr>
        <w:t>年</w:t>
      </w:r>
      <w:r>
        <w:rPr>
          <w:rFonts w:ascii="Arial" w:hAnsi="Arial" w:cs="Arial" w:hint="eastAsia"/>
          <w:color w:val="000000"/>
          <w:szCs w:val="21"/>
        </w:rPr>
        <w:t>1</w:t>
      </w:r>
      <w:r>
        <w:rPr>
          <w:rFonts w:ascii="Arial" w:hAnsi="Arial" w:cs="Arial" w:hint="eastAsia"/>
          <w:color w:val="000000"/>
          <w:szCs w:val="21"/>
        </w:rPr>
        <w:t>月</w:t>
      </w:r>
      <w:r w:rsidR="00B44049">
        <w:rPr>
          <w:rFonts w:ascii="Arial" w:hAnsi="Arial" w:cs="Arial"/>
          <w:color w:val="000000"/>
          <w:szCs w:val="21"/>
        </w:rPr>
        <w:t>6</w:t>
      </w:r>
      <w:r>
        <w:rPr>
          <w:rFonts w:ascii="Arial" w:hAnsi="Arial" w:cs="Arial" w:hint="eastAsia"/>
          <w:color w:val="000000"/>
          <w:szCs w:val="21"/>
        </w:rPr>
        <w:t>日</w:t>
      </w:r>
    </w:p>
    <w:sectPr w:rsidR="00717756" w:rsidSect="00AA2856">
      <w:headerReference w:type="default" r:id="rId7"/>
      <w:footerReference w:type="default" r:id="rId8"/>
      <w:pgSz w:w="11906" w:h="16838"/>
      <w:pgMar w:top="1440" w:right="1797" w:bottom="1440" w:left="1797"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736" w:rsidRDefault="00B03736">
      <w:r>
        <w:separator/>
      </w:r>
    </w:p>
  </w:endnote>
  <w:endnote w:type="continuationSeparator" w:id="0">
    <w:p w:rsidR="00B03736" w:rsidRDefault="00B037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56" w:rsidRDefault="00717756">
    <w:pPr>
      <w:pStyle w:val="ab"/>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736" w:rsidRDefault="00B03736">
      <w:r>
        <w:separator/>
      </w:r>
    </w:p>
  </w:footnote>
  <w:footnote w:type="continuationSeparator" w:id="0">
    <w:p w:rsidR="00B03736" w:rsidRDefault="00B037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56" w:rsidRDefault="007E604C">
    <w:pPr>
      <w:rPr>
        <w:rStyle w:val="af3"/>
      </w:rPr>
    </w:pPr>
    <w:r>
      <w:rPr>
        <w:rStyle w:val="af3"/>
        <w:rFonts w:hint="eastAsia"/>
      </w:rPr>
      <w:t xml:space="preserve">                                             </w:t>
    </w:r>
  </w:p>
  <w:p w:rsidR="00717756" w:rsidRDefault="007E604C">
    <w:pPr>
      <w:pStyle w:val="af9"/>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32FB5"/>
    <w:multiLevelType w:val="multilevel"/>
    <w:tmpl w:val="64832FB5"/>
    <w:lvl w:ilvl="0">
      <w:start w:val="1"/>
      <w:numFmt w:val="decimal"/>
      <w:pStyle w:val="115"/>
      <w:lvlText w:val="%1）"/>
      <w:legacy w:legacy="1" w:legacySpace="0" w:legacyIndent="360"/>
      <w:lvlJc w:val="left"/>
      <w:pPr>
        <w:ind w:left="360" w:hanging="360"/>
      </w:pPr>
      <w:rPr>
        <w:rFonts w:hint="default"/>
      </w:rPr>
    </w:lvl>
    <w:lvl w:ilvl="1">
      <w:start w:val="1"/>
      <w:numFmt w:val="lowerLetter"/>
      <w:pStyle w:val="2111111"/>
      <w:lvlText w:val="%2)"/>
      <w:legacy w:legacy="1" w:legacySpace="0" w:legacyIndent="420"/>
      <w:lvlJc w:val="left"/>
      <w:pPr>
        <w:ind w:left="840" w:hanging="420"/>
      </w:pPr>
    </w:lvl>
    <w:lvl w:ilvl="2">
      <w:start w:val="1"/>
      <w:numFmt w:val="lowerRoman"/>
      <w:lvlText w:val="%3."/>
      <w:legacy w:legacy="1" w:legacySpace="0" w:legacyIndent="420"/>
      <w:lvlJc w:val="right"/>
      <w:pPr>
        <w:ind w:left="1260" w:hanging="420"/>
      </w:pPr>
    </w:lvl>
    <w:lvl w:ilvl="3">
      <w:start w:val="1"/>
      <w:numFmt w:val="decimal"/>
      <w:lvlText w:val="%4."/>
      <w:legacy w:legacy="1" w:legacySpace="0" w:legacyIndent="420"/>
      <w:lvlJc w:val="left"/>
      <w:pPr>
        <w:ind w:left="1680" w:hanging="420"/>
      </w:pPr>
    </w:lvl>
    <w:lvl w:ilvl="4">
      <w:start w:val="1"/>
      <w:numFmt w:val="lowerLetter"/>
      <w:lvlText w:val="%5)"/>
      <w:legacy w:legacy="1" w:legacySpace="0" w:legacyIndent="420"/>
      <w:lvlJc w:val="left"/>
      <w:pPr>
        <w:ind w:left="2100" w:hanging="420"/>
      </w:pPr>
    </w:lvl>
    <w:lvl w:ilvl="5">
      <w:start w:val="1"/>
      <w:numFmt w:val="lowerRoman"/>
      <w:lvlText w:val="%6."/>
      <w:legacy w:legacy="1" w:legacySpace="0" w:legacyIndent="420"/>
      <w:lvlJc w:val="right"/>
      <w:pPr>
        <w:ind w:left="2520" w:hanging="420"/>
      </w:pPr>
    </w:lvl>
    <w:lvl w:ilvl="6">
      <w:start w:val="1"/>
      <w:numFmt w:val="decimal"/>
      <w:lvlText w:val="%7."/>
      <w:legacy w:legacy="1" w:legacySpace="0" w:legacyIndent="420"/>
      <w:lvlJc w:val="left"/>
      <w:pPr>
        <w:ind w:left="2940" w:hanging="420"/>
      </w:pPr>
    </w:lvl>
    <w:lvl w:ilvl="7">
      <w:start w:val="1"/>
      <w:numFmt w:val="lowerLetter"/>
      <w:lvlText w:val="%8)"/>
      <w:legacy w:legacy="1" w:legacySpace="0" w:legacyIndent="420"/>
      <w:lvlJc w:val="left"/>
      <w:pPr>
        <w:ind w:left="3360" w:hanging="420"/>
      </w:pPr>
    </w:lvl>
    <w:lvl w:ilvl="8">
      <w:start w:val="1"/>
      <w:numFmt w:val="lowerRoman"/>
      <w:lvlText w:val="%9."/>
      <w:legacy w:legacy="1" w:legacySpace="0" w:legacyIndent="420"/>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ulTrailSpace/>
    <w:doNotExpandShiftReturn/>
    <w:adjustLineHeightInTable/>
    <w:useFELayout/>
  </w:compat>
  <w:docVars>
    <w:docVar w:name="commondata" w:val="eyJoZGlkIjoiY2YzMWM4ZDFkNzlkYWMwMjJlYzViNDNiMzI0ZGJmODcifQ=="/>
  </w:docVars>
  <w:rsids>
    <w:rsidRoot w:val="00717756"/>
    <w:rsid w:val="005B6ED7"/>
    <w:rsid w:val="00663089"/>
    <w:rsid w:val="006F26EC"/>
    <w:rsid w:val="00717756"/>
    <w:rsid w:val="007E604C"/>
    <w:rsid w:val="00AA2856"/>
    <w:rsid w:val="00B03736"/>
    <w:rsid w:val="00B44049"/>
    <w:rsid w:val="00CB252B"/>
    <w:rsid w:val="00D278E7"/>
    <w:rsid w:val="345D13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Normal Indent" w:qFormat="1"/>
    <w:lsdException w:name="footnote text" w:qFormat="1"/>
    <w:lsdException w:name="header" w:qFormat="1"/>
    <w:lsdException w:name="caption" w:semiHidden="1" w:unhideWhenUsed="1" w:qFormat="1"/>
    <w:lsdException w:name="footnote reference" w:qFormat="1"/>
    <w:lsdException w:name="annotation reference" w:qFormat="1"/>
    <w:lsdException w:name="page number" w:qFormat="1"/>
    <w:lsdException w:name="endnote reference" w:qFormat="1"/>
    <w:lsdException w:name="Title" w:qFormat="1"/>
    <w:lsdException w:name="Default Paragraph Font" w:qFormat="1"/>
    <w:lsdException w:name="Body Text" w:qFormat="1"/>
    <w:lsdException w:name="Subtitle" w:qFormat="1"/>
    <w:lsdException w:name="Date" w:qFormat="1"/>
    <w:lsdException w:name="Body Text 2"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AA2856"/>
    <w:pPr>
      <w:widowControl w:val="0"/>
      <w:jc w:val="both"/>
    </w:pPr>
    <w:rPr>
      <w:kern w:val="2"/>
      <w:sz w:val="21"/>
      <w:szCs w:val="24"/>
    </w:rPr>
  </w:style>
  <w:style w:type="paragraph" w:styleId="1">
    <w:name w:val="heading 1"/>
    <w:basedOn w:val="a"/>
    <w:next w:val="a"/>
    <w:qFormat/>
    <w:rsid w:val="00AA2856"/>
    <w:pPr>
      <w:keepNext/>
      <w:keepLines/>
      <w:spacing w:before="340" w:after="330" w:line="578" w:lineRule="auto"/>
      <w:outlineLvl w:val="0"/>
    </w:pPr>
    <w:rPr>
      <w:b/>
      <w:bCs/>
      <w:kern w:val="44"/>
      <w:sz w:val="44"/>
      <w:szCs w:val="44"/>
    </w:rPr>
  </w:style>
  <w:style w:type="paragraph" w:styleId="2">
    <w:name w:val="heading 2"/>
    <w:basedOn w:val="a"/>
    <w:next w:val="a"/>
    <w:qFormat/>
    <w:rsid w:val="00AA2856"/>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rsid w:val="00AA2856"/>
    <w:pPr>
      <w:keepNext/>
      <w:keepLines/>
      <w:spacing w:before="260" w:after="260" w:line="415" w:lineRule="auto"/>
      <w:outlineLvl w:val="2"/>
    </w:pPr>
    <w:rPr>
      <w:b/>
      <w:bCs/>
      <w:sz w:val="32"/>
      <w:szCs w:val="32"/>
    </w:rPr>
  </w:style>
  <w:style w:type="paragraph" w:styleId="4">
    <w:name w:val="heading 4"/>
    <w:basedOn w:val="a"/>
    <w:next w:val="a"/>
    <w:rsid w:val="00AA2856"/>
    <w:pPr>
      <w:keepNext/>
      <w:keepLines/>
      <w:spacing w:before="280" w:after="290" w:line="377" w:lineRule="auto"/>
      <w:outlineLvl w:val="3"/>
    </w:pPr>
    <w:rPr>
      <w:rFonts w:ascii="Arial" w:eastAsia="黑体" w:hAnsi="Arial"/>
      <w:b/>
      <w:bCs/>
      <w:sz w:val="28"/>
      <w:szCs w:val="28"/>
    </w:rPr>
  </w:style>
  <w:style w:type="paragraph" w:styleId="5">
    <w:name w:val="heading 5"/>
    <w:basedOn w:val="a"/>
    <w:next w:val="a"/>
    <w:rsid w:val="00AA2856"/>
    <w:pPr>
      <w:keepNext/>
      <w:keepLines/>
      <w:spacing w:before="280" w:after="290" w:line="377" w:lineRule="auto"/>
      <w:outlineLvl w:val="4"/>
    </w:pPr>
    <w:rPr>
      <w:b/>
      <w:bCs/>
      <w:sz w:val="28"/>
      <w:szCs w:val="28"/>
    </w:rPr>
  </w:style>
  <w:style w:type="paragraph" w:styleId="6">
    <w:name w:val="heading 6"/>
    <w:basedOn w:val="a"/>
    <w:next w:val="a"/>
    <w:qFormat/>
    <w:rsid w:val="00AA2856"/>
    <w:pPr>
      <w:keepNext/>
      <w:keepLines/>
      <w:spacing w:before="240" w:after="64" w:line="319" w:lineRule="auto"/>
      <w:ind w:left="851" w:firstLineChars="200" w:firstLine="200"/>
      <w:outlineLvl w:val="5"/>
    </w:pPr>
    <w:rPr>
      <w:rFonts w:ascii="Arial" w:eastAsia="黑体" w:hAnsi="Arial"/>
      <w:b/>
      <w:bCs/>
      <w:sz w:val="24"/>
    </w:rPr>
  </w:style>
  <w:style w:type="paragraph" w:styleId="7">
    <w:name w:val="heading 7"/>
    <w:basedOn w:val="a"/>
    <w:next w:val="a"/>
    <w:qFormat/>
    <w:rsid w:val="00AA2856"/>
    <w:pPr>
      <w:keepNext/>
      <w:keepLines/>
      <w:spacing w:before="240" w:after="64" w:line="319" w:lineRule="auto"/>
      <w:ind w:left="851" w:firstLineChars="200" w:firstLine="200"/>
      <w:outlineLvl w:val="6"/>
    </w:pPr>
    <w:rPr>
      <w:b/>
      <w:bCs/>
      <w:sz w:val="24"/>
    </w:rPr>
  </w:style>
  <w:style w:type="paragraph" w:styleId="8">
    <w:name w:val="heading 8"/>
    <w:basedOn w:val="a"/>
    <w:next w:val="a"/>
    <w:qFormat/>
    <w:rsid w:val="00AA2856"/>
    <w:pPr>
      <w:keepNext/>
      <w:keepLines/>
      <w:spacing w:before="240" w:after="64" w:line="319" w:lineRule="auto"/>
      <w:ind w:left="851" w:firstLineChars="200" w:firstLine="200"/>
      <w:outlineLvl w:val="7"/>
    </w:pPr>
    <w:rPr>
      <w:rFonts w:ascii="Arial" w:eastAsia="黑体" w:hAnsi="Arial"/>
      <w:sz w:val="24"/>
    </w:rPr>
  </w:style>
  <w:style w:type="paragraph" w:styleId="9">
    <w:name w:val="heading 9"/>
    <w:basedOn w:val="a"/>
    <w:next w:val="a"/>
    <w:qFormat/>
    <w:rsid w:val="00AA2856"/>
    <w:pPr>
      <w:keepNext/>
      <w:keepLines/>
      <w:spacing w:before="240" w:after="64" w:line="319"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AA2856"/>
    <w:pPr>
      <w:ind w:firstLine="420"/>
    </w:pPr>
    <w:rPr>
      <w:szCs w:val="20"/>
    </w:rPr>
  </w:style>
  <w:style w:type="paragraph" w:styleId="a4">
    <w:name w:val="Document Map"/>
    <w:basedOn w:val="a"/>
    <w:qFormat/>
    <w:rsid w:val="00AA2856"/>
    <w:pPr>
      <w:shd w:val="clear" w:color="auto" w:fill="000080"/>
    </w:pPr>
  </w:style>
  <w:style w:type="paragraph" w:styleId="a5">
    <w:name w:val="annotation text"/>
    <w:basedOn w:val="a"/>
    <w:rsid w:val="00AA2856"/>
    <w:pPr>
      <w:jc w:val="left"/>
    </w:pPr>
  </w:style>
  <w:style w:type="paragraph" w:styleId="a6">
    <w:name w:val="Body Text"/>
    <w:basedOn w:val="a"/>
    <w:qFormat/>
    <w:rsid w:val="00AA2856"/>
    <w:pPr>
      <w:adjustRightInd w:val="0"/>
      <w:snapToGrid w:val="0"/>
      <w:spacing w:line="324" w:lineRule="auto"/>
      <w:ind w:right="28"/>
      <w:jc w:val="left"/>
    </w:pPr>
    <w:rPr>
      <w:rFonts w:ascii="仿宋_GB2312" w:eastAsia="仿宋_GB2312"/>
      <w:kern w:val="0"/>
      <w:sz w:val="28"/>
      <w:szCs w:val="20"/>
    </w:rPr>
  </w:style>
  <w:style w:type="paragraph" w:styleId="50">
    <w:name w:val="toc 5"/>
    <w:basedOn w:val="a"/>
    <w:next w:val="a"/>
    <w:qFormat/>
    <w:rsid w:val="00AA2856"/>
    <w:pPr>
      <w:ind w:left="1680"/>
    </w:pPr>
  </w:style>
  <w:style w:type="paragraph" w:styleId="30">
    <w:name w:val="toc 3"/>
    <w:basedOn w:val="a"/>
    <w:next w:val="a"/>
    <w:qFormat/>
    <w:rsid w:val="00AA2856"/>
    <w:pPr>
      <w:tabs>
        <w:tab w:val="right" w:leader="dot" w:pos="8820"/>
      </w:tabs>
      <w:ind w:leftChars="400" w:left="400"/>
    </w:pPr>
  </w:style>
  <w:style w:type="paragraph" w:styleId="a7">
    <w:name w:val="Plain Text"/>
    <w:basedOn w:val="a"/>
    <w:qFormat/>
    <w:rsid w:val="00AA2856"/>
    <w:rPr>
      <w:rFonts w:ascii="宋体"/>
      <w:szCs w:val="21"/>
    </w:rPr>
  </w:style>
  <w:style w:type="paragraph" w:styleId="a8">
    <w:name w:val="Date"/>
    <w:basedOn w:val="a"/>
    <w:next w:val="a"/>
    <w:qFormat/>
    <w:rsid w:val="00AA2856"/>
    <w:rPr>
      <w:sz w:val="24"/>
      <w:szCs w:val="20"/>
    </w:rPr>
  </w:style>
  <w:style w:type="paragraph" w:styleId="a9">
    <w:name w:val="endnote text"/>
    <w:basedOn w:val="a"/>
    <w:rsid w:val="00AA2856"/>
    <w:pPr>
      <w:snapToGrid w:val="0"/>
      <w:jc w:val="left"/>
    </w:pPr>
  </w:style>
  <w:style w:type="paragraph" w:styleId="aa">
    <w:name w:val="Balloon Text"/>
    <w:basedOn w:val="a"/>
    <w:rsid w:val="00AA2856"/>
    <w:rPr>
      <w:sz w:val="18"/>
      <w:szCs w:val="18"/>
    </w:rPr>
  </w:style>
  <w:style w:type="paragraph" w:styleId="ab">
    <w:name w:val="footer"/>
    <w:basedOn w:val="a"/>
    <w:rsid w:val="00AA2856"/>
    <w:pPr>
      <w:tabs>
        <w:tab w:val="center" w:pos="4153"/>
        <w:tab w:val="right" w:pos="8306"/>
      </w:tabs>
      <w:snapToGrid w:val="0"/>
      <w:jc w:val="left"/>
    </w:pPr>
    <w:rPr>
      <w:sz w:val="18"/>
      <w:szCs w:val="18"/>
    </w:rPr>
  </w:style>
  <w:style w:type="paragraph" w:styleId="ac">
    <w:name w:val="header"/>
    <w:basedOn w:val="a"/>
    <w:qFormat/>
    <w:rsid w:val="00AA2856"/>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AA2856"/>
  </w:style>
  <w:style w:type="paragraph" w:styleId="40">
    <w:name w:val="toc 4"/>
    <w:basedOn w:val="a"/>
    <w:next w:val="a"/>
    <w:qFormat/>
    <w:rsid w:val="00AA2856"/>
    <w:pPr>
      <w:ind w:left="1260"/>
    </w:pPr>
  </w:style>
  <w:style w:type="paragraph" w:styleId="ad">
    <w:name w:val="Subtitle"/>
    <w:basedOn w:val="a"/>
    <w:next w:val="a"/>
    <w:qFormat/>
    <w:rsid w:val="00AA2856"/>
    <w:pPr>
      <w:spacing w:before="240" w:after="60" w:line="312" w:lineRule="auto"/>
      <w:jc w:val="center"/>
      <w:outlineLvl w:val="1"/>
    </w:pPr>
    <w:rPr>
      <w:rFonts w:ascii="Calibri" w:hAnsi="Calibri" w:cs="Arial"/>
      <w:b/>
      <w:bCs/>
      <w:kern w:val="28"/>
      <w:sz w:val="32"/>
      <w:szCs w:val="32"/>
    </w:rPr>
  </w:style>
  <w:style w:type="paragraph" w:styleId="ae">
    <w:name w:val="footnote text"/>
    <w:basedOn w:val="a"/>
    <w:qFormat/>
    <w:rsid w:val="00AA2856"/>
    <w:pPr>
      <w:snapToGrid w:val="0"/>
      <w:jc w:val="left"/>
    </w:pPr>
    <w:rPr>
      <w:sz w:val="18"/>
      <w:szCs w:val="18"/>
    </w:rPr>
  </w:style>
  <w:style w:type="paragraph" w:styleId="20">
    <w:name w:val="toc 2"/>
    <w:basedOn w:val="a"/>
    <w:next w:val="a"/>
    <w:qFormat/>
    <w:rsid w:val="00AA2856"/>
    <w:pPr>
      <w:tabs>
        <w:tab w:val="left" w:pos="1260"/>
        <w:tab w:val="right" w:leader="dot" w:pos="8834"/>
      </w:tabs>
      <w:ind w:leftChars="200" w:left="200"/>
    </w:pPr>
  </w:style>
  <w:style w:type="paragraph" w:styleId="21">
    <w:name w:val="Body Text 2"/>
    <w:basedOn w:val="a"/>
    <w:qFormat/>
    <w:rsid w:val="00AA2856"/>
    <w:pPr>
      <w:spacing w:after="120" w:line="480" w:lineRule="auto"/>
    </w:pPr>
    <w:rPr>
      <w:szCs w:val="20"/>
    </w:rPr>
  </w:style>
  <w:style w:type="paragraph" w:styleId="af">
    <w:name w:val="Normal (Web)"/>
    <w:basedOn w:val="a"/>
    <w:qFormat/>
    <w:rsid w:val="00AA2856"/>
    <w:pPr>
      <w:widowControl/>
      <w:spacing w:before="100" w:beforeAutospacing="1" w:after="100" w:afterAutospacing="1"/>
      <w:jc w:val="left"/>
    </w:pPr>
    <w:rPr>
      <w:rFonts w:ascii="宋体"/>
      <w:kern w:val="0"/>
      <w:sz w:val="24"/>
    </w:rPr>
  </w:style>
  <w:style w:type="paragraph" w:styleId="af0">
    <w:name w:val="annotation subject"/>
    <w:basedOn w:val="a5"/>
    <w:next w:val="a5"/>
    <w:qFormat/>
    <w:rsid w:val="00AA2856"/>
    <w:rPr>
      <w:b/>
      <w:bCs/>
    </w:rPr>
  </w:style>
  <w:style w:type="character" w:styleId="af1">
    <w:name w:val="Strong"/>
    <w:qFormat/>
    <w:rsid w:val="00AA2856"/>
    <w:rPr>
      <w:b/>
      <w:bCs/>
    </w:rPr>
  </w:style>
  <w:style w:type="character" w:styleId="af2">
    <w:name w:val="endnote reference"/>
    <w:qFormat/>
    <w:rsid w:val="00AA2856"/>
    <w:rPr>
      <w:vertAlign w:val="superscript"/>
    </w:rPr>
  </w:style>
  <w:style w:type="character" w:styleId="af3">
    <w:name w:val="page number"/>
    <w:basedOn w:val="a0"/>
    <w:qFormat/>
    <w:rsid w:val="00AA2856"/>
  </w:style>
  <w:style w:type="character" w:styleId="af4">
    <w:name w:val="Hyperlink"/>
    <w:qFormat/>
    <w:rsid w:val="00AA2856"/>
    <w:rPr>
      <w:color w:val="0000FF"/>
      <w:u w:val="single"/>
    </w:rPr>
  </w:style>
  <w:style w:type="character" w:styleId="af5">
    <w:name w:val="annotation reference"/>
    <w:qFormat/>
    <w:rsid w:val="00AA2856"/>
    <w:rPr>
      <w:sz w:val="21"/>
      <w:szCs w:val="21"/>
    </w:rPr>
  </w:style>
  <w:style w:type="character" w:styleId="af6">
    <w:name w:val="footnote reference"/>
    <w:qFormat/>
    <w:rsid w:val="00AA2856"/>
    <w:rPr>
      <w:vertAlign w:val="superscript"/>
    </w:rPr>
  </w:style>
  <w:style w:type="paragraph" w:customStyle="1" w:styleId="Char">
    <w:name w:val="Char"/>
    <w:basedOn w:val="a"/>
    <w:qFormat/>
    <w:rsid w:val="00AA2856"/>
  </w:style>
  <w:style w:type="character" w:customStyle="1" w:styleId="CharCharCharCharCharCharCharChar">
    <w:name w:val="正文文字 Char Char Char Char Char Char Char Char"/>
    <w:qFormat/>
    <w:rsid w:val="00AA2856"/>
    <w:rPr>
      <w:rFonts w:ascii="仿宋_GB2312" w:eastAsia="仿宋_GB2312"/>
      <w:sz w:val="28"/>
      <w:lang w:val="en-US" w:eastAsia="zh-CN" w:bidi="ar-SA"/>
    </w:rPr>
  </w:style>
  <w:style w:type="character" w:customStyle="1" w:styleId="afont1">
    <w:name w:val="afont1"/>
    <w:qFormat/>
    <w:rsid w:val="00AA2856"/>
    <w:rPr>
      <w:rFonts w:ascii="Arial Narrow" w:hAnsi="Arial Narrow"/>
      <w:sz w:val="21"/>
      <w:szCs w:val="21"/>
    </w:rPr>
  </w:style>
  <w:style w:type="paragraph" w:customStyle="1" w:styleId="CharChar">
    <w:name w:val="Char Char"/>
    <w:basedOn w:val="a"/>
    <w:qFormat/>
    <w:rsid w:val="00AA2856"/>
  </w:style>
  <w:style w:type="paragraph" w:customStyle="1" w:styleId="Default">
    <w:name w:val="Default"/>
    <w:qFormat/>
    <w:rsid w:val="00AA2856"/>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sid w:val="00AA2856"/>
    <w:pPr>
      <w:tabs>
        <w:tab w:val="left" w:pos="840"/>
      </w:tabs>
      <w:adjustRightInd w:val="0"/>
      <w:spacing w:line="360" w:lineRule="atLeast"/>
      <w:ind w:left="840" w:hanging="360"/>
      <w:textAlignment w:val="baseline"/>
    </w:pPr>
    <w:rPr>
      <w:sz w:val="24"/>
    </w:rPr>
  </w:style>
  <w:style w:type="paragraph" w:customStyle="1" w:styleId="xl33">
    <w:name w:val="xl33"/>
    <w:basedOn w:val="a"/>
    <w:qFormat/>
    <w:rsid w:val="00AA285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qFormat/>
    <w:rsid w:val="00AA2856"/>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qFormat/>
    <w:rsid w:val="00AA2856"/>
    <w:pPr>
      <w:numPr>
        <w:numId w:val="1"/>
      </w:numPr>
    </w:pPr>
    <w:rPr>
      <w:sz w:val="24"/>
      <w:szCs w:val="20"/>
    </w:rPr>
  </w:style>
  <w:style w:type="paragraph" w:customStyle="1" w:styleId="af7">
    <w:name w:val="简单回函地址"/>
    <w:basedOn w:val="a"/>
    <w:qFormat/>
    <w:rsid w:val="00AA2856"/>
  </w:style>
  <w:style w:type="paragraph" w:customStyle="1" w:styleId="FormLabel">
    <w:name w:val="Form Label"/>
    <w:basedOn w:val="a"/>
    <w:qFormat/>
    <w:rsid w:val="00AA2856"/>
    <w:pPr>
      <w:widowControl/>
      <w:spacing w:line="280" w:lineRule="exact"/>
      <w:jc w:val="left"/>
    </w:pPr>
    <w:rPr>
      <w:kern w:val="0"/>
      <w:sz w:val="18"/>
      <w:szCs w:val="20"/>
      <w:lang w:val="en-GB"/>
    </w:rPr>
  </w:style>
  <w:style w:type="paragraph" w:customStyle="1" w:styleId="Char1">
    <w:name w:val="Char1"/>
    <w:basedOn w:val="a"/>
    <w:qFormat/>
    <w:rsid w:val="00AA2856"/>
  </w:style>
  <w:style w:type="character" w:customStyle="1" w:styleId="2CharCharChar">
    <w:name w:val="标题 2 Char Char Char"/>
    <w:qFormat/>
    <w:rsid w:val="00AA2856"/>
    <w:rPr>
      <w:rFonts w:ascii="Arial" w:eastAsia="宋体" w:hAnsi="Arial"/>
      <w:b/>
      <w:kern w:val="2"/>
      <w:sz w:val="28"/>
      <w:szCs w:val="28"/>
      <w:lang w:val="en-US" w:eastAsia="zh-CN" w:bidi="ar-SA"/>
    </w:rPr>
  </w:style>
  <w:style w:type="paragraph" w:customStyle="1" w:styleId="xl31">
    <w:name w:val="xl31"/>
    <w:basedOn w:val="a"/>
    <w:qFormat/>
    <w:rsid w:val="00AA2856"/>
    <w:pPr>
      <w:widowControl/>
      <w:spacing w:before="100" w:beforeAutospacing="1" w:after="100" w:afterAutospacing="1"/>
      <w:jc w:val="center"/>
      <w:textAlignment w:val="center"/>
    </w:pPr>
    <w:rPr>
      <w:rFonts w:asci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AA2856"/>
    <w:pPr>
      <w:widowControl/>
      <w:spacing w:after="160" w:line="240" w:lineRule="exact"/>
      <w:jc w:val="left"/>
    </w:pPr>
    <w:rPr>
      <w:rFonts w:ascii="Verdana" w:eastAsia="Times New Roman" w:hAnsi="Verdana"/>
      <w:kern w:val="0"/>
      <w:sz w:val="20"/>
      <w:szCs w:val="20"/>
    </w:rPr>
  </w:style>
  <w:style w:type="paragraph" w:customStyle="1" w:styleId="Char1CharCharCharChar">
    <w:name w:val="Char1 Char Char Char Char"/>
    <w:basedOn w:val="a"/>
    <w:qFormat/>
    <w:rsid w:val="00AA2856"/>
    <w:pPr>
      <w:widowControl/>
      <w:spacing w:after="160" w:line="240" w:lineRule="exact"/>
      <w:jc w:val="left"/>
    </w:pPr>
    <w:rPr>
      <w:rFonts w:ascii="Verdana" w:hAnsi="Verdana" w:cs="Verdana"/>
      <w:kern w:val="0"/>
      <w:sz w:val="20"/>
      <w:szCs w:val="20"/>
    </w:rPr>
  </w:style>
  <w:style w:type="paragraph" w:customStyle="1" w:styleId="CharCharCharCharCharChar1CharCharChar">
    <w:name w:val="Char Char Char Char Char Char1 Char Char Char"/>
    <w:basedOn w:val="a"/>
    <w:qFormat/>
    <w:rsid w:val="00AA2856"/>
    <w:pPr>
      <w:autoSpaceDE w:val="0"/>
      <w:autoSpaceDN w:val="0"/>
      <w:adjustRightInd w:val="0"/>
      <w:jc w:val="left"/>
      <w:textAlignment w:val="baseline"/>
    </w:pPr>
    <w:rPr>
      <w:rFonts w:ascii="宋体"/>
      <w:kern w:val="0"/>
      <w:sz w:val="34"/>
      <w:szCs w:val="20"/>
    </w:rPr>
  </w:style>
  <w:style w:type="paragraph" w:customStyle="1" w:styleId="xl30">
    <w:name w:val="xl30"/>
    <w:basedOn w:val="a"/>
    <w:qFormat/>
    <w:rsid w:val="00AA2856"/>
    <w:pPr>
      <w:widowControl/>
      <w:spacing w:before="100" w:beforeAutospacing="1" w:after="100" w:afterAutospacing="1"/>
      <w:jc w:val="right"/>
    </w:pPr>
    <w:rPr>
      <w:rFonts w:eastAsia="Arial Unicode MS"/>
      <w:kern w:val="0"/>
      <w:szCs w:val="21"/>
    </w:rPr>
  </w:style>
  <w:style w:type="paragraph" w:styleId="af8">
    <w:name w:val="List Paragraph"/>
    <w:basedOn w:val="a"/>
    <w:qFormat/>
    <w:rsid w:val="00AA2856"/>
    <w:pPr>
      <w:ind w:firstLineChars="200" w:firstLine="200"/>
    </w:pPr>
  </w:style>
  <w:style w:type="character" w:customStyle="1" w:styleId="span1">
    <w:name w:val="span1"/>
    <w:basedOn w:val="a0"/>
    <w:qFormat/>
    <w:rsid w:val="00AA2856"/>
  </w:style>
  <w:style w:type="paragraph" w:customStyle="1" w:styleId="11">
    <w:name w:val="修订1"/>
    <w:qFormat/>
    <w:rsid w:val="00AA2856"/>
    <w:rPr>
      <w:kern w:val="2"/>
      <w:sz w:val="21"/>
      <w:szCs w:val="24"/>
    </w:rPr>
  </w:style>
  <w:style w:type="character" w:customStyle="1" w:styleId="12">
    <w:name w:val="不明显强调1"/>
    <w:basedOn w:val="a0"/>
    <w:qFormat/>
    <w:rsid w:val="00AA2856"/>
    <w:rPr>
      <w:i/>
      <w:iCs/>
      <w:color w:val="404040"/>
    </w:rPr>
  </w:style>
  <w:style w:type="paragraph" w:styleId="af9">
    <w:name w:val="No Spacing"/>
    <w:qFormat/>
    <w:rsid w:val="00AA2856"/>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380</Words>
  <Characters>2171</Characters>
  <Application>Microsoft Office Word</Application>
  <DocSecurity>4</DocSecurity>
  <Lines>18</Lines>
  <Paragraphs>5</Paragraphs>
  <ScaleCrop>false</ScaleCrop>
  <Company>WwW.YlmF.CoM</Company>
  <LinksUpToDate>false</LinksUpToDate>
  <CharactersWithSpaces>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zhangww</dc:creator>
  <cp:lastModifiedBy>ZHONGM</cp:lastModifiedBy>
  <cp:revision>2</cp:revision>
  <cp:lastPrinted>2017-07-26T09:05:00Z</cp:lastPrinted>
  <dcterms:created xsi:type="dcterms:W3CDTF">2024-01-05T16:00:00Z</dcterms:created>
  <dcterms:modified xsi:type="dcterms:W3CDTF">2024-01-05T16:00:00Z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FB67C9222AD842E0913E3470EB928ADD_12</vt:lpwstr>
  </property>
</Properties>
</file>