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96" w:rsidRPr="00F05920" w:rsidRDefault="00F9043A" w:rsidP="00C617C5">
      <w:pPr>
        <w:pStyle w:val="af1"/>
        <w:shd w:val="clear" w:color="auto" w:fill="FFFFFF"/>
        <w:spacing w:line="360" w:lineRule="auto"/>
        <w:jc w:val="center"/>
        <w:textAlignment w:val="baseline"/>
        <w:rPr>
          <w:rFonts w:asciiTheme="minorEastAsia" w:eastAsiaTheme="minorEastAsia" w:hAnsiTheme="minorEastAsia"/>
          <w:b/>
          <w:bCs/>
          <w:sz w:val="28"/>
          <w:szCs w:val="28"/>
          <w:shd w:val="clear" w:color="auto" w:fill="FFFFFF"/>
        </w:rPr>
      </w:pPr>
      <w:bookmarkStart w:id="0" w:name="_GoBack"/>
      <w:bookmarkEnd w:id="0"/>
      <w:r w:rsidRPr="00F9043A">
        <w:rPr>
          <w:rFonts w:asciiTheme="minorEastAsia" w:eastAsiaTheme="minorEastAsia" w:hAnsiTheme="minorEastAsia" w:hint="eastAsia"/>
          <w:b/>
          <w:bCs/>
          <w:sz w:val="28"/>
          <w:szCs w:val="28"/>
          <w:shd w:val="clear" w:color="auto" w:fill="FFFFFF"/>
        </w:rPr>
        <w:t>关于</w:t>
      </w:r>
      <w:r w:rsidR="00C617C5" w:rsidRPr="00C617C5">
        <w:rPr>
          <w:rFonts w:asciiTheme="minorEastAsia" w:eastAsiaTheme="minorEastAsia" w:hAnsiTheme="minorEastAsia" w:hint="eastAsia"/>
          <w:b/>
          <w:bCs/>
          <w:sz w:val="28"/>
          <w:szCs w:val="28"/>
          <w:shd w:val="clear" w:color="auto" w:fill="FFFFFF"/>
        </w:rPr>
        <w:t>浦银安盛盛跃纯债债券型证券投资基金</w:t>
      </w:r>
      <w:r w:rsidR="00A123FA">
        <w:rPr>
          <w:rFonts w:asciiTheme="minorEastAsia" w:eastAsiaTheme="minorEastAsia" w:hAnsiTheme="minorEastAsia" w:hint="eastAsia"/>
          <w:b/>
          <w:bCs/>
          <w:sz w:val="28"/>
          <w:szCs w:val="28"/>
          <w:shd w:val="clear" w:color="auto" w:fill="FFFFFF"/>
        </w:rPr>
        <w:t>暂停</w:t>
      </w:r>
      <w:r w:rsidRPr="00F9043A">
        <w:rPr>
          <w:rFonts w:asciiTheme="minorEastAsia" w:eastAsiaTheme="minorEastAsia" w:hAnsiTheme="minorEastAsia" w:hint="eastAsia"/>
          <w:b/>
          <w:bCs/>
          <w:sz w:val="28"/>
          <w:szCs w:val="28"/>
          <w:shd w:val="clear" w:color="auto" w:fill="FFFFFF"/>
        </w:rPr>
        <w:t>大额申购、转换转入及定期定额投资业务的公告</w:t>
      </w:r>
    </w:p>
    <w:p w:rsidR="00983D96" w:rsidRPr="00F05920" w:rsidRDefault="00983D96">
      <w:pPr>
        <w:spacing w:line="360" w:lineRule="auto"/>
        <w:jc w:val="center"/>
        <w:rPr>
          <w:rFonts w:asciiTheme="minorEastAsia" w:eastAsiaTheme="minorEastAsia" w:hAnsiTheme="minorEastAsia"/>
          <w:color w:val="000000"/>
          <w:sz w:val="24"/>
        </w:rPr>
      </w:pPr>
      <w:r w:rsidRPr="00F05920">
        <w:rPr>
          <w:rFonts w:asciiTheme="minorEastAsia" w:eastAsiaTheme="minorEastAsia" w:hAnsiTheme="minorEastAsia"/>
          <w:color w:val="000000"/>
          <w:sz w:val="24"/>
        </w:rPr>
        <w:t>公告送出日期：</w:t>
      </w:r>
      <w:r w:rsidR="00E23224" w:rsidRPr="00F05920">
        <w:rPr>
          <w:rFonts w:asciiTheme="minorEastAsia" w:eastAsiaTheme="minorEastAsia" w:hAnsiTheme="minorEastAsia" w:hint="eastAsia"/>
          <w:color w:val="000000"/>
          <w:sz w:val="24"/>
        </w:rPr>
        <w:t>20</w:t>
      </w:r>
      <w:r w:rsidR="00C324AE" w:rsidRPr="00F05920">
        <w:rPr>
          <w:rFonts w:asciiTheme="minorEastAsia" w:eastAsiaTheme="minorEastAsia" w:hAnsiTheme="minorEastAsia" w:hint="eastAsia"/>
          <w:color w:val="000000"/>
          <w:sz w:val="24"/>
        </w:rPr>
        <w:t>2</w:t>
      </w:r>
      <w:r w:rsidR="00C617C5">
        <w:rPr>
          <w:rFonts w:asciiTheme="minorEastAsia" w:eastAsiaTheme="minorEastAsia" w:hAnsiTheme="minorEastAsia"/>
          <w:color w:val="000000"/>
          <w:sz w:val="24"/>
        </w:rPr>
        <w:t>4</w:t>
      </w:r>
      <w:r w:rsidR="00383669" w:rsidRPr="00F05920">
        <w:rPr>
          <w:rFonts w:asciiTheme="minorEastAsia" w:eastAsiaTheme="minorEastAsia" w:hAnsiTheme="minorEastAsia"/>
          <w:color w:val="000000"/>
          <w:sz w:val="24"/>
        </w:rPr>
        <w:t>年</w:t>
      </w:r>
      <w:r w:rsidR="00980405">
        <w:rPr>
          <w:rFonts w:asciiTheme="minorEastAsia" w:eastAsiaTheme="minorEastAsia" w:hAnsiTheme="minorEastAsia"/>
          <w:color w:val="000000"/>
          <w:sz w:val="24"/>
        </w:rPr>
        <w:t>1</w:t>
      </w:r>
      <w:r w:rsidRPr="00F05920">
        <w:rPr>
          <w:rFonts w:asciiTheme="minorEastAsia" w:eastAsiaTheme="minorEastAsia" w:hAnsiTheme="minorEastAsia"/>
          <w:color w:val="000000"/>
          <w:sz w:val="24"/>
        </w:rPr>
        <w:t>月</w:t>
      </w:r>
      <w:r w:rsidR="00980405">
        <w:rPr>
          <w:rFonts w:asciiTheme="minorEastAsia" w:eastAsiaTheme="minorEastAsia" w:hAnsiTheme="minorEastAsia"/>
          <w:color w:val="000000"/>
          <w:sz w:val="24"/>
        </w:rPr>
        <w:t>6</w:t>
      </w:r>
      <w:r w:rsidRPr="00F05920">
        <w:rPr>
          <w:rFonts w:asciiTheme="minorEastAsia" w:eastAsiaTheme="minorEastAsia" w:hAnsiTheme="minorEastAsia"/>
          <w:color w:val="000000"/>
          <w:sz w:val="24"/>
        </w:rPr>
        <w:t>日</w:t>
      </w:r>
    </w:p>
    <w:p w:rsidR="00983D96" w:rsidRPr="00F05920" w:rsidRDefault="00983D96" w:rsidP="005F4298">
      <w:pPr>
        <w:pStyle w:val="2"/>
        <w:spacing w:before="0" w:after="0" w:line="360" w:lineRule="auto"/>
        <w:rPr>
          <w:rFonts w:asciiTheme="minorEastAsia" w:eastAsiaTheme="minorEastAsia" w:hAnsiTheme="minorEastAsia"/>
          <w:color w:val="000000"/>
          <w:sz w:val="24"/>
          <w:szCs w:val="24"/>
        </w:rPr>
      </w:pPr>
      <w:bookmarkStart w:id="1" w:name="_Toc275961395"/>
      <w:r w:rsidRPr="00F9732C">
        <w:rPr>
          <w:rFonts w:asciiTheme="minorEastAsia" w:eastAsiaTheme="minorEastAsia" w:hAnsiTheme="minorEastAsia"/>
          <w:color w:val="000000"/>
          <w:sz w:val="24"/>
        </w:rPr>
        <w:t xml:space="preserve">1 </w:t>
      </w:r>
      <w:r w:rsidRPr="00F9732C">
        <w:rPr>
          <w:rFonts w:asciiTheme="minorEastAsia" w:eastAsiaTheme="minorEastAsia" w:hAnsiTheme="minorEastAsia"/>
          <w:color w:val="000000"/>
          <w:sz w:val="24"/>
          <w:szCs w:val="24"/>
        </w:rPr>
        <w:t>公告基本信息</w:t>
      </w:r>
      <w:bookmarkEnd w:id="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7"/>
        <w:gridCol w:w="2977"/>
        <w:gridCol w:w="2998"/>
      </w:tblGrid>
      <w:tr w:rsidR="00C5059D" w:rsidRPr="00F05920" w:rsidTr="00466B6C">
        <w:trPr>
          <w:jc w:val="center"/>
        </w:trPr>
        <w:tc>
          <w:tcPr>
            <w:tcW w:w="2547" w:type="dxa"/>
          </w:tcPr>
          <w:p w:rsidR="00C5059D" w:rsidRPr="00F9732C" w:rsidRDefault="00C5059D">
            <w:pPr>
              <w:spacing w:line="360" w:lineRule="auto"/>
              <w:rPr>
                <w:rFonts w:asciiTheme="minorEastAsia" w:eastAsiaTheme="minorEastAsia" w:hAnsiTheme="minorEastAsia"/>
                <w:color w:val="000000"/>
                <w:sz w:val="21"/>
                <w:szCs w:val="21"/>
              </w:rPr>
            </w:pPr>
            <w:r w:rsidRPr="00F9732C">
              <w:rPr>
                <w:rFonts w:asciiTheme="minorEastAsia" w:eastAsiaTheme="minorEastAsia" w:hAnsiTheme="minorEastAsia"/>
                <w:color w:val="000000"/>
                <w:sz w:val="21"/>
                <w:szCs w:val="21"/>
              </w:rPr>
              <w:t>基金名称</w:t>
            </w:r>
          </w:p>
        </w:tc>
        <w:tc>
          <w:tcPr>
            <w:tcW w:w="5975" w:type="dxa"/>
            <w:gridSpan w:val="2"/>
          </w:tcPr>
          <w:p w:rsidR="00C5059D" w:rsidRPr="00F9732C" w:rsidRDefault="00C617C5">
            <w:pPr>
              <w:spacing w:line="360" w:lineRule="auto"/>
              <w:rPr>
                <w:rFonts w:asciiTheme="minorEastAsia" w:eastAsiaTheme="minorEastAsia" w:hAnsiTheme="minorEastAsia"/>
                <w:sz w:val="21"/>
                <w:szCs w:val="21"/>
              </w:rPr>
            </w:pPr>
            <w:r w:rsidRPr="00C617C5">
              <w:rPr>
                <w:rFonts w:asciiTheme="minorEastAsia" w:eastAsiaTheme="minorEastAsia" w:hAnsiTheme="minorEastAsia" w:hint="eastAsia"/>
                <w:sz w:val="21"/>
                <w:szCs w:val="21"/>
              </w:rPr>
              <w:t>浦银安盛盛跃纯债债券型证券投资基金</w:t>
            </w:r>
          </w:p>
        </w:tc>
      </w:tr>
      <w:tr w:rsidR="00C5059D" w:rsidRPr="00F05920" w:rsidTr="00466B6C">
        <w:trPr>
          <w:jc w:val="center"/>
        </w:trPr>
        <w:tc>
          <w:tcPr>
            <w:tcW w:w="2547" w:type="dxa"/>
          </w:tcPr>
          <w:p w:rsidR="00C5059D" w:rsidRPr="00F9732C" w:rsidRDefault="00C5059D">
            <w:pPr>
              <w:spacing w:line="360" w:lineRule="auto"/>
              <w:rPr>
                <w:rFonts w:asciiTheme="minorEastAsia" w:eastAsiaTheme="minorEastAsia" w:hAnsiTheme="minorEastAsia"/>
                <w:color w:val="000000"/>
                <w:sz w:val="21"/>
                <w:szCs w:val="21"/>
              </w:rPr>
            </w:pPr>
            <w:r w:rsidRPr="00F9732C">
              <w:rPr>
                <w:rFonts w:asciiTheme="minorEastAsia" w:eastAsiaTheme="minorEastAsia" w:hAnsiTheme="minorEastAsia"/>
                <w:color w:val="000000"/>
                <w:sz w:val="21"/>
                <w:szCs w:val="21"/>
              </w:rPr>
              <w:t>基金简称</w:t>
            </w:r>
          </w:p>
        </w:tc>
        <w:tc>
          <w:tcPr>
            <w:tcW w:w="5975" w:type="dxa"/>
            <w:gridSpan w:val="2"/>
          </w:tcPr>
          <w:p w:rsidR="00C5059D" w:rsidRPr="00F9732C" w:rsidRDefault="00C617C5">
            <w:pPr>
              <w:spacing w:line="360" w:lineRule="auto"/>
              <w:rPr>
                <w:rFonts w:asciiTheme="minorEastAsia" w:eastAsiaTheme="minorEastAsia" w:hAnsiTheme="minorEastAsia"/>
                <w:sz w:val="21"/>
                <w:szCs w:val="21"/>
              </w:rPr>
            </w:pPr>
            <w:r w:rsidRPr="00C617C5">
              <w:rPr>
                <w:rFonts w:asciiTheme="minorEastAsia" w:eastAsiaTheme="minorEastAsia" w:hAnsiTheme="minorEastAsia" w:hint="eastAsia"/>
                <w:sz w:val="21"/>
                <w:szCs w:val="21"/>
              </w:rPr>
              <w:t>浦银安盛盛跃纯债债券</w:t>
            </w:r>
          </w:p>
        </w:tc>
      </w:tr>
      <w:tr w:rsidR="00C5059D" w:rsidRPr="00F05920" w:rsidTr="00466B6C">
        <w:trPr>
          <w:jc w:val="center"/>
        </w:trPr>
        <w:tc>
          <w:tcPr>
            <w:tcW w:w="2547" w:type="dxa"/>
          </w:tcPr>
          <w:p w:rsidR="00C5059D" w:rsidRPr="00F9732C" w:rsidRDefault="00C5059D">
            <w:pPr>
              <w:spacing w:line="360" w:lineRule="auto"/>
              <w:rPr>
                <w:rFonts w:asciiTheme="minorEastAsia" w:eastAsiaTheme="minorEastAsia" w:hAnsiTheme="minorEastAsia"/>
                <w:color w:val="000000"/>
                <w:sz w:val="21"/>
                <w:szCs w:val="21"/>
              </w:rPr>
            </w:pPr>
            <w:r w:rsidRPr="00F9732C">
              <w:rPr>
                <w:rFonts w:asciiTheme="minorEastAsia" w:eastAsiaTheme="minorEastAsia" w:hAnsiTheme="minorEastAsia"/>
                <w:color w:val="000000"/>
                <w:sz w:val="21"/>
                <w:szCs w:val="21"/>
              </w:rPr>
              <w:t>基金主代码</w:t>
            </w:r>
          </w:p>
        </w:tc>
        <w:tc>
          <w:tcPr>
            <w:tcW w:w="5975" w:type="dxa"/>
            <w:gridSpan w:val="2"/>
          </w:tcPr>
          <w:p w:rsidR="00C5059D" w:rsidRPr="00F9732C" w:rsidRDefault="00C617C5">
            <w:pPr>
              <w:spacing w:line="360" w:lineRule="auto"/>
              <w:rPr>
                <w:rFonts w:asciiTheme="minorEastAsia" w:eastAsiaTheme="minorEastAsia" w:hAnsiTheme="minorEastAsia"/>
                <w:sz w:val="21"/>
                <w:szCs w:val="21"/>
              </w:rPr>
            </w:pPr>
            <w:r w:rsidRPr="00C617C5">
              <w:rPr>
                <w:rFonts w:asciiTheme="minorEastAsia" w:eastAsiaTheme="minorEastAsia" w:hAnsiTheme="minorEastAsia"/>
                <w:sz w:val="21"/>
                <w:szCs w:val="21"/>
              </w:rPr>
              <w:t>519330</w:t>
            </w:r>
          </w:p>
        </w:tc>
      </w:tr>
      <w:tr w:rsidR="00C5059D" w:rsidRPr="00F05920" w:rsidTr="00466B6C">
        <w:trPr>
          <w:jc w:val="center"/>
        </w:trPr>
        <w:tc>
          <w:tcPr>
            <w:tcW w:w="2547" w:type="dxa"/>
          </w:tcPr>
          <w:p w:rsidR="00C5059D" w:rsidRPr="00F9732C" w:rsidRDefault="00C5059D">
            <w:pPr>
              <w:spacing w:line="360" w:lineRule="auto"/>
              <w:rPr>
                <w:rFonts w:asciiTheme="minorEastAsia" w:eastAsiaTheme="minorEastAsia" w:hAnsiTheme="minorEastAsia"/>
                <w:color w:val="000000"/>
                <w:sz w:val="21"/>
                <w:szCs w:val="21"/>
              </w:rPr>
            </w:pPr>
            <w:r w:rsidRPr="00F9732C">
              <w:rPr>
                <w:rFonts w:asciiTheme="minorEastAsia" w:eastAsiaTheme="minorEastAsia" w:hAnsiTheme="minorEastAsia"/>
                <w:color w:val="000000"/>
                <w:sz w:val="21"/>
                <w:szCs w:val="21"/>
              </w:rPr>
              <w:t>基金管理人名称</w:t>
            </w:r>
          </w:p>
        </w:tc>
        <w:tc>
          <w:tcPr>
            <w:tcW w:w="5975" w:type="dxa"/>
            <w:gridSpan w:val="2"/>
          </w:tcPr>
          <w:p w:rsidR="00C5059D" w:rsidRPr="00F9732C" w:rsidRDefault="00C5059D">
            <w:pPr>
              <w:spacing w:line="360" w:lineRule="auto"/>
              <w:rPr>
                <w:rFonts w:asciiTheme="minorEastAsia" w:eastAsiaTheme="minorEastAsia" w:hAnsiTheme="minorEastAsia"/>
                <w:sz w:val="21"/>
                <w:szCs w:val="21"/>
              </w:rPr>
            </w:pPr>
            <w:r w:rsidRPr="00F9732C">
              <w:rPr>
                <w:rFonts w:asciiTheme="minorEastAsia" w:eastAsiaTheme="minorEastAsia" w:hAnsiTheme="minorEastAsia" w:hint="eastAsia"/>
                <w:sz w:val="21"/>
                <w:szCs w:val="21"/>
              </w:rPr>
              <w:t>浦银安盛基金管理有限公司</w:t>
            </w:r>
          </w:p>
        </w:tc>
      </w:tr>
      <w:tr w:rsidR="00C5059D" w:rsidRPr="00F05920" w:rsidTr="00466B6C">
        <w:trPr>
          <w:jc w:val="center"/>
        </w:trPr>
        <w:tc>
          <w:tcPr>
            <w:tcW w:w="2547" w:type="dxa"/>
          </w:tcPr>
          <w:p w:rsidR="00C5059D" w:rsidRPr="00F9732C" w:rsidRDefault="00C5059D">
            <w:pPr>
              <w:spacing w:line="360" w:lineRule="auto"/>
              <w:rPr>
                <w:rFonts w:asciiTheme="minorEastAsia" w:eastAsiaTheme="minorEastAsia" w:hAnsiTheme="minorEastAsia"/>
                <w:color w:val="000000"/>
                <w:sz w:val="21"/>
                <w:szCs w:val="21"/>
              </w:rPr>
            </w:pPr>
            <w:r w:rsidRPr="00F9732C">
              <w:rPr>
                <w:rFonts w:asciiTheme="minorEastAsia" w:eastAsiaTheme="minorEastAsia" w:hAnsiTheme="minorEastAsia"/>
                <w:color w:val="000000"/>
                <w:sz w:val="21"/>
                <w:szCs w:val="21"/>
              </w:rPr>
              <w:t>公告依据</w:t>
            </w:r>
          </w:p>
        </w:tc>
        <w:tc>
          <w:tcPr>
            <w:tcW w:w="5975" w:type="dxa"/>
            <w:gridSpan w:val="2"/>
          </w:tcPr>
          <w:p w:rsidR="00C5059D" w:rsidRPr="00F9732C" w:rsidRDefault="00B506B7">
            <w:pPr>
              <w:spacing w:line="360" w:lineRule="auto"/>
              <w:rPr>
                <w:rFonts w:asciiTheme="minorEastAsia" w:eastAsiaTheme="minorEastAsia" w:hAnsiTheme="minorEastAsia"/>
                <w:color w:val="000000"/>
                <w:kern w:val="0"/>
                <w:sz w:val="21"/>
                <w:szCs w:val="21"/>
              </w:rPr>
            </w:pPr>
            <w:r w:rsidRPr="00F9732C">
              <w:rPr>
                <w:rFonts w:asciiTheme="minorEastAsia" w:eastAsiaTheme="minorEastAsia" w:hAnsiTheme="minorEastAsia" w:hint="eastAsia"/>
                <w:sz w:val="21"/>
                <w:szCs w:val="21"/>
              </w:rPr>
              <w:t>《中华人民共和国证券投资基金法》及其配套法规、《公开募集证券投资基金信息披露管理办法》、《公开募集证券投资基金运作管理办法》、</w:t>
            </w:r>
            <w:r w:rsidR="00C5059D" w:rsidRPr="00F9732C">
              <w:rPr>
                <w:rFonts w:asciiTheme="minorEastAsia" w:eastAsiaTheme="minorEastAsia" w:hAnsiTheme="minorEastAsia" w:hint="eastAsia"/>
                <w:sz w:val="21"/>
                <w:szCs w:val="21"/>
              </w:rPr>
              <w:t>《</w:t>
            </w:r>
            <w:r w:rsidR="00C617C5" w:rsidRPr="00C617C5">
              <w:rPr>
                <w:rFonts w:asciiTheme="minorEastAsia" w:eastAsiaTheme="minorEastAsia" w:hAnsiTheme="minorEastAsia" w:hint="eastAsia"/>
                <w:sz w:val="21"/>
                <w:szCs w:val="21"/>
              </w:rPr>
              <w:t>浦银安盛盛跃纯债债券型证券投资基金</w:t>
            </w:r>
            <w:r w:rsidR="002F76BE" w:rsidRPr="002F76BE">
              <w:rPr>
                <w:rFonts w:asciiTheme="minorEastAsia" w:eastAsiaTheme="minorEastAsia" w:hAnsiTheme="minorEastAsia" w:hint="eastAsia"/>
                <w:sz w:val="21"/>
                <w:szCs w:val="21"/>
              </w:rPr>
              <w:t>基金合同</w:t>
            </w:r>
            <w:r w:rsidR="00C5059D" w:rsidRPr="00F9732C">
              <w:rPr>
                <w:rFonts w:asciiTheme="minorEastAsia" w:eastAsiaTheme="minorEastAsia" w:hAnsiTheme="minorEastAsia" w:hint="eastAsia"/>
                <w:sz w:val="21"/>
                <w:szCs w:val="21"/>
              </w:rPr>
              <w:t>》（以下简称“基金合同”）、《</w:t>
            </w:r>
            <w:r w:rsidR="00C617C5" w:rsidRPr="00C617C5">
              <w:rPr>
                <w:rFonts w:asciiTheme="minorEastAsia" w:eastAsiaTheme="minorEastAsia" w:hAnsiTheme="minorEastAsia" w:hint="eastAsia"/>
                <w:sz w:val="21"/>
                <w:szCs w:val="21"/>
              </w:rPr>
              <w:t>浦银安盛盛跃纯债债券型证券投资基金</w:t>
            </w:r>
            <w:r w:rsidR="002F76BE" w:rsidRPr="002F76BE">
              <w:rPr>
                <w:rFonts w:asciiTheme="minorEastAsia" w:eastAsiaTheme="minorEastAsia" w:hAnsiTheme="minorEastAsia" w:hint="eastAsia"/>
                <w:sz w:val="21"/>
                <w:szCs w:val="21"/>
              </w:rPr>
              <w:t>招募说明书</w:t>
            </w:r>
            <w:r w:rsidR="00C5059D" w:rsidRPr="00F9732C">
              <w:rPr>
                <w:rFonts w:asciiTheme="minorEastAsia" w:eastAsiaTheme="minorEastAsia" w:hAnsiTheme="minorEastAsia" w:hint="eastAsia"/>
                <w:sz w:val="21"/>
                <w:szCs w:val="21"/>
              </w:rPr>
              <w:t>》（以下简称“招募说明书”）等有关规定</w:t>
            </w:r>
          </w:p>
        </w:tc>
      </w:tr>
      <w:tr w:rsidR="00C324AE" w:rsidRPr="00F05920" w:rsidTr="00466B6C">
        <w:trPr>
          <w:jc w:val="center"/>
        </w:trPr>
        <w:tc>
          <w:tcPr>
            <w:tcW w:w="2547" w:type="dxa"/>
            <w:vMerge w:val="restart"/>
          </w:tcPr>
          <w:p w:rsidR="00C324AE" w:rsidRPr="00100023" w:rsidRDefault="00564073">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暂停</w:t>
            </w:r>
            <w:r w:rsidR="00C324AE" w:rsidRPr="00100023">
              <w:rPr>
                <w:rFonts w:asciiTheme="minorEastAsia" w:eastAsiaTheme="minorEastAsia" w:hAnsiTheme="minorEastAsia"/>
                <w:color w:val="000000"/>
                <w:sz w:val="21"/>
                <w:szCs w:val="21"/>
              </w:rPr>
              <w:t>相关业务的</w:t>
            </w:r>
            <w:r w:rsidR="00330BA4" w:rsidRPr="00100023">
              <w:rPr>
                <w:rFonts w:asciiTheme="minorEastAsia" w:eastAsiaTheme="minorEastAsia" w:hAnsiTheme="minorEastAsia" w:hint="eastAsia"/>
                <w:color w:val="000000"/>
                <w:sz w:val="21"/>
                <w:szCs w:val="21"/>
              </w:rPr>
              <w:t>起始日、金额</w:t>
            </w:r>
            <w:r w:rsidR="00C324AE" w:rsidRPr="00100023">
              <w:rPr>
                <w:rFonts w:asciiTheme="minorEastAsia" w:eastAsiaTheme="minorEastAsia" w:hAnsiTheme="minorEastAsia"/>
                <w:color w:val="000000"/>
                <w:sz w:val="21"/>
                <w:szCs w:val="21"/>
              </w:rPr>
              <w:t>及原因说明</w:t>
            </w:r>
          </w:p>
        </w:tc>
        <w:tc>
          <w:tcPr>
            <w:tcW w:w="2977" w:type="dxa"/>
          </w:tcPr>
          <w:p w:rsidR="00C324AE" w:rsidRPr="00F9732C" w:rsidRDefault="00564073">
            <w:pPr>
              <w:spacing w:line="360" w:lineRule="auto"/>
              <w:rPr>
                <w:rFonts w:asciiTheme="minorEastAsia" w:eastAsiaTheme="minorEastAsia" w:hAnsiTheme="minorEastAsia"/>
                <w:color w:val="000000"/>
                <w:kern w:val="0"/>
                <w:sz w:val="21"/>
                <w:szCs w:val="21"/>
              </w:rPr>
            </w:pPr>
            <w:r w:rsidRPr="00564073">
              <w:rPr>
                <w:rFonts w:asciiTheme="minorEastAsia" w:eastAsiaTheme="minorEastAsia" w:hAnsiTheme="minorEastAsia" w:hint="eastAsia"/>
                <w:color w:val="000000"/>
                <w:sz w:val="21"/>
                <w:szCs w:val="21"/>
              </w:rPr>
              <w:t>暂停</w:t>
            </w:r>
            <w:r w:rsidR="00C324AE" w:rsidRPr="00F9732C">
              <w:rPr>
                <w:rFonts w:asciiTheme="minorEastAsia" w:eastAsiaTheme="minorEastAsia" w:hAnsiTheme="minorEastAsia"/>
                <w:color w:val="000000"/>
                <w:sz w:val="21"/>
                <w:szCs w:val="21"/>
              </w:rPr>
              <w:t>大额申购起始日</w:t>
            </w:r>
          </w:p>
        </w:tc>
        <w:tc>
          <w:tcPr>
            <w:tcW w:w="2998" w:type="dxa"/>
          </w:tcPr>
          <w:p w:rsidR="00C324AE" w:rsidRPr="00F9732C" w:rsidRDefault="00C324AE" w:rsidP="00C617C5">
            <w:pPr>
              <w:spacing w:line="360" w:lineRule="auto"/>
              <w:rPr>
                <w:rFonts w:asciiTheme="minorEastAsia" w:eastAsiaTheme="minorEastAsia" w:hAnsiTheme="minorEastAsia"/>
                <w:color w:val="000000"/>
                <w:kern w:val="0"/>
                <w:sz w:val="21"/>
                <w:szCs w:val="21"/>
              </w:rPr>
            </w:pPr>
            <w:r w:rsidRPr="00F9732C">
              <w:rPr>
                <w:rFonts w:asciiTheme="minorEastAsia" w:eastAsiaTheme="minorEastAsia" w:hAnsiTheme="minorEastAsia"/>
                <w:color w:val="000000"/>
                <w:kern w:val="0"/>
                <w:sz w:val="21"/>
                <w:szCs w:val="21"/>
              </w:rPr>
              <w:t>202</w:t>
            </w:r>
            <w:r w:rsidR="00C617C5">
              <w:rPr>
                <w:rFonts w:asciiTheme="minorEastAsia" w:eastAsiaTheme="minorEastAsia" w:hAnsiTheme="minorEastAsia"/>
                <w:color w:val="000000"/>
                <w:kern w:val="0"/>
                <w:sz w:val="21"/>
                <w:szCs w:val="21"/>
              </w:rPr>
              <w:t>4</w:t>
            </w:r>
            <w:r w:rsidRPr="00F9732C">
              <w:rPr>
                <w:rFonts w:asciiTheme="minorEastAsia" w:eastAsiaTheme="minorEastAsia" w:hAnsiTheme="minorEastAsia" w:hint="eastAsia"/>
                <w:color w:val="000000"/>
                <w:kern w:val="0"/>
                <w:sz w:val="21"/>
                <w:szCs w:val="21"/>
              </w:rPr>
              <w:t>年</w:t>
            </w:r>
            <w:r w:rsidR="0053465A">
              <w:rPr>
                <w:rFonts w:asciiTheme="minorEastAsia" w:eastAsiaTheme="minorEastAsia" w:hAnsiTheme="minorEastAsia"/>
                <w:color w:val="000000"/>
                <w:kern w:val="0"/>
                <w:sz w:val="21"/>
                <w:szCs w:val="21"/>
              </w:rPr>
              <w:t>1</w:t>
            </w:r>
            <w:r w:rsidRPr="00F9732C">
              <w:rPr>
                <w:rFonts w:asciiTheme="minorEastAsia" w:eastAsiaTheme="minorEastAsia" w:hAnsiTheme="minorEastAsia" w:hint="eastAsia"/>
                <w:color w:val="000000"/>
                <w:kern w:val="0"/>
                <w:sz w:val="21"/>
                <w:szCs w:val="21"/>
              </w:rPr>
              <w:t>月</w:t>
            </w:r>
            <w:r w:rsidR="00C617C5">
              <w:rPr>
                <w:rFonts w:asciiTheme="minorEastAsia" w:eastAsiaTheme="minorEastAsia" w:hAnsiTheme="minorEastAsia"/>
                <w:color w:val="000000"/>
                <w:kern w:val="0"/>
                <w:sz w:val="21"/>
                <w:szCs w:val="21"/>
              </w:rPr>
              <w:t>8</w:t>
            </w:r>
            <w:r w:rsidRPr="00F9732C">
              <w:rPr>
                <w:rFonts w:asciiTheme="minorEastAsia" w:eastAsiaTheme="minorEastAsia" w:hAnsiTheme="minorEastAsia" w:hint="eastAsia"/>
                <w:color w:val="000000"/>
                <w:kern w:val="0"/>
                <w:sz w:val="21"/>
                <w:szCs w:val="21"/>
              </w:rPr>
              <w:t>日</w:t>
            </w:r>
          </w:p>
        </w:tc>
      </w:tr>
      <w:tr w:rsidR="005D1F1D" w:rsidRPr="00F05920" w:rsidTr="00466B6C">
        <w:trPr>
          <w:jc w:val="center"/>
        </w:trPr>
        <w:tc>
          <w:tcPr>
            <w:tcW w:w="2547" w:type="dxa"/>
            <w:vMerge/>
          </w:tcPr>
          <w:p w:rsidR="005D1F1D" w:rsidRPr="00F9732C" w:rsidRDefault="005D1F1D">
            <w:pPr>
              <w:spacing w:line="360" w:lineRule="auto"/>
              <w:rPr>
                <w:rFonts w:asciiTheme="minorEastAsia" w:eastAsiaTheme="minorEastAsia" w:hAnsiTheme="minorEastAsia"/>
                <w:color w:val="000000"/>
                <w:sz w:val="21"/>
                <w:szCs w:val="21"/>
              </w:rPr>
            </w:pPr>
          </w:p>
        </w:tc>
        <w:tc>
          <w:tcPr>
            <w:tcW w:w="2977" w:type="dxa"/>
          </w:tcPr>
          <w:p w:rsidR="005D1F1D" w:rsidRPr="00F9732C" w:rsidRDefault="00564073">
            <w:pPr>
              <w:spacing w:line="360" w:lineRule="auto"/>
              <w:rPr>
                <w:rFonts w:asciiTheme="minorEastAsia" w:eastAsiaTheme="minorEastAsia" w:hAnsiTheme="minorEastAsia"/>
                <w:color w:val="000000"/>
                <w:sz w:val="21"/>
                <w:szCs w:val="21"/>
              </w:rPr>
            </w:pPr>
            <w:r w:rsidRPr="00564073">
              <w:rPr>
                <w:rFonts w:asciiTheme="minorEastAsia" w:eastAsiaTheme="minorEastAsia" w:hAnsiTheme="minorEastAsia" w:hint="eastAsia"/>
                <w:color w:val="000000"/>
                <w:sz w:val="21"/>
                <w:szCs w:val="21"/>
              </w:rPr>
              <w:t>暂停</w:t>
            </w:r>
            <w:r w:rsidR="005D1F1D" w:rsidRPr="00F9732C">
              <w:rPr>
                <w:rFonts w:asciiTheme="minorEastAsia" w:eastAsiaTheme="minorEastAsia" w:hAnsiTheme="minorEastAsia" w:hint="eastAsia"/>
                <w:color w:val="000000"/>
                <w:sz w:val="21"/>
                <w:szCs w:val="21"/>
              </w:rPr>
              <w:t>大额转换转入起始日</w:t>
            </w:r>
          </w:p>
        </w:tc>
        <w:tc>
          <w:tcPr>
            <w:tcW w:w="2998" w:type="dxa"/>
          </w:tcPr>
          <w:p w:rsidR="005D1F1D" w:rsidRPr="00F9732C" w:rsidRDefault="00C617C5">
            <w:pPr>
              <w:spacing w:line="360" w:lineRule="auto"/>
              <w:rPr>
                <w:rFonts w:asciiTheme="minorEastAsia" w:eastAsiaTheme="minorEastAsia" w:hAnsiTheme="minorEastAsia"/>
                <w:color w:val="000000"/>
                <w:kern w:val="0"/>
                <w:sz w:val="21"/>
                <w:szCs w:val="21"/>
              </w:rPr>
            </w:pPr>
            <w:r w:rsidRPr="00C617C5">
              <w:rPr>
                <w:rFonts w:asciiTheme="minorEastAsia" w:eastAsiaTheme="minorEastAsia" w:hAnsiTheme="minorEastAsia" w:hint="eastAsia"/>
                <w:color w:val="000000"/>
                <w:sz w:val="21"/>
                <w:szCs w:val="21"/>
              </w:rPr>
              <w:t>2024年1月8日</w:t>
            </w:r>
          </w:p>
        </w:tc>
      </w:tr>
      <w:tr w:rsidR="005D1F1D" w:rsidRPr="00F05920" w:rsidTr="00466B6C">
        <w:trPr>
          <w:jc w:val="center"/>
        </w:trPr>
        <w:tc>
          <w:tcPr>
            <w:tcW w:w="2547" w:type="dxa"/>
            <w:vMerge/>
          </w:tcPr>
          <w:p w:rsidR="005D1F1D" w:rsidRPr="00F9732C" w:rsidRDefault="005D1F1D">
            <w:pPr>
              <w:spacing w:line="360" w:lineRule="auto"/>
              <w:rPr>
                <w:rFonts w:asciiTheme="minorEastAsia" w:eastAsiaTheme="minorEastAsia" w:hAnsiTheme="minorEastAsia"/>
                <w:color w:val="000000"/>
                <w:sz w:val="21"/>
                <w:szCs w:val="21"/>
              </w:rPr>
            </w:pPr>
          </w:p>
        </w:tc>
        <w:tc>
          <w:tcPr>
            <w:tcW w:w="2977" w:type="dxa"/>
          </w:tcPr>
          <w:p w:rsidR="005D1F1D" w:rsidRPr="00F9732C" w:rsidRDefault="00564073">
            <w:pPr>
              <w:spacing w:line="360" w:lineRule="auto"/>
              <w:rPr>
                <w:rFonts w:asciiTheme="minorEastAsia" w:eastAsiaTheme="minorEastAsia" w:hAnsiTheme="minorEastAsia"/>
                <w:color w:val="000000"/>
                <w:sz w:val="21"/>
                <w:szCs w:val="21"/>
              </w:rPr>
            </w:pPr>
            <w:r w:rsidRPr="00564073">
              <w:rPr>
                <w:rFonts w:asciiTheme="minorEastAsia" w:eastAsiaTheme="minorEastAsia" w:hAnsiTheme="minorEastAsia" w:hint="eastAsia"/>
                <w:color w:val="000000"/>
                <w:sz w:val="21"/>
                <w:szCs w:val="21"/>
              </w:rPr>
              <w:t>暂停</w:t>
            </w:r>
            <w:r w:rsidR="005D1F1D" w:rsidRPr="00F9732C">
              <w:rPr>
                <w:rFonts w:asciiTheme="minorEastAsia" w:eastAsiaTheme="minorEastAsia" w:hAnsiTheme="minorEastAsia" w:hint="eastAsia"/>
                <w:color w:val="000000"/>
                <w:sz w:val="21"/>
                <w:szCs w:val="21"/>
              </w:rPr>
              <w:t>大额定期定额投资起始日</w:t>
            </w:r>
          </w:p>
        </w:tc>
        <w:tc>
          <w:tcPr>
            <w:tcW w:w="2998" w:type="dxa"/>
          </w:tcPr>
          <w:p w:rsidR="005D1F1D" w:rsidRPr="00F9732C" w:rsidRDefault="00C617C5">
            <w:pPr>
              <w:spacing w:line="360" w:lineRule="auto"/>
              <w:rPr>
                <w:rFonts w:asciiTheme="minorEastAsia" w:eastAsiaTheme="minorEastAsia" w:hAnsiTheme="minorEastAsia"/>
                <w:color w:val="000000"/>
                <w:kern w:val="0"/>
                <w:sz w:val="21"/>
                <w:szCs w:val="21"/>
              </w:rPr>
            </w:pPr>
            <w:r w:rsidRPr="00C617C5">
              <w:rPr>
                <w:rFonts w:asciiTheme="minorEastAsia" w:eastAsiaTheme="minorEastAsia" w:hAnsiTheme="minorEastAsia" w:hint="eastAsia"/>
                <w:color w:val="000000"/>
                <w:sz w:val="21"/>
                <w:szCs w:val="21"/>
              </w:rPr>
              <w:t>2024年1月8日</w:t>
            </w:r>
          </w:p>
        </w:tc>
      </w:tr>
      <w:tr w:rsidR="0019551A" w:rsidRPr="00F05920" w:rsidTr="00466B6C">
        <w:trPr>
          <w:jc w:val="center"/>
        </w:trPr>
        <w:tc>
          <w:tcPr>
            <w:tcW w:w="2547" w:type="dxa"/>
            <w:vMerge/>
          </w:tcPr>
          <w:p w:rsidR="0019551A" w:rsidRPr="00F9732C" w:rsidRDefault="0019551A" w:rsidP="0019551A">
            <w:pPr>
              <w:spacing w:line="360" w:lineRule="auto"/>
              <w:rPr>
                <w:rFonts w:asciiTheme="minorEastAsia" w:eastAsiaTheme="minorEastAsia" w:hAnsiTheme="minorEastAsia"/>
                <w:color w:val="000000"/>
                <w:sz w:val="21"/>
                <w:szCs w:val="21"/>
              </w:rPr>
            </w:pPr>
          </w:p>
        </w:tc>
        <w:tc>
          <w:tcPr>
            <w:tcW w:w="2977" w:type="dxa"/>
          </w:tcPr>
          <w:p w:rsidR="0019551A" w:rsidRPr="00F9732C" w:rsidRDefault="0019551A" w:rsidP="0019551A">
            <w:pPr>
              <w:spacing w:line="360" w:lineRule="auto"/>
              <w:rPr>
                <w:rFonts w:asciiTheme="minorEastAsia" w:eastAsiaTheme="minorEastAsia" w:hAnsiTheme="minorEastAsia"/>
                <w:color w:val="000000"/>
                <w:kern w:val="0"/>
                <w:sz w:val="21"/>
                <w:szCs w:val="21"/>
              </w:rPr>
            </w:pPr>
            <w:r w:rsidRPr="00564073">
              <w:rPr>
                <w:rFonts w:asciiTheme="minorEastAsia" w:eastAsiaTheme="minorEastAsia" w:hAnsiTheme="minorEastAsia" w:hint="eastAsia"/>
                <w:color w:val="000000"/>
                <w:sz w:val="21"/>
                <w:szCs w:val="21"/>
              </w:rPr>
              <w:t>暂停</w:t>
            </w:r>
            <w:r w:rsidRPr="00F9732C">
              <w:rPr>
                <w:rFonts w:asciiTheme="minorEastAsia" w:eastAsiaTheme="minorEastAsia" w:hAnsiTheme="minorEastAsia" w:hint="eastAsia"/>
                <w:color w:val="000000"/>
                <w:kern w:val="0"/>
                <w:sz w:val="21"/>
                <w:szCs w:val="21"/>
              </w:rPr>
              <w:t>大额申购、转换转入、定期定额投资的原因说明</w:t>
            </w:r>
          </w:p>
        </w:tc>
        <w:tc>
          <w:tcPr>
            <w:tcW w:w="2998" w:type="dxa"/>
          </w:tcPr>
          <w:p w:rsidR="0019551A" w:rsidRPr="00F9732C" w:rsidRDefault="0019551A" w:rsidP="0019551A">
            <w:pPr>
              <w:spacing w:line="360" w:lineRule="auto"/>
              <w:rPr>
                <w:rFonts w:asciiTheme="minorEastAsia" w:eastAsiaTheme="minorEastAsia" w:hAnsiTheme="minorEastAsia"/>
                <w:color w:val="000000"/>
                <w:kern w:val="0"/>
                <w:sz w:val="21"/>
                <w:szCs w:val="21"/>
              </w:rPr>
            </w:pPr>
            <w:r w:rsidRPr="00F9732C">
              <w:rPr>
                <w:rFonts w:asciiTheme="minorEastAsia" w:eastAsiaTheme="minorEastAsia" w:hAnsiTheme="minorEastAsia" w:hint="eastAsia"/>
                <w:color w:val="000000"/>
                <w:kern w:val="0"/>
                <w:sz w:val="21"/>
                <w:szCs w:val="21"/>
              </w:rPr>
              <w:t>保护基金份额持有人的利益，加强基金投资运作的稳定性</w:t>
            </w:r>
          </w:p>
        </w:tc>
      </w:tr>
      <w:tr w:rsidR="0019551A" w:rsidRPr="00F05920" w:rsidTr="00466B6C">
        <w:trPr>
          <w:jc w:val="center"/>
        </w:trPr>
        <w:tc>
          <w:tcPr>
            <w:tcW w:w="2547" w:type="dxa"/>
          </w:tcPr>
          <w:p w:rsidR="0019551A" w:rsidRPr="00F9732C" w:rsidRDefault="0019551A" w:rsidP="0019551A">
            <w:pPr>
              <w:spacing w:line="360" w:lineRule="auto"/>
              <w:rPr>
                <w:rFonts w:asciiTheme="minorEastAsia" w:eastAsiaTheme="minorEastAsia" w:hAnsiTheme="minorEastAsia"/>
                <w:color w:val="000000"/>
                <w:sz w:val="21"/>
                <w:szCs w:val="21"/>
              </w:rPr>
            </w:pPr>
            <w:r w:rsidRPr="00F9732C">
              <w:rPr>
                <w:rFonts w:asciiTheme="minorEastAsia" w:eastAsiaTheme="minorEastAsia" w:hAnsiTheme="minorEastAsia" w:hint="eastAsia"/>
                <w:color w:val="000000"/>
                <w:sz w:val="21"/>
                <w:szCs w:val="21"/>
              </w:rPr>
              <w:t>下属分级基金的基金简称</w:t>
            </w:r>
          </w:p>
        </w:tc>
        <w:tc>
          <w:tcPr>
            <w:tcW w:w="2977" w:type="dxa"/>
          </w:tcPr>
          <w:p w:rsidR="0019551A" w:rsidRPr="00F9732C" w:rsidRDefault="00D048C5" w:rsidP="0019551A">
            <w:pPr>
              <w:spacing w:line="360" w:lineRule="auto"/>
              <w:rPr>
                <w:rFonts w:asciiTheme="minorEastAsia" w:eastAsiaTheme="minorEastAsia" w:hAnsiTheme="minorEastAsia"/>
                <w:color w:val="000000"/>
                <w:kern w:val="0"/>
                <w:sz w:val="21"/>
                <w:szCs w:val="21"/>
              </w:rPr>
            </w:pPr>
            <w:r w:rsidRPr="00D048C5">
              <w:rPr>
                <w:rFonts w:asciiTheme="minorEastAsia" w:eastAsiaTheme="minorEastAsia" w:hAnsiTheme="minorEastAsia" w:hint="eastAsia"/>
                <w:sz w:val="21"/>
                <w:szCs w:val="21"/>
              </w:rPr>
              <w:t>浦银安盛盛跃纯债债券</w:t>
            </w:r>
            <w:r w:rsidR="0019551A" w:rsidRPr="0053465A">
              <w:rPr>
                <w:rFonts w:asciiTheme="minorEastAsia" w:eastAsiaTheme="minorEastAsia" w:hAnsiTheme="minorEastAsia" w:hint="eastAsia"/>
                <w:sz w:val="21"/>
                <w:szCs w:val="21"/>
              </w:rPr>
              <w:t>A</w:t>
            </w:r>
          </w:p>
        </w:tc>
        <w:tc>
          <w:tcPr>
            <w:tcW w:w="2998" w:type="dxa"/>
          </w:tcPr>
          <w:p w:rsidR="0019551A" w:rsidRPr="00F9732C" w:rsidRDefault="00D048C5" w:rsidP="0019551A">
            <w:pPr>
              <w:spacing w:line="360" w:lineRule="auto"/>
              <w:rPr>
                <w:rFonts w:asciiTheme="minorEastAsia" w:eastAsiaTheme="minorEastAsia" w:hAnsiTheme="minorEastAsia"/>
                <w:color w:val="000000"/>
                <w:kern w:val="0"/>
                <w:sz w:val="21"/>
                <w:szCs w:val="21"/>
              </w:rPr>
            </w:pPr>
            <w:r w:rsidRPr="00D048C5">
              <w:rPr>
                <w:rFonts w:asciiTheme="minorEastAsia" w:eastAsiaTheme="minorEastAsia" w:hAnsiTheme="minorEastAsia" w:hint="eastAsia"/>
                <w:sz w:val="21"/>
                <w:szCs w:val="21"/>
              </w:rPr>
              <w:t>浦银安盛盛跃纯债债券</w:t>
            </w:r>
            <w:r w:rsidR="0019551A" w:rsidRPr="0053465A">
              <w:rPr>
                <w:rFonts w:asciiTheme="minorEastAsia" w:eastAsiaTheme="minorEastAsia" w:hAnsiTheme="minorEastAsia" w:hint="eastAsia"/>
                <w:sz w:val="21"/>
                <w:szCs w:val="21"/>
              </w:rPr>
              <w:t>C</w:t>
            </w:r>
          </w:p>
        </w:tc>
      </w:tr>
      <w:tr w:rsidR="0019551A" w:rsidRPr="00F05920" w:rsidTr="00466B6C">
        <w:trPr>
          <w:jc w:val="center"/>
        </w:trPr>
        <w:tc>
          <w:tcPr>
            <w:tcW w:w="2547" w:type="dxa"/>
          </w:tcPr>
          <w:p w:rsidR="0019551A" w:rsidRPr="00F9732C" w:rsidRDefault="0019551A" w:rsidP="0019551A">
            <w:pPr>
              <w:spacing w:line="360" w:lineRule="auto"/>
              <w:rPr>
                <w:rFonts w:asciiTheme="minorEastAsia" w:eastAsiaTheme="minorEastAsia" w:hAnsiTheme="minorEastAsia"/>
                <w:color w:val="000000"/>
                <w:sz w:val="21"/>
                <w:szCs w:val="21"/>
              </w:rPr>
            </w:pPr>
            <w:r w:rsidRPr="00F9732C">
              <w:rPr>
                <w:rFonts w:asciiTheme="minorEastAsia" w:eastAsiaTheme="minorEastAsia" w:hAnsiTheme="minorEastAsia" w:hint="eastAsia"/>
                <w:color w:val="000000"/>
                <w:sz w:val="21"/>
                <w:szCs w:val="21"/>
              </w:rPr>
              <w:t>下属分级基金的交易代码</w:t>
            </w:r>
          </w:p>
        </w:tc>
        <w:tc>
          <w:tcPr>
            <w:tcW w:w="2977" w:type="dxa"/>
            <w:vAlign w:val="center"/>
          </w:tcPr>
          <w:p w:rsidR="0019551A" w:rsidRPr="00F9732C" w:rsidRDefault="00D048C5" w:rsidP="0019551A">
            <w:pPr>
              <w:spacing w:line="360" w:lineRule="auto"/>
              <w:rPr>
                <w:rFonts w:asciiTheme="minorEastAsia" w:eastAsiaTheme="minorEastAsia" w:hAnsiTheme="minorEastAsia"/>
                <w:color w:val="000000"/>
                <w:kern w:val="0"/>
                <w:sz w:val="21"/>
                <w:szCs w:val="21"/>
              </w:rPr>
            </w:pPr>
            <w:r w:rsidRPr="00D048C5">
              <w:rPr>
                <w:rFonts w:asciiTheme="minorEastAsia" w:eastAsiaTheme="minorEastAsia" w:hAnsiTheme="minorEastAsia"/>
                <w:color w:val="000000"/>
                <w:kern w:val="0"/>
                <w:sz w:val="21"/>
                <w:szCs w:val="21"/>
              </w:rPr>
              <w:t>519330</w:t>
            </w:r>
          </w:p>
        </w:tc>
        <w:tc>
          <w:tcPr>
            <w:tcW w:w="2998" w:type="dxa"/>
            <w:vAlign w:val="center"/>
          </w:tcPr>
          <w:p w:rsidR="0019551A" w:rsidRPr="00F9732C" w:rsidRDefault="00D048C5" w:rsidP="0019551A">
            <w:pPr>
              <w:spacing w:line="360" w:lineRule="auto"/>
              <w:jc w:val="left"/>
              <w:rPr>
                <w:rFonts w:asciiTheme="minorEastAsia" w:eastAsiaTheme="minorEastAsia" w:hAnsiTheme="minorEastAsia"/>
                <w:color w:val="000000"/>
                <w:kern w:val="0"/>
                <w:sz w:val="21"/>
                <w:szCs w:val="21"/>
              </w:rPr>
            </w:pPr>
            <w:r w:rsidRPr="00D048C5">
              <w:rPr>
                <w:rFonts w:asciiTheme="minorEastAsia" w:eastAsiaTheme="minorEastAsia" w:hAnsiTheme="minorEastAsia"/>
                <w:color w:val="000000"/>
                <w:kern w:val="0"/>
                <w:sz w:val="21"/>
                <w:szCs w:val="21"/>
              </w:rPr>
              <w:t>519331</w:t>
            </w:r>
          </w:p>
        </w:tc>
      </w:tr>
      <w:tr w:rsidR="0019551A" w:rsidRPr="00F05920" w:rsidTr="00466B6C">
        <w:trPr>
          <w:jc w:val="center"/>
        </w:trPr>
        <w:tc>
          <w:tcPr>
            <w:tcW w:w="2547" w:type="dxa"/>
          </w:tcPr>
          <w:p w:rsidR="0019551A" w:rsidRPr="00F9732C" w:rsidRDefault="0019551A" w:rsidP="00B229D1">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该分级基金是否</w:t>
            </w:r>
            <w:r w:rsidRPr="00BC3D7B">
              <w:rPr>
                <w:rFonts w:asciiTheme="minorEastAsia" w:eastAsiaTheme="minorEastAsia" w:hAnsiTheme="minorEastAsia" w:hint="eastAsia"/>
                <w:color w:val="000000"/>
                <w:sz w:val="21"/>
                <w:szCs w:val="21"/>
              </w:rPr>
              <w:t>暂停</w:t>
            </w:r>
            <w:r w:rsidRPr="00F9732C">
              <w:rPr>
                <w:rFonts w:asciiTheme="minorEastAsia" w:eastAsiaTheme="minorEastAsia" w:hAnsiTheme="minorEastAsia" w:hint="eastAsia"/>
                <w:color w:val="000000"/>
                <w:sz w:val="21"/>
                <w:szCs w:val="21"/>
              </w:rPr>
              <w:t>大额申购、转换转入、定期定额投资</w:t>
            </w:r>
          </w:p>
        </w:tc>
        <w:tc>
          <w:tcPr>
            <w:tcW w:w="2977" w:type="dxa"/>
            <w:vAlign w:val="center"/>
          </w:tcPr>
          <w:p w:rsidR="0019551A" w:rsidRPr="00F9732C" w:rsidRDefault="0019551A"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是</w:t>
            </w:r>
          </w:p>
        </w:tc>
        <w:tc>
          <w:tcPr>
            <w:tcW w:w="2998" w:type="dxa"/>
            <w:vAlign w:val="center"/>
          </w:tcPr>
          <w:p w:rsidR="0019551A" w:rsidRPr="00F9732C" w:rsidRDefault="0019551A"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是</w:t>
            </w:r>
          </w:p>
        </w:tc>
      </w:tr>
      <w:tr w:rsidR="0019551A" w:rsidRPr="00F05920" w:rsidTr="00466B6C">
        <w:trPr>
          <w:jc w:val="center"/>
        </w:trPr>
        <w:tc>
          <w:tcPr>
            <w:tcW w:w="2547" w:type="dxa"/>
          </w:tcPr>
          <w:p w:rsidR="0019551A" w:rsidRDefault="0019551A" w:rsidP="0019551A">
            <w:pPr>
              <w:spacing w:line="360" w:lineRule="auto"/>
              <w:rPr>
                <w:rFonts w:asciiTheme="minorEastAsia" w:eastAsiaTheme="minorEastAsia" w:hAnsiTheme="minorEastAsia"/>
                <w:color w:val="000000"/>
                <w:sz w:val="21"/>
                <w:szCs w:val="21"/>
              </w:rPr>
            </w:pPr>
            <w:r w:rsidRPr="00BC3D7B">
              <w:rPr>
                <w:rFonts w:asciiTheme="minorEastAsia" w:eastAsiaTheme="minorEastAsia" w:hAnsiTheme="minorEastAsia" w:hint="eastAsia"/>
                <w:color w:val="000000"/>
                <w:sz w:val="21"/>
                <w:szCs w:val="21"/>
              </w:rPr>
              <w:t>下属分级基金的限制申购金额（单位：人民币元）</w:t>
            </w:r>
          </w:p>
        </w:tc>
        <w:tc>
          <w:tcPr>
            <w:tcW w:w="2977" w:type="dxa"/>
            <w:vAlign w:val="center"/>
          </w:tcPr>
          <w:p w:rsidR="0019551A" w:rsidRDefault="00D048C5"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color w:val="000000"/>
                <w:kern w:val="0"/>
                <w:sz w:val="21"/>
                <w:szCs w:val="21"/>
              </w:rPr>
              <w:t>1</w:t>
            </w:r>
            <w:r w:rsidR="0019551A" w:rsidRPr="00BC3D7B">
              <w:rPr>
                <w:rFonts w:asciiTheme="minorEastAsia" w:eastAsiaTheme="minorEastAsia" w:hAnsiTheme="minorEastAsia"/>
                <w:color w:val="000000"/>
                <w:kern w:val="0"/>
                <w:sz w:val="21"/>
                <w:szCs w:val="21"/>
              </w:rPr>
              <w:t>,000,000.00</w:t>
            </w:r>
          </w:p>
        </w:tc>
        <w:tc>
          <w:tcPr>
            <w:tcW w:w="2998" w:type="dxa"/>
            <w:vAlign w:val="center"/>
          </w:tcPr>
          <w:p w:rsidR="0019551A" w:rsidRDefault="00D048C5"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color w:val="000000"/>
                <w:kern w:val="0"/>
                <w:sz w:val="21"/>
                <w:szCs w:val="21"/>
              </w:rPr>
              <w:t>1</w:t>
            </w:r>
            <w:r w:rsidR="0019551A" w:rsidRPr="00BC3D7B">
              <w:rPr>
                <w:rFonts w:asciiTheme="minorEastAsia" w:eastAsiaTheme="minorEastAsia" w:hAnsiTheme="minorEastAsia"/>
                <w:color w:val="000000"/>
                <w:kern w:val="0"/>
                <w:sz w:val="21"/>
                <w:szCs w:val="21"/>
              </w:rPr>
              <w:t>,000,000.00</w:t>
            </w:r>
          </w:p>
        </w:tc>
      </w:tr>
      <w:tr w:rsidR="0019551A" w:rsidRPr="00F05920" w:rsidTr="00466B6C">
        <w:trPr>
          <w:jc w:val="center"/>
        </w:trPr>
        <w:tc>
          <w:tcPr>
            <w:tcW w:w="2547" w:type="dxa"/>
          </w:tcPr>
          <w:p w:rsidR="0019551A" w:rsidRDefault="0019551A" w:rsidP="0019551A">
            <w:pPr>
              <w:spacing w:line="360" w:lineRule="auto"/>
              <w:rPr>
                <w:rFonts w:asciiTheme="minorEastAsia" w:eastAsiaTheme="minorEastAsia" w:hAnsiTheme="minorEastAsia"/>
                <w:color w:val="000000"/>
                <w:sz w:val="21"/>
                <w:szCs w:val="21"/>
              </w:rPr>
            </w:pPr>
            <w:r w:rsidRPr="00BC3D7B">
              <w:rPr>
                <w:rFonts w:asciiTheme="minorEastAsia" w:eastAsiaTheme="minorEastAsia" w:hAnsiTheme="minorEastAsia" w:hint="eastAsia"/>
                <w:color w:val="000000"/>
                <w:sz w:val="21"/>
                <w:szCs w:val="21"/>
              </w:rPr>
              <w:t>下属分级基金的限制转换转入金额（单位：人民币元）</w:t>
            </w:r>
          </w:p>
        </w:tc>
        <w:tc>
          <w:tcPr>
            <w:tcW w:w="2977" w:type="dxa"/>
            <w:vAlign w:val="center"/>
          </w:tcPr>
          <w:p w:rsidR="0019551A" w:rsidRDefault="00D048C5"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color w:val="000000"/>
                <w:kern w:val="0"/>
                <w:sz w:val="21"/>
                <w:szCs w:val="21"/>
              </w:rPr>
              <w:t>1</w:t>
            </w:r>
            <w:r w:rsidR="0019551A" w:rsidRPr="00BC3D7B">
              <w:rPr>
                <w:rFonts w:asciiTheme="minorEastAsia" w:eastAsiaTheme="minorEastAsia" w:hAnsiTheme="minorEastAsia"/>
                <w:color w:val="000000"/>
                <w:kern w:val="0"/>
                <w:sz w:val="21"/>
                <w:szCs w:val="21"/>
              </w:rPr>
              <w:t>,000,000.00</w:t>
            </w:r>
          </w:p>
        </w:tc>
        <w:tc>
          <w:tcPr>
            <w:tcW w:w="2998" w:type="dxa"/>
            <w:vAlign w:val="center"/>
          </w:tcPr>
          <w:p w:rsidR="0019551A" w:rsidRDefault="00D048C5"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color w:val="000000"/>
                <w:kern w:val="0"/>
                <w:sz w:val="21"/>
                <w:szCs w:val="21"/>
              </w:rPr>
              <w:t>1</w:t>
            </w:r>
            <w:r w:rsidR="0019551A" w:rsidRPr="00BC3D7B">
              <w:rPr>
                <w:rFonts w:asciiTheme="minorEastAsia" w:eastAsiaTheme="minorEastAsia" w:hAnsiTheme="minorEastAsia"/>
                <w:color w:val="000000"/>
                <w:kern w:val="0"/>
                <w:sz w:val="21"/>
                <w:szCs w:val="21"/>
              </w:rPr>
              <w:t>,000,000.00</w:t>
            </w:r>
          </w:p>
        </w:tc>
      </w:tr>
      <w:tr w:rsidR="0019551A" w:rsidRPr="00F05920" w:rsidTr="00466B6C">
        <w:trPr>
          <w:jc w:val="center"/>
        </w:trPr>
        <w:tc>
          <w:tcPr>
            <w:tcW w:w="2547" w:type="dxa"/>
          </w:tcPr>
          <w:p w:rsidR="0019551A" w:rsidRDefault="0019551A" w:rsidP="0019551A">
            <w:pPr>
              <w:spacing w:line="360" w:lineRule="auto"/>
              <w:rPr>
                <w:rFonts w:asciiTheme="minorEastAsia" w:eastAsiaTheme="minorEastAsia" w:hAnsiTheme="minorEastAsia"/>
                <w:color w:val="000000"/>
                <w:sz w:val="21"/>
                <w:szCs w:val="21"/>
              </w:rPr>
            </w:pPr>
            <w:r w:rsidRPr="00BC3D7B">
              <w:rPr>
                <w:rFonts w:asciiTheme="minorEastAsia" w:eastAsiaTheme="minorEastAsia" w:hAnsiTheme="minorEastAsia" w:hint="eastAsia"/>
                <w:color w:val="000000"/>
                <w:sz w:val="21"/>
                <w:szCs w:val="21"/>
              </w:rPr>
              <w:lastRenderedPageBreak/>
              <w:t>下属分级基金的限制定期定额投资金额（单位：人民币元）</w:t>
            </w:r>
          </w:p>
        </w:tc>
        <w:tc>
          <w:tcPr>
            <w:tcW w:w="2977" w:type="dxa"/>
            <w:vAlign w:val="center"/>
          </w:tcPr>
          <w:p w:rsidR="0019551A" w:rsidRDefault="00D048C5"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color w:val="000000"/>
                <w:kern w:val="0"/>
                <w:sz w:val="21"/>
                <w:szCs w:val="21"/>
              </w:rPr>
              <w:t>1</w:t>
            </w:r>
            <w:r w:rsidR="0019551A" w:rsidRPr="00BC3D7B">
              <w:rPr>
                <w:rFonts w:asciiTheme="minorEastAsia" w:eastAsiaTheme="minorEastAsia" w:hAnsiTheme="minorEastAsia"/>
                <w:color w:val="000000"/>
                <w:kern w:val="0"/>
                <w:sz w:val="21"/>
                <w:szCs w:val="21"/>
              </w:rPr>
              <w:t>,000,000.00</w:t>
            </w:r>
          </w:p>
        </w:tc>
        <w:tc>
          <w:tcPr>
            <w:tcW w:w="2998" w:type="dxa"/>
            <w:vAlign w:val="center"/>
          </w:tcPr>
          <w:p w:rsidR="0019551A" w:rsidRDefault="00D048C5" w:rsidP="0019551A">
            <w:pPr>
              <w:spacing w:line="360" w:lineRule="auto"/>
              <w:rPr>
                <w:rFonts w:asciiTheme="minorEastAsia" w:eastAsiaTheme="minorEastAsia" w:hAnsiTheme="minorEastAsia"/>
                <w:color w:val="000000"/>
                <w:kern w:val="0"/>
                <w:sz w:val="21"/>
                <w:szCs w:val="21"/>
              </w:rPr>
            </w:pPr>
            <w:r>
              <w:rPr>
                <w:rFonts w:asciiTheme="minorEastAsia" w:eastAsiaTheme="minorEastAsia" w:hAnsiTheme="minorEastAsia"/>
                <w:color w:val="000000"/>
                <w:kern w:val="0"/>
                <w:sz w:val="21"/>
                <w:szCs w:val="21"/>
              </w:rPr>
              <w:t>1</w:t>
            </w:r>
            <w:r w:rsidR="0019551A" w:rsidRPr="00BC3D7B">
              <w:rPr>
                <w:rFonts w:asciiTheme="minorEastAsia" w:eastAsiaTheme="minorEastAsia" w:hAnsiTheme="minorEastAsia"/>
                <w:color w:val="000000"/>
                <w:kern w:val="0"/>
                <w:sz w:val="21"/>
                <w:szCs w:val="21"/>
              </w:rPr>
              <w:t>,000,000.00</w:t>
            </w:r>
          </w:p>
        </w:tc>
      </w:tr>
    </w:tbl>
    <w:p w:rsidR="00160345" w:rsidRPr="00160345" w:rsidRDefault="0053465A" w:rsidP="00160345">
      <w:pPr>
        <w:spacing w:line="360" w:lineRule="auto"/>
        <w:rPr>
          <w:rFonts w:asciiTheme="minorEastAsia" w:eastAsiaTheme="minorEastAsia" w:hAnsiTheme="minorEastAsia"/>
          <w:kern w:val="0"/>
          <w:sz w:val="21"/>
          <w:szCs w:val="21"/>
        </w:rPr>
      </w:pPr>
      <w:bookmarkStart w:id="2" w:name="_Toc275961396"/>
      <w:r w:rsidRPr="0053465A">
        <w:rPr>
          <w:rFonts w:asciiTheme="minorEastAsia" w:eastAsiaTheme="minorEastAsia" w:hAnsiTheme="minorEastAsia" w:hint="eastAsia"/>
          <w:kern w:val="0"/>
          <w:sz w:val="21"/>
          <w:szCs w:val="21"/>
        </w:rPr>
        <w:t>注：</w:t>
      </w:r>
      <w:r w:rsidR="00160345" w:rsidRPr="00160345">
        <w:rPr>
          <w:rFonts w:asciiTheme="minorEastAsia" w:eastAsiaTheme="minorEastAsia" w:hAnsiTheme="minorEastAsia" w:hint="eastAsia"/>
          <w:kern w:val="0"/>
          <w:sz w:val="21"/>
          <w:szCs w:val="21"/>
        </w:rPr>
        <w:t>本基金管理人现决定自2024年1月8日起将本基金的申购（含转换转入和定期定额</w:t>
      </w:r>
    </w:p>
    <w:p w:rsidR="00F9043A" w:rsidRDefault="00160345" w:rsidP="00160345">
      <w:pPr>
        <w:spacing w:line="360" w:lineRule="auto"/>
        <w:rPr>
          <w:rFonts w:asciiTheme="minorEastAsia" w:eastAsiaTheme="minorEastAsia" w:hAnsiTheme="minorEastAsia"/>
          <w:kern w:val="0"/>
          <w:sz w:val="21"/>
          <w:szCs w:val="21"/>
        </w:rPr>
      </w:pPr>
      <w:r w:rsidRPr="00160345">
        <w:rPr>
          <w:rFonts w:asciiTheme="minorEastAsia" w:eastAsiaTheme="minorEastAsia" w:hAnsiTheme="minorEastAsia" w:hint="eastAsia"/>
          <w:kern w:val="0"/>
          <w:sz w:val="21"/>
          <w:szCs w:val="21"/>
        </w:rPr>
        <w:t>投资）金额限制上限调整为</w:t>
      </w:r>
      <w:r>
        <w:rPr>
          <w:rFonts w:asciiTheme="minorEastAsia" w:eastAsiaTheme="minorEastAsia" w:hAnsiTheme="minorEastAsia" w:hint="eastAsia"/>
          <w:kern w:val="0"/>
          <w:sz w:val="21"/>
          <w:szCs w:val="21"/>
        </w:rPr>
        <w:t>1</w:t>
      </w:r>
      <w:r w:rsidRPr="00160345">
        <w:rPr>
          <w:rFonts w:asciiTheme="minorEastAsia" w:eastAsiaTheme="minorEastAsia" w:hAnsiTheme="minorEastAsia" w:hint="eastAsia"/>
          <w:kern w:val="0"/>
          <w:sz w:val="21"/>
          <w:szCs w:val="21"/>
        </w:rPr>
        <w:t>00万元，即暂停本基金A、C类份额单日单个账户单笔或累计高于</w:t>
      </w:r>
      <w:r>
        <w:rPr>
          <w:rFonts w:asciiTheme="minorEastAsia" w:eastAsiaTheme="minorEastAsia" w:hAnsiTheme="minorEastAsia" w:hint="eastAsia"/>
          <w:kern w:val="0"/>
          <w:sz w:val="21"/>
          <w:szCs w:val="21"/>
        </w:rPr>
        <w:t>1</w:t>
      </w:r>
      <w:r w:rsidRPr="00160345">
        <w:rPr>
          <w:rFonts w:asciiTheme="minorEastAsia" w:eastAsiaTheme="minorEastAsia" w:hAnsiTheme="minorEastAsia" w:hint="eastAsia"/>
          <w:kern w:val="0"/>
          <w:sz w:val="21"/>
          <w:szCs w:val="21"/>
        </w:rPr>
        <w:t>00万元的申购（含转换转入和定期定额投资，A、C类份额合并计算），如单日单个基金账户单笔申购（含转换转入和定期定额投资，A、C类份额合并计算）的金额超过</w:t>
      </w:r>
      <w:r>
        <w:rPr>
          <w:rFonts w:asciiTheme="minorEastAsia" w:eastAsiaTheme="minorEastAsia" w:hAnsiTheme="minorEastAsia" w:hint="eastAsia"/>
          <w:kern w:val="0"/>
          <w:sz w:val="21"/>
          <w:szCs w:val="21"/>
        </w:rPr>
        <w:t>10</w:t>
      </w:r>
      <w:r w:rsidRPr="00160345">
        <w:rPr>
          <w:rFonts w:asciiTheme="minorEastAsia" w:eastAsiaTheme="minorEastAsia" w:hAnsiTheme="minorEastAsia" w:hint="eastAsia"/>
          <w:kern w:val="0"/>
          <w:sz w:val="21"/>
          <w:szCs w:val="21"/>
        </w:rPr>
        <w:t>0万元（不含），或者单日单个基金账户多笔累计申购（含转换转入和定期定额投资，A、C类份额合并计算）的金额超过</w:t>
      </w:r>
      <w:r>
        <w:rPr>
          <w:rFonts w:asciiTheme="minorEastAsia" w:eastAsiaTheme="minorEastAsia" w:hAnsiTheme="minorEastAsia" w:hint="eastAsia"/>
          <w:kern w:val="0"/>
          <w:sz w:val="21"/>
          <w:szCs w:val="21"/>
        </w:rPr>
        <w:t>1</w:t>
      </w:r>
      <w:r w:rsidRPr="00160345">
        <w:rPr>
          <w:rFonts w:asciiTheme="minorEastAsia" w:eastAsiaTheme="minorEastAsia" w:hAnsiTheme="minorEastAsia" w:hint="eastAsia"/>
          <w:kern w:val="0"/>
          <w:sz w:val="21"/>
          <w:szCs w:val="21"/>
        </w:rPr>
        <w:t>00万元（不含），则</w:t>
      </w:r>
      <w:r>
        <w:rPr>
          <w:rFonts w:asciiTheme="minorEastAsia" w:eastAsiaTheme="minorEastAsia" w:hAnsiTheme="minorEastAsia" w:hint="eastAsia"/>
          <w:kern w:val="0"/>
          <w:sz w:val="21"/>
          <w:szCs w:val="21"/>
        </w:rPr>
        <w:t>1</w:t>
      </w:r>
      <w:r w:rsidRPr="00160345">
        <w:rPr>
          <w:rFonts w:asciiTheme="minorEastAsia" w:eastAsiaTheme="minorEastAsia" w:hAnsiTheme="minorEastAsia" w:hint="eastAsia"/>
          <w:kern w:val="0"/>
          <w:sz w:val="21"/>
          <w:szCs w:val="21"/>
        </w:rPr>
        <w:t>00万元确认成功，超过</w:t>
      </w:r>
      <w:r>
        <w:rPr>
          <w:rFonts w:asciiTheme="minorEastAsia" w:eastAsiaTheme="minorEastAsia" w:hAnsiTheme="minorEastAsia" w:hint="eastAsia"/>
          <w:kern w:val="0"/>
          <w:sz w:val="21"/>
          <w:szCs w:val="21"/>
        </w:rPr>
        <w:t>1</w:t>
      </w:r>
      <w:r w:rsidRPr="00160345">
        <w:rPr>
          <w:rFonts w:asciiTheme="minorEastAsia" w:eastAsiaTheme="minorEastAsia" w:hAnsiTheme="minorEastAsia" w:hint="eastAsia"/>
          <w:kern w:val="0"/>
          <w:sz w:val="21"/>
          <w:szCs w:val="21"/>
        </w:rPr>
        <w:t>00万元金额的部分本基金管理人有权拒绝。</w:t>
      </w:r>
    </w:p>
    <w:p w:rsidR="00160345" w:rsidRPr="00160345" w:rsidRDefault="00160345" w:rsidP="00160345">
      <w:pPr>
        <w:spacing w:line="360" w:lineRule="auto"/>
        <w:rPr>
          <w:rFonts w:asciiTheme="minorEastAsia" w:eastAsiaTheme="minorEastAsia" w:hAnsiTheme="minorEastAsia"/>
          <w:kern w:val="0"/>
          <w:sz w:val="21"/>
          <w:szCs w:val="21"/>
        </w:rPr>
      </w:pPr>
    </w:p>
    <w:p w:rsidR="00983D96" w:rsidRDefault="009E43E2" w:rsidP="005F4298">
      <w:pPr>
        <w:pStyle w:val="2"/>
        <w:spacing w:before="0" w:after="0" w:line="360" w:lineRule="auto"/>
        <w:rPr>
          <w:rFonts w:asciiTheme="minorEastAsia" w:eastAsiaTheme="minorEastAsia" w:hAnsiTheme="minorEastAsia"/>
          <w:color w:val="000000"/>
          <w:sz w:val="24"/>
          <w:szCs w:val="24"/>
        </w:rPr>
      </w:pPr>
      <w:r w:rsidRPr="00F9732C">
        <w:rPr>
          <w:rFonts w:asciiTheme="minorEastAsia" w:eastAsiaTheme="minorEastAsia" w:hAnsiTheme="minorEastAsia"/>
          <w:color w:val="000000"/>
          <w:sz w:val="24"/>
          <w:szCs w:val="24"/>
        </w:rPr>
        <w:t xml:space="preserve">2 </w:t>
      </w:r>
      <w:bookmarkEnd w:id="2"/>
      <w:r w:rsidRPr="00F9732C">
        <w:rPr>
          <w:rFonts w:asciiTheme="minorEastAsia" w:eastAsiaTheme="minorEastAsia" w:hAnsiTheme="minorEastAsia"/>
          <w:color w:val="000000"/>
          <w:sz w:val="24"/>
          <w:szCs w:val="24"/>
        </w:rPr>
        <w:t>其他需要提示的事项</w:t>
      </w:r>
    </w:p>
    <w:p w:rsidR="00564073" w:rsidRPr="00564073" w:rsidRDefault="00564073" w:rsidP="00564073">
      <w:pPr>
        <w:autoSpaceDE w:val="0"/>
        <w:autoSpaceDN w:val="0"/>
        <w:adjustRightInd w:val="0"/>
        <w:spacing w:line="360" w:lineRule="auto"/>
        <w:ind w:firstLineChars="200" w:firstLine="420"/>
        <w:jc w:val="left"/>
        <w:rPr>
          <w:rFonts w:asciiTheme="minorEastAsia" w:eastAsiaTheme="minorEastAsia" w:hAnsiTheme="minorEastAsia"/>
          <w:kern w:val="0"/>
          <w:sz w:val="21"/>
          <w:szCs w:val="21"/>
        </w:rPr>
      </w:pPr>
      <w:r w:rsidRPr="00564073">
        <w:rPr>
          <w:rFonts w:asciiTheme="minorEastAsia" w:eastAsiaTheme="minorEastAsia" w:hAnsiTheme="minorEastAsia" w:hint="eastAsia"/>
          <w:kern w:val="0"/>
          <w:sz w:val="21"/>
          <w:szCs w:val="21"/>
        </w:rPr>
        <w:t>2.1 关于恢复办理本基金大额申购、转换转入及定期定额投资业务的日期，本基金管理人将另行公告。</w:t>
      </w:r>
    </w:p>
    <w:p w:rsidR="00564073" w:rsidRDefault="00564073" w:rsidP="00564073">
      <w:pPr>
        <w:autoSpaceDE w:val="0"/>
        <w:autoSpaceDN w:val="0"/>
        <w:adjustRightInd w:val="0"/>
        <w:spacing w:line="360" w:lineRule="auto"/>
        <w:ind w:firstLineChars="200" w:firstLine="420"/>
        <w:jc w:val="left"/>
        <w:rPr>
          <w:rFonts w:asciiTheme="minorEastAsia" w:eastAsiaTheme="minorEastAsia" w:hAnsiTheme="minorEastAsia"/>
          <w:kern w:val="0"/>
          <w:sz w:val="21"/>
          <w:szCs w:val="21"/>
        </w:rPr>
      </w:pPr>
      <w:r w:rsidRPr="00564073">
        <w:rPr>
          <w:rFonts w:asciiTheme="minorEastAsia" w:eastAsiaTheme="minorEastAsia" w:hAnsiTheme="minorEastAsia" w:hint="eastAsia"/>
          <w:kern w:val="0"/>
          <w:sz w:val="21"/>
          <w:szCs w:val="21"/>
        </w:rPr>
        <w:t>2.2 除有另行公告外，在本基金大额申购（含转换转入及定期定额投资）业务暂停期间，本基金的赎回业务照常办理。</w:t>
      </w:r>
    </w:p>
    <w:p w:rsidR="00BC3D7B" w:rsidRDefault="00BC3D7B" w:rsidP="00564073">
      <w:pPr>
        <w:autoSpaceDE w:val="0"/>
        <w:autoSpaceDN w:val="0"/>
        <w:adjustRightInd w:val="0"/>
        <w:spacing w:line="360" w:lineRule="auto"/>
        <w:ind w:firstLineChars="200" w:firstLine="420"/>
        <w:jc w:val="left"/>
        <w:rPr>
          <w:rFonts w:asciiTheme="minorEastAsia" w:eastAsiaTheme="minorEastAsia" w:hAnsiTheme="minorEastAsia"/>
          <w:kern w:val="0"/>
          <w:sz w:val="21"/>
          <w:szCs w:val="21"/>
        </w:rPr>
      </w:pPr>
      <w:r w:rsidRPr="00BC3D7B">
        <w:rPr>
          <w:rFonts w:asciiTheme="minorEastAsia" w:eastAsiaTheme="minorEastAsia" w:hAnsiTheme="minorEastAsia" w:hint="eastAsia"/>
          <w:kern w:val="0"/>
          <w:sz w:val="21"/>
          <w:szCs w:val="21"/>
        </w:rPr>
        <w:t>2.3 本公告解释权归本公司所有。</w:t>
      </w:r>
    </w:p>
    <w:p w:rsidR="00D67658" w:rsidRPr="00D67658" w:rsidRDefault="00D67658" w:rsidP="00B473B8">
      <w:pPr>
        <w:autoSpaceDE w:val="0"/>
        <w:autoSpaceDN w:val="0"/>
        <w:adjustRightInd w:val="0"/>
        <w:spacing w:line="360" w:lineRule="auto"/>
        <w:ind w:firstLineChars="200" w:firstLine="420"/>
        <w:rPr>
          <w:rFonts w:asciiTheme="minorEastAsia" w:eastAsiaTheme="minorEastAsia" w:hAnsiTheme="minorEastAsia"/>
          <w:kern w:val="0"/>
          <w:sz w:val="21"/>
          <w:szCs w:val="21"/>
        </w:rPr>
      </w:pPr>
      <w:r>
        <w:rPr>
          <w:rFonts w:asciiTheme="minorEastAsia" w:eastAsiaTheme="minorEastAsia" w:hAnsiTheme="minorEastAsia"/>
          <w:kern w:val="0"/>
          <w:sz w:val="21"/>
          <w:szCs w:val="21"/>
        </w:rPr>
        <w:t>风险提示</w:t>
      </w:r>
      <w:r>
        <w:rPr>
          <w:rFonts w:asciiTheme="minorEastAsia" w:eastAsiaTheme="minorEastAsia" w:hAnsiTheme="minorEastAsia" w:hint="eastAsia"/>
          <w:kern w:val="0"/>
          <w:sz w:val="21"/>
          <w:szCs w:val="21"/>
        </w:rPr>
        <w:t>：</w:t>
      </w:r>
      <w:r w:rsidRPr="00F9732C">
        <w:rPr>
          <w:rFonts w:asciiTheme="minorEastAsia" w:eastAsiaTheme="minorEastAsia" w:hAnsiTheme="minorEastAsia" w:hint="eastAsia"/>
          <w:kern w:val="0"/>
          <w:sz w:val="21"/>
          <w:szCs w:val="21"/>
        </w:rPr>
        <w:t>本基金管理人承诺以诚实信用、勤勉尽责的原则管理和运用基金资产，但不保证基金一定盈利，也不保证最低收益。投资者投资于本基金前应认真阅读本基金的基金合同和招募说明书</w:t>
      </w:r>
      <w:r w:rsidR="00BC3D7B">
        <w:rPr>
          <w:rFonts w:asciiTheme="minorEastAsia" w:eastAsiaTheme="minorEastAsia" w:hAnsiTheme="minorEastAsia" w:hint="eastAsia"/>
          <w:kern w:val="0"/>
          <w:sz w:val="21"/>
          <w:szCs w:val="21"/>
        </w:rPr>
        <w:t>等法律文件</w:t>
      </w:r>
      <w:r w:rsidRPr="00F9732C">
        <w:rPr>
          <w:rFonts w:asciiTheme="minorEastAsia" w:eastAsiaTheme="minorEastAsia" w:hAnsiTheme="minorEastAsia" w:hint="eastAsia"/>
          <w:kern w:val="0"/>
          <w:sz w:val="21"/>
          <w:szCs w:val="21"/>
        </w:rPr>
        <w:t>。敬请投资者注意投资风险，并选择适合自身风险承受能力的投资品种进行投资。</w:t>
      </w:r>
      <w:r w:rsidRPr="00334A00">
        <w:rPr>
          <w:rFonts w:asciiTheme="minorEastAsia" w:eastAsiaTheme="minorEastAsia" w:hAnsiTheme="minorEastAsia" w:hint="eastAsia"/>
          <w:kern w:val="0"/>
          <w:sz w:val="21"/>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D67658" w:rsidRDefault="00D67658">
      <w:pPr>
        <w:autoSpaceDE w:val="0"/>
        <w:autoSpaceDN w:val="0"/>
        <w:adjustRightInd w:val="0"/>
        <w:spacing w:line="360" w:lineRule="auto"/>
        <w:ind w:firstLineChars="200" w:firstLine="420"/>
        <w:rPr>
          <w:rFonts w:asciiTheme="minorEastAsia" w:eastAsiaTheme="minorEastAsia" w:hAnsiTheme="minorEastAsia"/>
          <w:kern w:val="0"/>
          <w:sz w:val="21"/>
          <w:szCs w:val="21"/>
        </w:rPr>
      </w:pPr>
      <w:r w:rsidRPr="00D67658">
        <w:rPr>
          <w:rFonts w:asciiTheme="minorEastAsia" w:eastAsiaTheme="minorEastAsia" w:hAnsiTheme="minorEastAsia" w:hint="eastAsia"/>
          <w:kern w:val="0"/>
          <w:sz w:val="21"/>
          <w:szCs w:val="21"/>
        </w:rPr>
        <w:t>如有疑问，投资者可通过以下途径咨询详情：</w:t>
      </w:r>
    </w:p>
    <w:p w:rsidR="009E43E2" w:rsidRPr="00F9732C" w:rsidRDefault="009E43E2">
      <w:pPr>
        <w:autoSpaceDE w:val="0"/>
        <w:autoSpaceDN w:val="0"/>
        <w:adjustRightInd w:val="0"/>
        <w:spacing w:line="360" w:lineRule="auto"/>
        <w:ind w:firstLineChars="200" w:firstLine="420"/>
        <w:rPr>
          <w:rFonts w:asciiTheme="minorEastAsia" w:eastAsiaTheme="minorEastAsia" w:hAnsiTheme="minorEastAsia"/>
          <w:kern w:val="0"/>
          <w:sz w:val="21"/>
          <w:szCs w:val="21"/>
        </w:rPr>
      </w:pPr>
      <w:r w:rsidRPr="00F9732C">
        <w:rPr>
          <w:rFonts w:asciiTheme="minorEastAsia" w:eastAsiaTheme="minorEastAsia" w:hAnsiTheme="minorEastAsia" w:hint="eastAsia"/>
          <w:kern w:val="0"/>
          <w:sz w:val="21"/>
          <w:szCs w:val="21"/>
        </w:rPr>
        <w:t>浦银安盛基金管理有限公司</w:t>
      </w:r>
    </w:p>
    <w:p w:rsidR="009E43E2" w:rsidRPr="00F9732C" w:rsidRDefault="009E43E2">
      <w:pPr>
        <w:autoSpaceDE w:val="0"/>
        <w:autoSpaceDN w:val="0"/>
        <w:adjustRightInd w:val="0"/>
        <w:spacing w:line="360" w:lineRule="auto"/>
        <w:ind w:firstLineChars="200" w:firstLine="420"/>
        <w:jc w:val="left"/>
        <w:rPr>
          <w:rFonts w:asciiTheme="minorEastAsia" w:eastAsiaTheme="minorEastAsia" w:hAnsiTheme="minorEastAsia"/>
          <w:kern w:val="0"/>
          <w:sz w:val="21"/>
          <w:szCs w:val="21"/>
        </w:rPr>
      </w:pPr>
      <w:r w:rsidRPr="00F9732C">
        <w:rPr>
          <w:rFonts w:asciiTheme="minorEastAsia" w:eastAsiaTheme="minorEastAsia" w:hAnsiTheme="minorEastAsia" w:hint="eastAsia"/>
          <w:kern w:val="0"/>
          <w:sz w:val="21"/>
          <w:szCs w:val="21"/>
        </w:rPr>
        <w:t>客户服务热线：</w:t>
      </w:r>
      <w:r w:rsidRPr="00F9732C">
        <w:rPr>
          <w:rFonts w:asciiTheme="minorEastAsia" w:eastAsiaTheme="minorEastAsia" w:hAnsiTheme="minorEastAsia"/>
          <w:kern w:val="0"/>
          <w:sz w:val="21"/>
          <w:szCs w:val="21"/>
        </w:rPr>
        <w:t>4008828999、021-33079999；</w:t>
      </w:r>
    </w:p>
    <w:p w:rsidR="009E43E2" w:rsidRPr="00F9732C" w:rsidRDefault="009E43E2">
      <w:pPr>
        <w:autoSpaceDE w:val="0"/>
        <w:autoSpaceDN w:val="0"/>
        <w:adjustRightInd w:val="0"/>
        <w:spacing w:line="360" w:lineRule="auto"/>
        <w:ind w:firstLineChars="200" w:firstLine="420"/>
        <w:rPr>
          <w:rFonts w:asciiTheme="minorEastAsia" w:eastAsiaTheme="minorEastAsia" w:hAnsiTheme="minorEastAsia"/>
          <w:kern w:val="0"/>
          <w:sz w:val="21"/>
          <w:szCs w:val="21"/>
        </w:rPr>
      </w:pPr>
      <w:r w:rsidRPr="00F9732C">
        <w:rPr>
          <w:rFonts w:asciiTheme="minorEastAsia" w:eastAsiaTheme="minorEastAsia" w:hAnsiTheme="minorEastAsia" w:hint="eastAsia"/>
          <w:kern w:val="0"/>
          <w:sz w:val="21"/>
          <w:szCs w:val="21"/>
        </w:rPr>
        <w:t>公司网址：</w:t>
      </w:r>
      <w:r w:rsidRPr="00F9732C">
        <w:rPr>
          <w:rFonts w:asciiTheme="minorEastAsia" w:eastAsiaTheme="minorEastAsia" w:hAnsiTheme="minorEastAsia"/>
          <w:kern w:val="0"/>
          <w:sz w:val="21"/>
          <w:szCs w:val="21"/>
        </w:rPr>
        <w:t>www.py-axa.com；</w:t>
      </w:r>
    </w:p>
    <w:p w:rsidR="009E43E2" w:rsidRPr="00F9732C" w:rsidRDefault="009E43E2">
      <w:pPr>
        <w:autoSpaceDE w:val="0"/>
        <w:autoSpaceDN w:val="0"/>
        <w:adjustRightInd w:val="0"/>
        <w:spacing w:line="360" w:lineRule="auto"/>
        <w:ind w:firstLineChars="200" w:firstLine="420"/>
        <w:rPr>
          <w:rFonts w:asciiTheme="minorEastAsia" w:eastAsiaTheme="minorEastAsia" w:hAnsiTheme="minorEastAsia"/>
          <w:kern w:val="0"/>
          <w:sz w:val="21"/>
          <w:szCs w:val="21"/>
        </w:rPr>
      </w:pPr>
      <w:r w:rsidRPr="00F9732C">
        <w:rPr>
          <w:rFonts w:asciiTheme="minorEastAsia" w:eastAsiaTheme="minorEastAsia" w:hAnsiTheme="minorEastAsia" w:hint="eastAsia"/>
          <w:kern w:val="0"/>
          <w:sz w:val="21"/>
          <w:szCs w:val="21"/>
        </w:rPr>
        <w:t>客户端：“浦银安盛基金”</w:t>
      </w:r>
      <w:r w:rsidRPr="00F9732C">
        <w:rPr>
          <w:rFonts w:asciiTheme="minorEastAsia" w:eastAsiaTheme="minorEastAsia" w:hAnsiTheme="minorEastAsia"/>
          <w:kern w:val="0"/>
          <w:sz w:val="21"/>
          <w:szCs w:val="21"/>
        </w:rPr>
        <w:t>APP；</w:t>
      </w:r>
    </w:p>
    <w:p w:rsidR="009E43E2" w:rsidRPr="00F9732C" w:rsidRDefault="009E43E2">
      <w:pPr>
        <w:autoSpaceDE w:val="0"/>
        <w:autoSpaceDN w:val="0"/>
        <w:adjustRightInd w:val="0"/>
        <w:spacing w:line="360" w:lineRule="auto"/>
        <w:ind w:firstLineChars="200" w:firstLine="420"/>
        <w:rPr>
          <w:rFonts w:asciiTheme="minorEastAsia" w:eastAsiaTheme="minorEastAsia" w:hAnsiTheme="minorEastAsia"/>
          <w:kern w:val="0"/>
          <w:sz w:val="21"/>
          <w:szCs w:val="21"/>
        </w:rPr>
      </w:pPr>
      <w:r w:rsidRPr="00F9732C">
        <w:rPr>
          <w:rFonts w:asciiTheme="minorEastAsia" w:eastAsiaTheme="minorEastAsia" w:hAnsiTheme="minorEastAsia" w:hint="eastAsia"/>
          <w:kern w:val="0"/>
          <w:sz w:val="21"/>
          <w:szCs w:val="21"/>
        </w:rPr>
        <w:lastRenderedPageBreak/>
        <w:t>公司微信公众号：浦银安盛基金（</w:t>
      </w:r>
      <w:r w:rsidRPr="00F9732C">
        <w:rPr>
          <w:rFonts w:asciiTheme="minorEastAsia" w:eastAsiaTheme="minorEastAsia" w:hAnsiTheme="minorEastAsia"/>
          <w:kern w:val="0"/>
          <w:sz w:val="21"/>
          <w:szCs w:val="21"/>
        </w:rPr>
        <w:t>AXASPDB），浦银安盛微理财（AXASPDB-E）。</w:t>
      </w:r>
    </w:p>
    <w:p w:rsidR="00D67658" w:rsidRDefault="00D67658">
      <w:pPr>
        <w:autoSpaceDE w:val="0"/>
        <w:autoSpaceDN w:val="0"/>
        <w:adjustRightInd w:val="0"/>
        <w:spacing w:line="360" w:lineRule="auto"/>
        <w:ind w:firstLineChars="200" w:firstLine="420"/>
        <w:rPr>
          <w:rFonts w:asciiTheme="minorEastAsia" w:eastAsiaTheme="minorEastAsia" w:hAnsiTheme="minorEastAsia"/>
          <w:kern w:val="0"/>
          <w:sz w:val="21"/>
          <w:szCs w:val="21"/>
        </w:rPr>
      </w:pPr>
    </w:p>
    <w:p w:rsidR="00F876EE" w:rsidRDefault="009E43E2">
      <w:pPr>
        <w:autoSpaceDE w:val="0"/>
        <w:autoSpaceDN w:val="0"/>
        <w:adjustRightInd w:val="0"/>
        <w:spacing w:line="360" w:lineRule="auto"/>
        <w:ind w:firstLineChars="400" w:firstLine="840"/>
        <w:rPr>
          <w:rFonts w:asciiTheme="minorEastAsia" w:eastAsiaTheme="minorEastAsia" w:hAnsiTheme="minorEastAsia"/>
          <w:kern w:val="0"/>
          <w:sz w:val="21"/>
          <w:szCs w:val="21"/>
        </w:rPr>
      </w:pPr>
      <w:r w:rsidRPr="00F9732C">
        <w:rPr>
          <w:rFonts w:asciiTheme="minorEastAsia" w:eastAsiaTheme="minorEastAsia" w:hAnsiTheme="minorEastAsia" w:hint="eastAsia"/>
          <w:kern w:val="0"/>
          <w:sz w:val="21"/>
          <w:szCs w:val="21"/>
        </w:rPr>
        <w:t>特此公告。</w:t>
      </w:r>
    </w:p>
    <w:p w:rsidR="00E56513" w:rsidRPr="00315CFF" w:rsidRDefault="00E56513">
      <w:pPr>
        <w:autoSpaceDE w:val="0"/>
        <w:autoSpaceDN w:val="0"/>
        <w:adjustRightInd w:val="0"/>
        <w:spacing w:line="360" w:lineRule="auto"/>
        <w:ind w:firstLineChars="400" w:firstLine="840"/>
        <w:rPr>
          <w:rFonts w:asciiTheme="minorEastAsia" w:eastAsiaTheme="minorEastAsia" w:hAnsiTheme="minorEastAsia"/>
          <w:kern w:val="0"/>
          <w:sz w:val="21"/>
          <w:szCs w:val="21"/>
        </w:rPr>
      </w:pPr>
    </w:p>
    <w:p w:rsidR="003652F7" w:rsidRPr="00F05920" w:rsidRDefault="003652F7">
      <w:pPr>
        <w:pStyle w:val="HTML"/>
        <w:spacing w:line="360" w:lineRule="auto"/>
        <w:ind w:firstLineChars="200" w:firstLine="482"/>
        <w:jc w:val="right"/>
        <w:rPr>
          <w:rFonts w:asciiTheme="minorEastAsia" w:eastAsiaTheme="minorEastAsia" w:hAnsiTheme="minorEastAsia"/>
          <w:b/>
          <w:color w:val="auto"/>
        </w:rPr>
      </w:pPr>
      <w:r w:rsidRPr="00F9732C">
        <w:rPr>
          <w:rFonts w:asciiTheme="minorEastAsia" w:eastAsiaTheme="minorEastAsia" w:hAnsiTheme="minorEastAsia"/>
          <w:b/>
          <w:color w:val="auto"/>
        </w:rPr>
        <w:t>浦银安盛基金管理有限公司</w:t>
      </w:r>
    </w:p>
    <w:p w:rsidR="00C8368A" w:rsidRPr="004B53C6" w:rsidRDefault="00C617C5" w:rsidP="004B53C6">
      <w:pPr>
        <w:pStyle w:val="HTML"/>
        <w:spacing w:line="360" w:lineRule="auto"/>
        <w:ind w:firstLineChars="200" w:firstLine="482"/>
        <w:jc w:val="right"/>
        <w:rPr>
          <w:rFonts w:asciiTheme="minorEastAsia" w:eastAsiaTheme="minorEastAsia" w:hAnsiTheme="minorEastAsia"/>
          <w:b/>
        </w:rPr>
      </w:pPr>
      <w:r w:rsidRPr="00C617C5">
        <w:rPr>
          <w:rFonts w:asciiTheme="minorEastAsia" w:eastAsiaTheme="minorEastAsia" w:hAnsiTheme="minorEastAsia" w:hint="eastAsia"/>
          <w:b/>
        </w:rPr>
        <w:t>2024年1月6日</w:t>
      </w:r>
    </w:p>
    <w:sectPr w:rsidR="00C8368A" w:rsidRPr="004B53C6" w:rsidSect="00394BE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24" w:rsidRDefault="004D4624">
      <w:r>
        <w:separator/>
      </w:r>
    </w:p>
  </w:endnote>
  <w:endnote w:type="continuationSeparator" w:id="0">
    <w:p w:rsidR="004D4624" w:rsidRDefault="004D4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61" w:rsidRDefault="0070797B" w:rsidP="0046531A">
    <w:pPr>
      <w:pStyle w:val="a6"/>
      <w:framePr w:wrap="around" w:vAnchor="text" w:hAnchor="margin" w:xAlign="center" w:y="1"/>
      <w:rPr>
        <w:rStyle w:val="ad"/>
      </w:rPr>
    </w:pPr>
    <w:r>
      <w:rPr>
        <w:rStyle w:val="ad"/>
      </w:rPr>
      <w:fldChar w:fldCharType="begin"/>
    </w:r>
    <w:r w:rsidR="00201361">
      <w:rPr>
        <w:rStyle w:val="ad"/>
      </w:rPr>
      <w:instrText xml:space="preserve">PAGE  </w:instrText>
    </w:r>
    <w:r>
      <w:rPr>
        <w:rStyle w:val="ad"/>
      </w:rPr>
      <w:fldChar w:fldCharType="end"/>
    </w:r>
  </w:p>
  <w:p w:rsidR="00201361" w:rsidRDefault="002013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61" w:rsidRDefault="0070797B" w:rsidP="0046531A">
    <w:pPr>
      <w:pStyle w:val="a6"/>
      <w:framePr w:wrap="around" w:vAnchor="text" w:hAnchor="margin" w:xAlign="center" w:y="1"/>
      <w:rPr>
        <w:rStyle w:val="ad"/>
      </w:rPr>
    </w:pPr>
    <w:r>
      <w:rPr>
        <w:rStyle w:val="ad"/>
      </w:rPr>
      <w:fldChar w:fldCharType="begin"/>
    </w:r>
    <w:r w:rsidR="00201361">
      <w:rPr>
        <w:rStyle w:val="ad"/>
      </w:rPr>
      <w:instrText xml:space="preserve">PAGE  </w:instrText>
    </w:r>
    <w:r>
      <w:rPr>
        <w:rStyle w:val="ad"/>
      </w:rPr>
      <w:fldChar w:fldCharType="separate"/>
    </w:r>
    <w:r w:rsidR="00A94731">
      <w:rPr>
        <w:rStyle w:val="ad"/>
        <w:noProof/>
      </w:rPr>
      <w:t>1</w:t>
    </w:r>
    <w:r>
      <w:rPr>
        <w:rStyle w:val="ad"/>
      </w:rPr>
      <w:fldChar w:fldCharType="end"/>
    </w:r>
  </w:p>
  <w:p w:rsidR="00201361" w:rsidRDefault="002013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24" w:rsidRDefault="004D4624">
      <w:r>
        <w:separator/>
      </w:r>
    </w:p>
  </w:footnote>
  <w:footnote w:type="continuationSeparator" w:id="0">
    <w:p w:rsidR="004D4624" w:rsidRDefault="004D4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19D"/>
    <w:multiLevelType w:val="hybridMultilevel"/>
    <w:tmpl w:val="25FEDA76"/>
    <w:lvl w:ilvl="0" w:tplc="67A49930">
      <w:start w:val="1"/>
      <w:numFmt w:val="decimal"/>
      <w:lvlText w:val="4.1.%1"/>
      <w:lvlJc w:val="left"/>
      <w:pPr>
        <w:tabs>
          <w:tab w:val="num" w:pos="1260"/>
        </w:tabs>
        <w:ind w:left="126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862580A"/>
    <w:multiLevelType w:val="hybridMultilevel"/>
    <w:tmpl w:val="928CA676"/>
    <w:lvl w:ilvl="0" w:tplc="8690A860">
      <w:start w:val="1"/>
      <w:numFmt w:val="decimal"/>
      <w:lvlText w:val="6.%1"/>
      <w:lvlJc w:val="left"/>
      <w:pPr>
        <w:ind w:left="1608" w:hanging="1065"/>
      </w:pPr>
      <w:rPr>
        <w:rFonts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1DC834ED"/>
    <w:multiLevelType w:val="hybridMultilevel"/>
    <w:tmpl w:val="62E0C504"/>
    <w:lvl w:ilvl="0" w:tplc="0A720342">
      <w:start w:val="1"/>
      <w:numFmt w:val="decimal"/>
      <w:lvlText w:val="3.1.%1"/>
      <w:lvlJc w:val="left"/>
      <w:pPr>
        <w:tabs>
          <w:tab w:val="num" w:pos="704"/>
        </w:tabs>
        <w:ind w:left="704" w:hanging="420"/>
      </w:pPr>
      <w:rPr>
        <w:rFonts w:hint="eastAsia"/>
      </w:rPr>
    </w:lvl>
    <w:lvl w:ilvl="1" w:tplc="04090019" w:tentative="1">
      <w:start w:val="1"/>
      <w:numFmt w:val="lowerLetter"/>
      <w:lvlText w:val="%2)"/>
      <w:lvlJc w:val="left"/>
      <w:pPr>
        <w:tabs>
          <w:tab w:val="num" w:pos="1036"/>
        </w:tabs>
        <w:ind w:left="1036" w:hanging="420"/>
      </w:pPr>
    </w:lvl>
    <w:lvl w:ilvl="2" w:tplc="0409001B" w:tentative="1">
      <w:start w:val="1"/>
      <w:numFmt w:val="lowerRoman"/>
      <w:lvlText w:val="%3."/>
      <w:lvlJc w:val="righ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9" w:tentative="1">
      <w:start w:val="1"/>
      <w:numFmt w:val="lowerLetter"/>
      <w:lvlText w:val="%5)"/>
      <w:lvlJc w:val="left"/>
      <w:pPr>
        <w:tabs>
          <w:tab w:val="num" w:pos="2296"/>
        </w:tabs>
        <w:ind w:left="2296" w:hanging="420"/>
      </w:pPr>
    </w:lvl>
    <w:lvl w:ilvl="5" w:tplc="0409001B" w:tentative="1">
      <w:start w:val="1"/>
      <w:numFmt w:val="lowerRoman"/>
      <w:lvlText w:val="%6."/>
      <w:lvlJc w:val="righ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9" w:tentative="1">
      <w:start w:val="1"/>
      <w:numFmt w:val="lowerLetter"/>
      <w:lvlText w:val="%8)"/>
      <w:lvlJc w:val="left"/>
      <w:pPr>
        <w:tabs>
          <w:tab w:val="num" w:pos="3556"/>
        </w:tabs>
        <w:ind w:left="3556" w:hanging="420"/>
      </w:pPr>
    </w:lvl>
    <w:lvl w:ilvl="8" w:tplc="0409001B" w:tentative="1">
      <w:start w:val="1"/>
      <w:numFmt w:val="lowerRoman"/>
      <w:lvlText w:val="%9."/>
      <w:lvlJc w:val="right"/>
      <w:pPr>
        <w:tabs>
          <w:tab w:val="num" w:pos="3976"/>
        </w:tabs>
        <w:ind w:left="3976" w:hanging="420"/>
      </w:pPr>
    </w:lvl>
  </w:abstractNum>
  <w:abstractNum w:abstractNumId="3">
    <w:nsid w:val="21D93927"/>
    <w:multiLevelType w:val="hybridMultilevel"/>
    <w:tmpl w:val="9B2675C0"/>
    <w:lvl w:ilvl="0" w:tplc="45D8F722">
      <w:start w:val="1"/>
      <w:numFmt w:val="decimal"/>
      <w:lvlText w:val="3.3.%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9E5657C"/>
    <w:multiLevelType w:val="hybridMultilevel"/>
    <w:tmpl w:val="4D1A74B0"/>
    <w:lvl w:ilvl="0" w:tplc="D8E431E4">
      <w:start w:val="1"/>
      <w:numFmt w:val="decimalEnclosedCircle"/>
      <w:lvlText w:val="%1"/>
      <w:lvlJc w:val="left"/>
      <w:pPr>
        <w:ind w:left="720" w:hanging="720"/>
      </w:pPr>
      <w:rPr>
        <w:rFonts w:eastAsia="方正仿宋简体" w:hint="default"/>
        <w:b w:val="0"/>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3A13F5"/>
    <w:multiLevelType w:val="hybridMultilevel"/>
    <w:tmpl w:val="B5DC70FC"/>
    <w:lvl w:ilvl="0" w:tplc="04090011">
      <w:start w:val="1"/>
      <w:numFmt w:val="decimal"/>
      <w:lvlText w:val="%1)"/>
      <w:lvlJc w:val="left"/>
      <w:pPr>
        <w:tabs>
          <w:tab w:val="num" w:pos="423"/>
        </w:tabs>
        <w:ind w:left="423" w:hanging="420"/>
      </w:pPr>
    </w:lvl>
    <w:lvl w:ilvl="1" w:tplc="04090019" w:tentative="1">
      <w:start w:val="1"/>
      <w:numFmt w:val="lowerLetter"/>
      <w:lvlText w:val="%2)"/>
      <w:lvlJc w:val="left"/>
      <w:pPr>
        <w:tabs>
          <w:tab w:val="num" w:pos="843"/>
        </w:tabs>
        <w:ind w:left="843" w:hanging="420"/>
      </w:pPr>
    </w:lvl>
    <w:lvl w:ilvl="2" w:tplc="0409001B" w:tentative="1">
      <w:start w:val="1"/>
      <w:numFmt w:val="lowerRoman"/>
      <w:lvlText w:val="%3."/>
      <w:lvlJc w:val="righ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9" w:tentative="1">
      <w:start w:val="1"/>
      <w:numFmt w:val="lowerLetter"/>
      <w:lvlText w:val="%5)"/>
      <w:lvlJc w:val="left"/>
      <w:pPr>
        <w:tabs>
          <w:tab w:val="num" w:pos="2103"/>
        </w:tabs>
        <w:ind w:left="2103" w:hanging="420"/>
      </w:pPr>
    </w:lvl>
    <w:lvl w:ilvl="5" w:tplc="0409001B" w:tentative="1">
      <w:start w:val="1"/>
      <w:numFmt w:val="lowerRoman"/>
      <w:lvlText w:val="%6."/>
      <w:lvlJc w:val="righ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9" w:tentative="1">
      <w:start w:val="1"/>
      <w:numFmt w:val="lowerLetter"/>
      <w:lvlText w:val="%8)"/>
      <w:lvlJc w:val="left"/>
      <w:pPr>
        <w:tabs>
          <w:tab w:val="num" w:pos="3363"/>
        </w:tabs>
        <w:ind w:left="3363" w:hanging="420"/>
      </w:pPr>
    </w:lvl>
    <w:lvl w:ilvl="8" w:tplc="0409001B" w:tentative="1">
      <w:start w:val="1"/>
      <w:numFmt w:val="lowerRoman"/>
      <w:lvlText w:val="%9."/>
      <w:lvlJc w:val="right"/>
      <w:pPr>
        <w:tabs>
          <w:tab w:val="num" w:pos="3783"/>
        </w:tabs>
        <w:ind w:left="3783" w:hanging="420"/>
      </w:pPr>
    </w:lvl>
  </w:abstractNum>
  <w:abstractNum w:abstractNumId="6">
    <w:nsid w:val="307108AF"/>
    <w:multiLevelType w:val="hybridMultilevel"/>
    <w:tmpl w:val="05062C00"/>
    <w:lvl w:ilvl="0" w:tplc="4400106A">
      <w:start w:val="1"/>
      <w:numFmt w:val="decimal"/>
      <w:lvlText w:val="5.2.%1"/>
      <w:lvlJc w:val="left"/>
      <w:pPr>
        <w:ind w:left="1425" w:hanging="1065"/>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338B2083"/>
    <w:multiLevelType w:val="hybridMultilevel"/>
    <w:tmpl w:val="9B2675C0"/>
    <w:lvl w:ilvl="0" w:tplc="45D8F722">
      <w:start w:val="1"/>
      <w:numFmt w:val="decimal"/>
      <w:lvlText w:val="3.3.%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4CC16D1"/>
    <w:multiLevelType w:val="hybridMultilevel"/>
    <w:tmpl w:val="9B2675C0"/>
    <w:lvl w:ilvl="0" w:tplc="45D8F722">
      <w:start w:val="1"/>
      <w:numFmt w:val="decimal"/>
      <w:lvlText w:val="3.3.%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5E7275BA"/>
    <w:multiLevelType w:val="hybridMultilevel"/>
    <w:tmpl w:val="B6EE5D48"/>
    <w:lvl w:ilvl="0" w:tplc="A61061C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BE3246B"/>
    <w:multiLevelType w:val="hybridMultilevel"/>
    <w:tmpl w:val="C802AB1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F7E7E5B"/>
    <w:multiLevelType w:val="hybridMultilevel"/>
    <w:tmpl w:val="EA6E1A20"/>
    <w:lvl w:ilvl="0" w:tplc="5A84F4E8">
      <w:start w:val="1"/>
      <w:numFmt w:val="decimal"/>
      <w:lvlText w:val="7.%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77A94D6A"/>
    <w:multiLevelType w:val="hybridMultilevel"/>
    <w:tmpl w:val="2E90DAA0"/>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782501EE"/>
    <w:multiLevelType w:val="hybridMultilevel"/>
    <w:tmpl w:val="3ADC5598"/>
    <w:lvl w:ilvl="0" w:tplc="67A49930">
      <w:start w:val="1"/>
      <w:numFmt w:val="decimal"/>
      <w:lvlText w:val="4.1.%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7E3F0172"/>
    <w:multiLevelType w:val="hybridMultilevel"/>
    <w:tmpl w:val="6144D1E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13"/>
  </w:num>
  <w:num w:numId="4">
    <w:abstractNumId w:val="12"/>
  </w:num>
  <w:num w:numId="5">
    <w:abstractNumId w:val="5"/>
  </w:num>
  <w:num w:numId="6">
    <w:abstractNumId w:val="14"/>
  </w:num>
  <w:num w:numId="7">
    <w:abstractNumId w:val="11"/>
  </w:num>
  <w:num w:numId="8">
    <w:abstractNumId w:val="0"/>
  </w:num>
  <w:num w:numId="9">
    <w:abstractNumId w:val="6"/>
  </w:num>
  <w:num w:numId="10">
    <w:abstractNumId w:val="1"/>
  </w:num>
  <w:num w:numId="11">
    <w:abstractNumId w:val="7"/>
  </w:num>
  <w:num w:numId="12">
    <w:abstractNumId w:val="4"/>
  </w:num>
  <w:num w:numId="13">
    <w:abstractNumId w:val="9"/>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D96"/>
    <w:rsid w:val="0000365B"/>
    <w:rsid w:val="000063AD"/>
    <w:rsid w:val="00006D86"/>
    <w:rsid w:val="000109B2"/>
    <w:rsid w:val="0001112B"/>
    <w:rsid w:val="00011C69"/>
    <w:rsid w:val="00014422"/>
    <w:rsid w:val="00020DF1"/>
    <w:rsid w:val="0002404C"/>
    <w:rsid w:val="00026258"/>
    <w:rsid w:val="00026F30"/>
    <w:rsid w:val="00032DA0"/>
    <w:rsid w:val="000334AD"/>
    <w:rsid w:val="0004435D"/>
    <w:rsid w:val="00044877"/>
    <w:rsid w:val="00047AF7"/>
    <w:rsid w:val="00047FEC"/>
    <w:rsid w:val="000725D4"/>
    <w:rsid w:val="00074ED1"/>
    <w:rsid w:val="00083B21"/>
    <w:rsid w:val="00086B13"/>
    <w:rsid w:val="00087044"/>
    <w:rsid w:val="0009143A"/>
    <w:rsid w:val="00093BF7"/>
    <w:rsid w:val="00095130"/>
    <w:rsid w:val="000A4339"/>
    <w:rsid w:val="000A4DD0"/>
    <w:rsid w:val="000A53D1"/>
    <w:rsid w:val="000B7A5D"/>
    <w:rsid w:val="000C380B"/>
    <w:rsid w:val="000D2774"/>
    <w:rsid w:val="000E005E"/>
    <w:rsid w:val="000E3CD7"/>
    <w:rsid w:val="000E656C"/>
    <w:rsid w:val="000F245A"/>
    <w:rsid w:val="000F3E31"/>
    <w:rsid w:val="00100023"/>
    <w:rsid w:val="00101123"/>
    <w:rsid w:val="0010524D"/>
    <w:rsid w:val="00115072"/>
    <w:rsid w:val="00121D4C"/>
    <w:rsid w:val="001223CD"/>
    <w:rsid w:val="001232AC"/>
    <w:rsid w:val="001233D3"/>
    <w:rsid w:val="00125C29"/>
    <w:rsid w:val="00126456"/>
    <w:rsid w:val="00130790"/>
    <w:rsid w:val="00131114"/>
    <w:rsid w:val="0013348C"/>
    <w:rsid w:val="00133D11"/>
    <w:rsid w:val="00136246"/>
    <w:rsid w:val="00136631"/>
    <w:rsid w:val="00141FC2"/>
    <w:rsid w:val="00160345"/>
    <w:rsid w:val="00161535"/>
    <w:rsid w:val="00161CAD"/>
    <w:rsid w:val="00164BB8"/>
    <w:rsid w:val="00167B97"/>
    <w:rsid w:val="00172A36"/>
    <w:rsid w:val="00172DBD"/>
    <w:rsid w:val="001749D1"/>
    <w:rsid w:val="00184A17"/>
    <w:rsid w:val="00186B7A"/>
    <w:rsid w:val="0019058F"/>
    <w:rsid w:val="0019551A"/>
    <w:rsid w:val="001A7932"/>
    <w:rsid w:val="001A7ED7"/>
    <w:rsid w:val="001B1CD5"/>
    <w:rsid w:val="001B5324"/>
    <w:rsid w:val="001B6819"/>
    <w:rsid w:val="001C4505"/>
    <w:rsid w:val="001D0512"/>
    <w:rsid w:val="001D6172"/>
    <w:rsid w:val="001E273A"/>
    <w:rsid w:val="001F115F"/>
    <w:rsid w:val="001F1843"/>
    <w:rsid w:val="001F2D21"/>
    <w:rsid w:val="001F3E10"/>
    <w:rsid w:val="001F4229"/>
    <w:rsid w:val="001F7F72"/>
    <w:rsid w:val="002005C0"/>
    <w:rsid w:val="00201361"/>
    <w:rsid w:val="0020256C"/>
    <w:rsid w:val="00213B1D"/>
    <w:rsid w:val="00214B31"/>
    <w:rsid w:val="00220BDF"/>
    <w:rsid w:val="0022367E"/>
    <w:rsid w:val="00224732"/>
    <w:rsid w:val="0022608D"/>
    <w:rsid w:val="00230365"/>
    <w:rsid w:val="00231A50"/>
    <w:rsid w:val="00231B88"/>
    <w:rsid w:val="00232FA3"/>
    <w:rsid w:val="00236076"/>
    <w:rsid w:val="002464A7"/>
    <w:rsid w:val="00250E1E"/>
    <w:rsid w:val="002561A3"/>
    <w:rsid w:val="002606EE"/>
    <w:rsid w:val="00266C2D"/>
    <w:rsid w:val="00267F36"/>
    <w:rsid w:val="00270BF0"/>
    <w:rsid w:val="002725B4"/>
    <w:rsid w:val="00280CC1"/>
    <w:rsid w:val="00283F45"/>
    <w:rsid w:val="00295916"/>
    <w:rsid w:val="002A58CD"/>
    <w:rsid w:val="002A6E11"/>
    <w:rsid w:val="002B36A2"/>
    <w:rsid w:val="002B5EBE"/>
    <w:rsid w:val="002C46D4"/>
    <w:rsid w:val="002C6128"/>
    <w:rsid w:val="002D0C4D"/>
    <w:rsid w:val="002D71D6"/>
    <w:rsid w:val="002E0925"/>
    <w:rsid w:val="002E0FA1"/>
    <w:rsid w:val="002E44C8"/>
    <w:rsid w:val="002E7586"/>
    <w:rsid w:val="002F059B"/>
    <w:rsid w:val="002F2C6A"/>
    <w:rsid w:val="002F3A1A"/>
    <w:rsid w:val="002F4FE3"/>
    <w:rsid w:val="002F76BE"/>
    <w:rsid w:val="002F7D7E"/>
    <w:rsid w:val="00302A04"/>
    <w:rsid w:val="00306BC6"/>
    <w:rsid w:val="00315CFF"/>
    <w:rsid w:val="00316B93"/>
    <w:rsid w:val="00320DD2"/>
    <w:rsid w:val="00321673"/>
    <w:rsid w:val="00323454"/>
    <w:rsid w:val="003245AB"/>
    <w:rsid w:val="0032761E"/>
    <w:rsid w:val="00330BA4"/>
    <w:rsid w:val="003314D2"/>
    <w:rsid w:val="003319E6"/>
    <w:rsid w:val="00333064"/>
    <w:rsid w:val="00334A00"/>
    <w:rsid w:val="00334B1F"/>
    <w:rsid w:val="00341D04"/>
    <w:rsid w:val="00343815"/>
    <w:rsid w:val="00344444"/>
    <w:rsid w:val="00356EF4"/>
    <w:rsid w:val="00356F94"/>
    <w:rsid w:val="00364721"/>
    <w:rsid w:val="003652F7"/>
    <w:rsid w:val="00366A06"/>
    <w:rsid w:val="00372975"/>
    <w:rsid w:val="00376AC2"/>
    <w:rsid w:val="00377533"/>
    <w:rsid w:val="00380471"/>
    <w:rsid w:val="00380E80"/>
    <w:rsid w:val="00383669"/>
    <w:rsid w:val="003856B3"/>
    <w:rsid w:val="0038713B"/>
    <w:rsid w:val="0039252C"/>
    <w:rsid w:val="00392A14"/>
    <w:rsid w:val="00394BE0"/>
    <w:rsid w:val="003A1200"/>
    <w:rsid w:val="003A152F"/>
    <w:rsid w:val="003A2A9F"/>
    <w:rsid w:val="003B051B"/>
    <w:rsid w:val="003B3AF1"/>
    <w:rsid w:val="003C0F1F"/>
    <w:rsid w:val="003C12E9"/>
    <w:rsid w:val="003D0727"/>
    <w:rsid w:val="003D1F19"/>
    <w:rsid w:val="003D3871"/>
    <w:rsid w:val="003D55B7"/>
    <w:rsid w:val="003D55DA"/>
    <w:rsid w:val="003E33F5"/>
    <w:rsid w:val="003F3397"/>
    <w:rsid w:val="003F4C4E"/>
    <w:rsid w:val="003F72C6"/>
    <w:rsid w:val="00403568"/>
    <w:rsid w:val="00406687"/>
    <w:rsid w:val="00410CA5"/>
    <w:rsid w:val="00410F5A"/>
    <w:rsid w:val="004124A1"/>
    <w:rsid w:val="00420D0E"/>
    <w:rsid w:val="0042199F"/>
    <w:rsid w:val="004275F2"/>
    <w:rsid w:val="00430602"/>
    <w:rsid w:val="00430C99"/>
    <w:rsid w:val="004317A9"/>
    <w:rsid w:val="004318B5"/>
    <w:rsid w:val="00432B39"/>
    <w:rsid w:val="00436BE4"/>
    <w:rsid w:val="004418A3"/>
    <w:rsid w:val="00462DE9"/>
    <w:rsid w:val="0046531A"/>
    <w:rsid w:val="0046549A"/>
    <w:rsid w:val="00466B6C"/>
    <w:rsid w:val="00474AB0"/>
    <w:rsid w:val="004767EF"/>
    <w:rsid w:val="00482045"/>
    <w:rsid w:val="0049600C"/>
    <w:rsid w:val="004A3445"/>
    <w:rsid w:val="004B53C6"/>
    <w:rsid w:val="004B5664"/>
    <w:rsid w:val="004B5B5A"/>
    <w:rsid w:val="004C2094"/>
    <w:rsid w:val="004C69FB"/>
    <w:rsid w:val="004D4624"/>
    <w:rsid w:val="004D6224"/>
    <w:rsid w:val="004F14B0"/>
    <w:rsid w:val="004F188D"/>
    <w:rsid w:val="004F3D7F"/>
    <w:rsid w:val="00500786"/>
    <w:rsid w:val="00500FBB"/>
    <w:rsid w:val="00503CE4"/>
    <w:rsid w:val="0050772A"/>
    <w:rsid w:val="00510766"/>
    <w:rsid w:val="0053465A"/>
    <w:rsid w:val="005359E6"/>
    <w:rsid w:val="00550F09"/>
    <w:rsid w:val="0055164D"/>
    <w:rsid w:val="005517CB"/>
    <w:rsid w:val="005528A5"/>
    <w:rsid w:val="00556C78"/>
    <w:rsid w:val="00564073"/>
    <w:rsid w:val="00576C36"/>
    <w:rsid w:val="0057754B"/>
    <w:rsid w:val="00581A03"/>
    <w:rsid w:val="00587076"/>
    <w:rsid w:val="00594A61"/>
    <w:rsid w:val="00597F14"/>
    <w:rsid w:val="005A3F43"/>
    <w:rsid w:val="005C2915"/>
    <w:rsid w:val="005C3DD2"/>
    <w:rsid w:val="005C44F9"/>
    <w:rsid w:val="005C6D2D"/>
    <w:rsid w:val="005D1F1D"/>
    <w:rsid w:val="005D647A"/>
    <w:rsid w:val="005E289A"/>
    <w:rsid w:val="005E7319"/>
    <w:rsid w:val="005F4298"/>
    <w:rsid w:val="005F6ED4"/>
    <w:rsid w:val="00601F15"/>
    <w:rsid w:val="00614C65"/>
    <w:rsid w:val="00620DD8"/>
    <w:rsid w:val="0062466F"/>
    <w:rsid w:val="00625F6D"/>
    <w:rsid w:val="006453CD"/>
    <w:rsid w:val="0065182A"/>
    <w:rsid w:val="00652C71"/>
    <w:rsid w:val="00665F23"/>
    <w:rsid w:val="00667BDE"/>
    <w:rsid w:val="00667E23"/>
    <w:rsid w:val="00673028"/>
    <w:rsid w:val="00674790"/>
    <w:rsid w:val="00675015"/>
    <w:rsid w:val="006755D9"/>
    <w:rsid w:val="006800FA"/>
    <w:rsid w:val="00684BFB"/>
    <w:rsid w:val="00686B55"/>
    <w:rsid w:val="00687508"/>
    <w:rsid w:val="006A0E90"/>
    <w:rsid w:val="006A2045"/>
    <w:rsid w:val="006A2CA0"/>
    <w:rsid w:val="006A3375"/>
    <w:rsid w:val="006A4A72"/>
    <w:rsid w:val="006B19EF"/>
    <w:rsid w:val="006B1C91"/>
    <w:rsid w:val="006B3A79"/>
    <w:rsid w:val="006B4E48"/>
    <w:rsid w:val="006B5740"/>
    <w:rsid w:val="006C6BA3"/>
    <w:rsid w:val="006D11C7"/>
    <w:rsid w:val="006D71E6"/>
    <w:rsid w:val="006E38B1"/>
    <w:rsid w:val="006E73E4"/>
    <w:rsid w:val="006F3069"/>
    <w:rsid w:val="00702612"/>
    <w:rsid w:val="0070797B"/>
    <w:rsid w:val="007132BF"/>
    <w:rsid w:val="00714B6C"/>
    <w:rsid w:val="00716DF7"/>
    <w:rsid w:val="00736283"/>
    <w:rsid w:val="007365A6"/>
    <w:rsid w:val="0074598A"/>
    <w:rsid w:val="00751081"/>
    <w:rsid w:val="007554B8"/>
    <w:rsid w:val="00772A78"/>
    <w:rsid w:val="0078050E"/>
    <w:rsid w:val="007917EF"/>
    <w:rsid w:val="007A042C"/>
    <w:rsid w:val="007A64BA"/>
    <w:rsid w:val="007A6974"/>
    <w:rsid w:val="007C06BA"/>
    <w:rsid w:val="007C4244"/>
    <w:rsid w:val="007D11A1"/>
    <w:rsid w:val="007D61B1"/>
    <w:rsid w:val="007E21A5"/>
    <w:rsid w:val="007F31F4"/>
    <w:rsid w:val="00801CBC"/>
    <w:rsid w:val="00804600"/>
    <w:rsid w:val="00804C83"/>
    <w:rsid w:val="00815485"/>
    <w:rsid w:val="00816237"/>
    <w:rsid w:val="00822448"/>
    <w:rsid w:val="00822FA5"/>
    <w:rsid w:val="008253CD"/>
    <w:rsid w:val="00827034"/>
    <w:rsid w:val="00827758"/>
    <w:rsid w:val="0083675D"/>
    <w:rsid w:val="00836C74"/>
    <w:rsid w:val="00837D6B"/>
    <w:rsid w:val="00841FB6"/>
    <w:rsid w:val="008466CB"/>
    <w:rsid w:val="00861C4B"/>
    <w:rsid w:val="0087669D"/>
    <w:rsid w:val="008A36C0"/>
    <w:rsid w:val="008A7873"/>
    <w:rsid w:val="008C0937"/>
    <w:rsid w:val="008C20BD"/>
    <w:rsid w:val="008C44CF"/>
    <w:rsid w:val="008C6FB0"/>
    <w:rsid w:val="008D656F"/>
    <w:rsid w:val="008D7E7C"/>
    <w:rsid w:val="008E01B3"/>
    <w:rsid w:val="008E1021"/>
    <w:rsid w:val="008E3272"/>
    <w:rsid w:val="008E3BF5"/>
    <w:rsid w:val="008E506C"/>
    <w:rsid w:val="008E74AA"/>
    <w:rsid w:val="00910331"/>
    <w:rsid w:val="00911853"/>
    <w:rsid w:val="0091185A"/>
    <w:rsid w:val="0091780B"/>
    <w:rsid w:val="0092028D"/>
    <w:rsid w:val="0092207C"/>
    <w:rsid w:val="0092332D"/>
    <w:rsid w:val="009233F5"/>
    <w:rsid w:val="00931994"/>
    <w:rsid w:val="0093347B"/>
    <w:rsid w:val="00940D0C"/>
    <w:rsid w:val="0094192B"/>
    <w:rsid w:val="009438D1"/>
    <w:rsid w:val="00947349"/>
    <w:rsid w:val="009530EC"/>
    <w:rsid w:val="0096437D"/>
    <w:rsid w:val="00967268"/>
    <w:rsid w:val="00971E04"/>
    <w:rsid w:val="00972F47"/>
    <w:rsid w:val="00976335"/>
    <w:rsid w:val="00980405"/>
    <w:rsid w:val="0098082B"/>
    <w:rsid w:val="00981E10"/>
    <w:rsid w:val="00983D96"/>
    <w:rsid w:val="00987793"/>
    <w:rsid w:val="00992918"/>
    <w:rsid w:val="0099656A"/>
    <w:rsid w:val="009A77F2"/>
    <w:rsid w:val="009A7E05"/>
    <w:rsid w:val="009B1201"/>
    <w:rsid w:val="009C37F4"/>
    <w:rsid w:val="009E43E2"/>
    <w:rsid w:val="009E4726"/>
    <w:rsid w:val="009F0279"/>
    <w:rsid w:val="009F398B"/>
    <w:rsid w:val="009F55B5"/>
    <w:rsid w:val="009F5709"/>
    <w:rsid w:val="009F7F22"/>
    <w:rsid w:val="00A02E65"/>
    <w:rsid w:val="00A05C4F"/>
    <w:rsid w:val="00A062F3"/>
    <w:rsid w:val="00A105B4"/>
    <w:rsid w:val="00A117CE"/>
    <w:rsid w:val="00A123FA"/>
    <w:rsid w:val="00A12EF9"/>
    <w:rsid w:val="00A134C4"/>
    <w:rsid w:val="00A22D10"/>
    <w:rsid w:val="00A2605B"/>
    <w:rsid w:val="00A32B23"/>
    <w:rsid w:val="00A40E81"/>
    <w:rsid w:val="00A41F15"/>
    <w:rsid w:val="00A510EB"/>
    <w:rsid w:val="00A51D7F"/>
    <w:rsid w:val="00A603F5"/>
    <w:rsid w:val="00A6256F"/>
    <w:rsid w:val="00A64CD6"/>
    <w:rsid w:val="00A67818"/>
    <w:rsid w:val="00A75DD2"/>
    <w:rsid w:val="00A916CC"/>
    <w:rsid w:val="00A931B7"/>
    <w:rsid w:val="00A94731"/>
    <w:rsid w:val="00AA268C"/>
    <w:rsid w:val="00AB154C"/>
    <w:rsid w:val="00AC0A09"/>
    <w:rsid w:val="00AC164F"/>
    <w:rsid w:val="00AC773D"/>
    <w:rsid w:val="00AD120D"/>
    <w:rsid w:val="00AD5B8E"/>
    <w:rsid w:val="00AE179C"/>
    <w:rsid w:val="00B02CCF"/>
    <w:rsid w:val="00B229D1"/>
    <w:rsid w:val="00B260B4"/>
    <w:rsid w:val="00B32828"/>
    <w:rsid w:val="00B3503F"/>
    <w:rsid w:val="00B416EE"/>
    <w:rsid w:val="00B419CF"/>
    <w:rsid w:val="00B473B8"/>
    <w:rsid w:val="00B506B7"/>
    <w:rsid w:val="00B605F3"/>
    <w:rsid w:val="00B621C7"/>
    <w:rsid w:val="00B625E7"/>
    <w:rsid w:val="00B62BA9"/>
    <w:rsid w:val="00B64DB5"/>
    <w:rsid w:val="00B65284"/>
    <w:rsid w:val="00B72B90"/>
    <w:rsid w:val="00B84383"/>
    <w:rsid w:val="00B87D2A"/>
    <w:rsid w:val="00B90DD4"/>
    <w:rsid w:val="00B9130E"/>
    <w:rsid w:val="00B94C88"/>
    <w:rsid w:val="00BA5A0A"/>
    <w:rsid w:val="00BA6DBD"/>
    <w:rsid w:val="00BB5D32"/>
    <w:rsid w:val="00BB74A8"/>
    <w:rsid w:val="00BC0090"/>
    <w:rsid w:val="00BC3D7B"/>
    <w:rsid w:val="00BC7CE5"/>
    <w:rsid w:val="00BD1BEE"/>
    <w:rsid w:val="00BE1D71"/>
    <w:rsid w:val="00BE6A90"/>
    <w:rsid w:val="00BF1CDA"/>
    <w:rsid w:val="00BF22F2"/>
    <w:rsid w:val="00C10F36"/>
    <w:rsid w:val="00C21EAA"/>
    <w:rsid w:val="00C247EA"/>
    <w:rsid w:val="00C2482B"/>
    <w:rsid w:val="00C27E75"/>
    <w:rsid w:val="00C3193E"/>
    <w:rsid w:val="00C324AE"/>
    <w:rsid w:val="00C32B40"/>
    <w:rsid w:val="00C3361D"/>
    <w:rsid w:val="00C37DC1"/>
    <w:rsid w:val="00C42714"/>
    <w:rsid w:val="00C5059D"/>
    <w:rsid w:val="00C52A14"/>
    <w:rsid w:val="00C60CCE"/>
    <w:rsid w:val="00C617C5"/>
    <w:rsid w:val="00C61F1C"/>
    <w:rsid w:val="00C63D1B"/>
    <w:rsid w:val="00C645A7"/>
    <w:rsid w:val="00C74F77"/>
    <w:rsid w:val="00C8368A"/>
    <w:rsid w:val="00C9515F"/>
    <w:rsid w:val="00CA05FF"/>
    <w:rsid w:val="00CA0603"/>
    <w:rsid w:val="00CA6484"/>
    <w:rsid w:val="00CC1B7D"/>
    <w:rsid w:val="00CC3330"/>
    <w:rsid w:val="00CC4DA2"/>
    <w:rsid w:val="00CC5706"/>
    <w:rsid w:val="00CD18E1"/>
    <w:rsid w:val="00CE32FB"/>
    <w:rsid w:val="00CE45A4"/>
    <w:rsid w:val="00CE7F3B"/>
    <w:rsid w:val="00CF14D9"/>
    <w:rsid w:val="00CF61CC"/>
    <w:rsid w:val="00D002BE"/>
    <w:rsid w:val="00D02AE7"/>
    <w:rsid w:val="00D048C5"/>
    <w:rsid w:val="00D11402"/>
    <w:rsid w:val="00D11FCC"/>
    <w:rsid w:val="00D21D86"/>
    <w:rsid w:val="00D23CD3"/>
    <w:rsid w:val="00D30713"/>
    <w:rsid w:val="00D34517"/>
    <w:rsid w:val="00D37645"/>
    <w:rsid w:val="00D43D39"/>
    <w:rsid w:val="00D4573C"/>
    <w:rsid w:val="00D47A33"/>
    <w:rsid w:val="00D521CD"/>
    <w:rsid w:val="00D52480"/>
    <w:rsid w:val="00D5512A"/>
    <w:rsid w:val="00D668E5"/>
    <w:rsid w:val="00D67658"/>
    <w:rsid w:val="00D73FBA"/>
    <w:rsid w:val="00D8332C"/>
    <w:rsid w:val="00D83E66"/>
    <w:rsid w:val="00D8618D"/>
    <w:rsid w:val="00D8743E"/>
    <w:rsid w:val="00D90DFA"/>
    <w:rsid w:val="00D9434D"/>
    <w:rsid w:val="00D97797"/>
    <w:rsid w:val="00DA1986"/>
    <w:rsid w:val="00DA1A87"/>
    <w:rsid w:val="00DA62C8"/>
    <w:rsid w:val="00DB1527"/>
    <w:rsid w:val="00DC0EE9"/>
    <w:rsid w:val="00DC4885"/>
    <w:rsid w:val="00DC7FED"/>
    <w:rsid w:val="00DD2440"/>
    <w:rsid w:val="00DD3D2D"/>
    <w:rsid w:val="00DD40AE"/>
    <w:rsid w:val="00DE03FC"/>
    <w:rsid w:val="00DE1B03"/>
    <w:rsid w:val="00DE2399"/>
    <w:rsid w:val="00DE3E35"/>
    <w:rsid w:val="00DF0C29"/>
    <w:rsid w:val="00DF349E"/>
    <w:rsid w:val="00DF622D"/>
    <w:rsid w:val="00DF6AFB"/>
    <w:rsid w:val="00E00BE4"/>
    <w:rsid w:val="00E1001F"/>
    <w:rsid w:val="00E12D1F"/>
    <w:rsid w:val="00E139E2"/>
    <w:rsid w:val="00E15AD9"/>
    <w:rsid w:val="00E2151B"/>
    <w:rsid w:val="00E23224"/>
    <w:rsid w:val="00E278B4"/>
    <w:rsid w:val="00E31DDF"/>
    <w:rsid w:val="00E348A4"/>
    <w:rsid w:val="00E42461"/>
    <w:rsid w:val="00E42B16"/>
    <w:rsid w:val="00E47CA3"/>
    <w:rsid w:val="00E530F9"/>
    <w:rsid w:val="00E56513"/>
    <w:rsid w:val="00E57326"/>
    <w:rsid w:val="00E61572"/>
    <w:rsid w:val="00E62B51"/>
    <w:rsid w:val="00E63F65"/>
    <w:rsid w:val="00E71B65"/>
    <w:rsid w:val="00E72EA9"/>
    <w:rsid w:val="00E74E60"/>
    <w:rsid w:val="00E90180"/>
    <w:rsid w:val="00E903A9"/>
    <w:rsid w:val="00E91195"/>
    <w:rsid w:val="00E9318D"/>
    <w:rsid w:val="00E94ABF"/>
    <w:rsid w:val="00EA1010"/>
    <w:rsid w:val="00EB3F6D"/>
    <w:rsid w:val="00EB7723"/>
    <w:rsid w:val="00EC1094"/>
    <w:rsid w:val="00EC3858"/>
    <w:rsid w:val="00EC6434"/>
    <w:rsid w:val="00ED2E8F"/>
    <w:rsid w:val="00ED3719"/>
    <w:rsid w:val="00ED3BCC"/>
    <w:rsid w:val="00ED6685"/>
    <w:rsid w:val="00ED6820"/>
    <w:rsid w:val="00EE06E2"/>
    <w:rsid w:val="00EE3251"/>
    <w:rsid w:val="00EE6A4A"/>
    <w:rsid w:val="00EF318D"/>
    <w:rsid w:val="00EF429D"/>
    <w:rsid w:val="00EF56A6"/>
    <w:rsid w:val="00F021D7"/>
    <w:rsid w:val="00F05920"/>
    <w:rsid w:val="00F059F2"/>
    <w:rsid w:val="00F05DA4"/>
    <w:rsid w:val="00F070A4"/>
    <w:rsid w:val="00F073CF"/>
    <w:rsid w:val="00F13F54"/>
    <w:rsid w:val="00F151B4"/>
    <w:rsid w:val="00F20DBF"/>
    <w:rsid w:val="00F23D96"/>
    <w:rsid w:val="00F33143"/>
    <w:rsid w:val="00F33AA8"/>
    <w:rsid w:val="00F52C52"/>
    <w:rsid w:val="00F53B62"/>
    <w:rsid w:val="00F627B0"/>
    <w:rsid w:val="00F6771C"/>
    <w:rsid w:val="00F7016E"/>
    <w:rsid w:val="00F7218E"/>
    <w:rsid w:val="00F75156"/>
    <w:rsid w:val="00F81755"/>
    <w:rsid w:val="00F84361"/>
    <w:rsid w:val="00F876EE"/>
    <w:rsid w:val="00F9043A"/>
    <w:rsid w:val="00F908E9"/>
    <w:rsid w:val="00F91E62"/>
    <w:rsid w:val="00F94828"/>
    <w:rsid w:val="00F9732C"/>
    <w:rsid w:val="00FA0029"/>
    <w:rsid w:val="00FB193E"/>
    <w:rsid w:val="00FB2AF2"/>
    <w:rsid w:val="00FB54B4"/>
    <w:rsid w:val="00FB7024"/>
    <w:rsid w:val="00FC601D"/>
    <w:rsid w:val="00FC655D"/>
    <w:rsid w:val="00FD0C58"/>
    <w:rsid w:val="00FD25F1"/>
    <w:rsid w:val="00FD4835"/>
    <w:rsid w:val="00FD636D"/>
    <w:rsid w:val="00FE2D77"/>
    <w:rsid w:val="00FF24CE"/>
    <w:rsid w:val="00FF3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96"/>
    <w:pPr>
      <w:widowControl w:val="0"/>
      <w:jc w:val="both"/>
    </w:pPr>
    <w:rPr>
      <w:rFonts w:eastAsia="方正仿宋简体"/>
      <w:kern w:val="2"/>
      <w:sz w:val="32"/>
    </w:rPr>
  </w:style>
  <w:style w:type="paragraph" w:styleId="1">
    <w:name w:val="heading 1"/>
    <w:basedOn w:val="a"/>
    <w:next w:val="a"/>
    <w:link w:val="1Char"/>
    <w:qFormat/>
    <w:rsid w:val="00A22D1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3D96"/>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83D96"/>
    <w:rPr>
      <w:vertAlign w:val="superscript"/>
    </w:rPr>
  </w:style>
  <w:style w:type="character" w:customStyle="1" w:styleId="2Char">
    <w:name w:val="标题 2 Char"/>
    <w:basedOn w:val="a0"/>
    <w:link w:val="2"/>
    <w:rsid w:val="00983D96"/>
    <w:rPr>
      <w:rFonts w:ascii="Arial" w:eastAsia="黑体" w:hAnsi="Arial"/>
      <w:b/>
      <w:kern w:val="2"/>
      <w:sz w:val="32"/>
      <w:lang w:val="en-US" w:eastAsia="zh-CN" w:bidi="ar-SA"/>
    </w:rPr>
  </w:style>
  <w:style w:type="paragraph" w:styleId="a4">
    <w:name w:val="footnote text"/>
    <w:basedOn w:val="a"/>
    <w:rsid w:val="00983D96"/>
    <w:pPr>
      <w:snapToGrid w:val="0"/>
      <w:jc w:val="left"/>
    </w:pPr>
    <w:rPr>
      <w:rFonts w:eastAsia="宋体"/>
      <w:sz w:val="18"/>
    </w:rPr>
  </w:style>
  <w:style w:type="paragraph" w:customStyle="1" w:styleId="CharCharCharCharCharChar1CharCharChar">
    <w:name w:val="Char Char Char Char Char Char1 Char Char Char"/>
    <w:basedOn w:val="a"/>
    <w:rsid w:val="00983D96"/>
    <w:pPr>
      <w:autoSpaceDE w:val="0"/>
      <w:autoSpaceDN w:val="0"/>
      <w:adjustRightInd w:val="0"/>
      <w:jc w:val="left"/>
      <w:textAlignment w:val="baseline"/>
    </w:pPr>
  </w:style>
  <w:style w:type="paragraph" w:styleId="a5">
    <w:name w:val="header"/>
    <w:basedOn w:val="a"/>
    <w:link w:val="Char"/>
    <w:rsid w:val="00614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14C65"/>
    <w:rPr>
      <w:rFonts w:eastAsia="方正仿宋简体"/>
      <w:kern w:val="2"/>
      <w:sz w:val="18"/>
      <w:szCs w:val="18"/>
    </w:rPr>
  </w:style>
  <w:style w:type="paragraph" w:styleId="a6">
    <w:name w:val="footer"/>
    <w:basedOn w:val="a"/>
    <w:link w:val="Char0"/>
    <w:rsid w:val="00614C65"/>
    <w:pPr>
      <w:tabs>
        <w:tab w:val="center" w:pos="4153"/>
        <w:tab w:val="right" w:pos="8306"/>
      </w:tabs>
      <w:snapToGrid w:val="0"/>
      <w:jc w:val="left"/>
    </w:pPr>
    <w:rPr>
      <w:sz w:val="18"/>
      <w:szCs w:val="18"/>
    </w:rPr>
  </w:style>
  <w:style w:type="character" w:customStyle="1" w:styleId="Char0">
    <w:name w:val="页脚 Char"/>
    <w:basedOn w:val="a0"/>
    <w:link w:val="a6"/>
    <w:rsid w:val="00614C65"/>
    <w:rPr>
      <w:rFonts w:eastAsia="方正仿宋简体"/>
      <w:kern w:val="2"/>
      <w:sz w:val="18"/>
      <w:szCs w:val="18"/>
    </w:rPr>
  </w:style>
  <w:style w:type="character" w:styleId="a7">
    <w:name w:val="Hyperlink"/>
    <w:basedOn w:val="a0"/>
    <w:rsid w:val="00614C65"/>
    <w:rPr>
      <w:color w:val="0000FF"/>
      <w:u w:val="single"/>
    </w:rPr>
  </w:style>
  <w:style w:type="paragraph" w:customStyle="1" w:styleId="Default">
    <w:name w:val="Default"/>
    <w:rsid w:val="00614C65"/>
    <w:pPr>
      <w:widowControl w:val="0"/>
      <w:autoSpaceDE w:val="0"/>
      <w:autoSpaceDN w:val="0"/>
      <w:adjustRightInd w:val="0"/>
    </w:pPr>
    <w:rPr>
      <w:rFonts w:ascii="宋体" w:cs="宋体"/>
      <w:color w:val="000000"/>
      <w:sz w:val="24"/>
      <w:szCs w:val="24"/>
    </w:rPr>
  </w:style>
  <w:style w:type="paragraph" w:styleId="HTML">
    <w:name w:val="HTML Preformatted"/>
    <w:basedOn w:val="a"/>
    <w:link w:val="HTMLChar"/>
    <w:rsid w:val="00365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3652F7"/>
    <w:rPr>
      <w:rFonts w:ascii="宋体" w:hAnsi="宋体" w:cs="宋体"/>
      <w:color w:val="000000"/>
      <w:sz w:val="24"/>
      <w:szCs w:val="24"/>
    </w:rPr>
  </w:style>
  <w:style w:type="character" w:styleId="a8">
    <w:name w:val="annotation reference"/>
    <w:basedOn w:val="a0"/>
    <w:semiHidden/>
    <w:rsid w:val="00136246"/>
    <w:rPr>
      <w:sz w:val="21"/>
      <w:szCs w:val="21"/>
    </w:rPr>
  </w:style>
  <w:style w:type="paragraph" w:styleId="a9">
    <w:name w:val="annotation text"/>
    <w:basedOn w:val="a"/>
    <w:semiHidden/>
    <w:rsid w:val="00136246"/>
    <w:pPr>
      <w:jc w:val="left"/>
    </w:pPr>
  </w:style>
  <w:style w:type="paragraph" w:styleId="aa">
    <w:name w:val="annotation subject"/>
    <w:basedOn w:val="a9"/>
    <w:next w:val="a9"/>
    <w:semiHidden/>
    <w:rsid w:val="00136246"/>
    <w:rPr>
      <w:b/>
      <w:bCs/>
    </w:rPr>
  </w:style>
  <w:style w:type="paragraph" w:styleId="ab">
    <w:name w:val="Balloon Text"/>
    <w:basedOn w:val="a"/>
    <w:semiHidden/>
    <w:rsid w:val="00136246"/>
    <w:rPr>
      <w:sz w:val="18"/>
      <w:szCs w:val="18"/>
    </w:rPr>
  </w:style>
  <w:style w:type="character" w:styleId="ac">
    <w:name w:val="FollowedHyperlink"/>
    <w:basedOn w:val="a0"/>
    <w:rsid w:val="00E63F65"/>
    <w:rPr>
      <w:color w:val="800080"/>
      <w:u w:val="single"/>
    </w:rPr>
  </w:style>
  <w:style w:type="character" w:styleId="ad">
    <w:name w:val="page number"/>
    <w:basedOn w:val="a0"/>
    <w:rsid w:val="00186B7A"/>
  </w:style>
  <w:style w:type="table" w:styleId="ae">
    <w:name w:val="Table Grid"/>
    <w:basedOn w:val="a1"/>
    <w:rsid w:val="00141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343815"/>
    <w:pPr>
      <w:ind w:firstLineChars="200" w:firstLine="420"/>
    </w:pPr>
  </w:style>
  <w:style w:type="paragraph" w:styleId="af0">
    <w:name w:val="Date"/>
    <w:basedOn w:val="a"/>
    <w:next w:val="a"/>
    <w:link w:val="Char1"/>
    <w:rsid w:val="00AA268C"/>
    <w:pPr>
      <w:ind w:leftChars="2500" w:left="100"/>
    </w:pPr>
  </w:style>
  <w:style w:type="character" w:customStyle="1" w:styleId="Char1">
    <w:name w:val="日期 Char"/>
    <w:basedOn w:val="a0"/>
    <w:link w:val="af0"/>
    <w:rsid w:val="00AA268C"/>
    <w:rPr>
      <w:rFonts w:eastAsia="方正仿宋简体"/>
      <w:kern w:val="2"/>
      <w:sz w:val="32"/>
    </w:rPr>
  </w:style>
  <w:style w:type="character" w:customStyle="1" w:styleId="1Char">
    <w:name w:val="标题 1 Char"/>
    <w:basedOn w:val="a0"/>
    <w:link w:val="1"/>
    <w:rsid w:val="00A22D10"/>
    <w:rPr>
      <w:rFonts w:eastAsia="方正仿宋简体"/>
      <w:b/>
      <w:bCs/>
      <w:kern w:val="44"/>
      <w:sz w:val="44"/>
      <w:szCs w:val="44"/>
    </w:rPr>
  </w:style>
  <w:style w:type="paragraph" w:styleId="af1">
    <w:name w:val="Normal (Web)"/>
    <w:basedOn w:val="a"/>
    <w:uiPriority w:val="99"/>
    <w:unhideWhenUsed/>
    <w:rsid w:val="00C505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1124874">
      <w:bodyDiv w:val="1"/>
      <w:marLeft w:val="0"/>
      <w:marRight w:val="0"/>
      <w:marTop w:val="0"/>
      <w:marBottom w:val="0"/>
      <w:divBdr>
        <w:top w:val="none" w:sz="0" w:space="0" w:color="auto"/>
        <w:left w:val="none" w:sz="0" w:space="0" w:color="auto"/>
        <w:bottom w:val="none" w:sz="0" w:space="0" w:color="auto"/>
        <w:right w:val="none" w:sz="0" w:space="0" w:color="auto"/>
      </w:divBdr>
    </w:div>
    <w:div w:id="1500461607">
      <w:bodyDiv w:val="1"/>
      <w:marLeft w:val="0"/>
      <w:marRight w:val="0"/>
      <w:marTop w:val="0"/>
      <w:marBottom w:val="0"/>
      <w:divBdr>
        <w:top w:val="none" w:sz="0" w:space="0" w:color="auto"/>
        <w:left w:val="none" w:sz="0" w:space="0" w:color="auto"/>
        <w:bottom w:val="none" w:sz="0" w:space="0" w:color="auto"/>
        <w:right w:val="none" w:sz="0" w:space="0" w:color="auto"/>
      </w:divBdr>
    </w:div>
    <w:div w:id="1797023938">
      <w:bodyDiv w:val="1"/>
      <w:marLeft w:val="0"/>
      <w:marRight w:val="0"/>
      <w:marTop w:val="0"/>
      <w:marBottom w:val="0"/>
      <w:divBdr>
        <w:top w:val="none" w:sz="0" w:space="0" w:color="auto"/>
        <w:left w:val="none" w:sz="0" w:space="0" w:color="auto"/>
        <w:bottom w:val="none" w:sz="0" w:space="0" w:color="auto"/>
        <w:right w:val="none" w:sz="0" w:space="0" w:color="auto"/>
      </w:divBdr>
    </w:div>
    <w:div w:id="2094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AF1F-5791-4891-AF94-81DF5606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1284</Characters>
  <Application>Microsoft Office Word</Application>
  <DocSecurity>4</DocSecurity>
  <Lines>10</Lines>
  <Paragraphs>3</Paragraphs>
  <ScaleCrop>false</ScaleCrop>
  <Company>py-axa</Company>
  <LinksUpToDate>false</LinksUpToDate>
  <CharactersWithSpaces>1506</CharactersWithSpaces>
  <SharedDoc>false</SharedDoc>
  <HLinks>
    <vt:vector size="18" baseType="variant">
      <vt:variant>
        <vt:i4>6488114</vt:i4>
      </vt:variant>
      <vt:variant>
        <vt:i4>6</vt:i4>
      </vt:variant>
      <vt:variant>
        <vt:i4>0</vt:i4>
      </vt:variant>
      <vt:variant>
        <vt:i4>5</vt:i4>
      </vt:variant>
      <vt:variant>
        <vt:lpwstr>http://www.sse.com.cn/aboutus/ssemember/memberlist/</vt:lpwstr>
      </vt:variant>
      <vt:variant>
        <vt:lpwstr/>
      </vt:variant>
      <vt:variant>
        <vt:i4>6291495</vt:i4>
      </vt:variant>
      <vt:variant>
        <vt:i4>3</vt:i4>
      </vt:variant>
      <vt:variant>
        <vt:i4>0</vt:i4>
      </vt:variant>
      <vt:variant>
        <vt:i4>5</vt:i4>
      </vt:variant>
      <vt:variant>
        <vt:lpwstr>http://www.py-axa.com/</vt:lpwstr>
      </vt:variant>
      <vt:variant>
        <vt:lpwstr/>
      </vt: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浦银安盛中证锐联基本面400指数证券投资基金开放日常申购、赎回、转换、定期定额投资业务公告</dc:title>
  <dc:creator>zhumy</dc:creator>
  <cp:lastModifiedBy>ZHONGM</cp:lastModifiedBy>
  <cp:revision>2</cp:revision>
  <cp:lastPrinted>2017-04-24T08:52:00Z</cp:lastPrinted>
  <dcterms:created xsi:type="dcterms:W3CDTF">2024-01-05T16:01:00Z</dcterms:created>
  <dcterms:modified xsi:type="dcterms:W3CDTF">2024-01-05T16:01:00Z</dcterms:modified>
</cp:coreProperties>
</file>