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D5" w:rsidRPr="00F56123" w:rsidRDefault="000B645F" w:rsidP="00F56123">
      <w:pPr>
        <w:widowControl/>
        <w:snapToGrid w:val="0"/>
        <w:jc w:val="center"/>
        <w:rPr>
          <w:rFonts w:ascii="宋体" w:hAnsi="宋体"/>
          <w:b/>
          <w:kern w:val="0"/>
          <w:sz w:val="36"/>
          <w:szCs w:val="36"/>
        </w:rPr>
      </w:pPr>
      <w:r w:rsidRPr="00F56123">
        <w:rPr>
          <w:rFonts w:ascii="宋体" w:hAnsi="宋体" w:hint="eastAsia"/>
          <w:b/>
          <w:kern w:val="0"/>
          <w:sz w:val="36"/>
          <w:szCs w:val="36"/>
        </w:rPr>
        <w:t>关于指定证券投资基金主流动性服务商的公告</w:t>
      </w:r>
    </w:p>
    <w:p w:rsidR="000D3DD5" w:rsidRDefault="000D3DD5" w:rsidP="00F56123">
      <w:pPr>
        <w:widowControl/>
        <w:snapToGrid w:val="0"/>
        <w:ind w:firstLine="600"/>
        <w:jc w:val="center"/>
        <w:rPr>
          <w:rFonts w:ascii="宋体" w:hAnsi="宋体"/>
          <w:kern w:val="0"/>
          <w:sz w:val="30"/>
          <w:szCs w:val="30"/>
        </w:rPr>
      </w:pPr>
    </w:p>
    <w:p w:rsidR="000D3DD5" w:rsidRPr="00F56123" w:rsidRDefault="000B645F" w:rsidP="00F56123">
      <w:pPr>
        <w:ind w:firstLine="420"/>
        <w:rPr>
          <w:rFonts w:ascii="仿宋_GB2312" w:eastAsia="仿宋_GB2312"/>
          <w:sz w:val="28"/>
          <w:szCs w:val="28"/>
        </w:rPr>
      </w:pPr>
      <w:r w:rsidRPr="00F56123">
        <w:rPr>
          <w:rFonts w:ascii="仿宋_GB2312" w:eastAsia="仿宋_GB2312" w:hint="eastAsia"/>
          <w:sz w:val="28"/>
          <w:szCs w:val="28"/>
        </w:rPr>
        <w:t>根据《深圳证券交易所证券投资基金业务指引第2号——流动性服务》等有关规定，自</w:t>
      </w:r>
      <w:r w:rsidR="00D1113E">
        <w:rPr>
          <w:rFonts w:ascii="仿宋_GB2312" w:eastAsia="仿宋_GB2312" w:hint="eastAsia"/>
          <w:sz w:val="28"/>
          <w:szCs w:val="28"/>
        </w:rPr>
        <w:t>2</w:t>
      </w:r>
      <w:r w:rsidR="00D1113E">
        <w:rPr>
          <w:rFonts w:ascii="仿宋_GB2312" w:eastAsia="仿宋_GB2312"/>
          <w:sz w:val="28"/>
          <w:szCs w:val="28"/>
        </w:rPr>
        <w:t>024</w:t>
      </w:r>
      <w:r w:rsidRPr="00F56123">
        <w:rPr>
          <w:rFonts w:ascii="仿宋_GB2312" w:eastAsia="仿宋_GB2312" w:hint="eastAsia"/>
          <w:sz w:val="28"/>
          <w:szCs w:val="28"/>
        </w:rPr>
        <w:t>年</w:t>
      </w:r>
      <w:r w:rsidR="00D1113E">
        <w:rPr>
          <w:rFonts w:ascii="仿宋_GB2312" w:eastAsia="仿宋_GB2312" w:hint="eastAsia"/>
          <w:sz w:val="28"/>
          <w:szCs w:val="28"/>
        </w:rPr>
        <w:t>1</w:t>
      </w:r>
      <w:r w:rsidRPr="00F56123">
        <w:rPr>
          <w:rFonts w:ascii="仿宋_GB2312" w:eastAsia="仿宋_GB2312" w:hint="eastAsia"/>
          <w:sz w:val="28"/>
          <w:szCs w:val="28"/>
        </w:rPr>
        <w:t>月</w:t>
      </w:r>
      <w:r w:rsidR="00691C41">
        <w:rPr>
          <w:rFonts w:ascii="仿宋_GB2312" w:eastAsia="仿宋_GB2312" w:hint="eastAsia"/>
          <w:sz w:val="28"/>
          <w:szCs w:val="28"/>
        </w:rPr>
        <w:t>8</w:t>
      </w:r>
      <w:r w:rsidRPr="00F56123">
        <w:rPr>
          <w:rFonts w:ascii="仿宋_GB2312" w:eastAsia="仿宋_GB2312" w:hint="eastAsia"/>
          <w:sz w:val="28"/>
          <w:szCs w:val="28"/>
        </w:rPr>
        <w:t>日起，本公司指定下列流动性服务商为相关证券投资基金的主流动性服务商：</w:t>
      </w:r>
    </w:p>
    <w:p w:rsidR="00D97508" w:rsidRPr="00D97508" w:rsidRDefault="00ED6680" w:rsidP="00D97508">
      <w:pPr>
        <w:ind w:firstLine="420"/>
        <w:rPr>
          <w:rFonts w:ascii="仿宋_GB2312" w:eastAsia="仿宋_GB2312"/>
          <w:sz w:val="28"/>
          <w:szCs w:val="28"/>
        </w:rPr>
      </w:pPr>
      <w:bookmarkStart w:id="0" w:name="_GoBack"/>
      <w:r>
        <w:rPr>
          <w:rFonts w:ascii="仿宋_GB2312" w:eastAsia="仿宋_GB2312" w:hint="eastAsia"/>
          <w:sz w:val="28"/>
          <w:szCs w:val="28"/>
        </w:rPr>
        <w:t>1</w:t>
      </w:r>
      <w:r w:rsidR="00D97508" w:rsidRPr="00D97508">
        <w:rPr>
          <w:rFonts w:ascii="仿宋_GB2312" w:eastAsia="仿宋_GB2312" w:hint="eastAsia"/>
          <w:sz w:val="28"/>
          <w:szCs w:val="28"/>
        </w:rPr>
        <w:t>、南方创业板交易型开放式指数证券投资基金（159948）：</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中信证券股份有限公司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华泰证券股份有限公司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2</w:t>
      </w:r>
      <w:r w:rsidR="00D97508" w:rsidRPr="00D97508">
        <w:rPr>
          <w:rFonts w:ascii="仿宋_GB2312" w:eastAsia="仿宋_GB2312" w:hint="eastAsia"/>
          <w:sz w:val="28"/>
          <w:szCs w:val="28"/>
        </w:rPr>
        <w:t>、南方中证科创创业50交易型开放式指数证券投资基金（159780）：</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3</w:t>
      </w:r>
      <w:r w:rsidR="00D97508" w:rsidRPr="00D97508">
        <w:rPr>
          <w:rFonts w:ascii="仿宋_GB2312" w:eastAsia="仿宋_GB2312" w:hint="eastAsia"/>
          <w:sz w:val="28"/>
          <w:szCs w:val="28"/>
        </w:rPr>
        <w:t>、南方中证主要消费交易型开放式指数证券投资基金（159689）：</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4</w:t>
      </w:r>
      <w:r w:rsidR="00D97508" w:rsidRPr="00D97508">
        <w:rPr>
          <w:rFonts w:ascii="仿宋_GB2312" w:eastAsia="仿宋_GB2312" w:hint="eastAsia"/>
          <w:sz w:val="28"/>
          <w:szCs w:val="28"/>
        </w:rPr>
        <w:t>、南方中证上海环交所碳中和交易型开放式指数证券投资基金（159639）：</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5</w:t>
      </w:r>
      <w:r w:rsidR="00D97508" w:rsidRPr="00D97508">
        <w:rPr>
          <w:rFonts w:ascii="仿宋_GB2312" w:eastAsia="仿宋_GB2312" w:hint="eastAsia"/>
          <w:sz w:val="28"/>
          <w:szCs w:val="28"/>
        </w:rPr>
        <w:t>、南方基金南方东英银河联昌富时亚太低碳精选交易型开放式指数证券投资基金(QDII)（159687）：</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6</w:t>
      </w:r>
      <w:r w:rsidR="00D97508" w:rsidRPr="00D97508">
        <w:rPr>
          <w:rFonts w:ascii="仿宋_GB2312" w:eastAsia="仿宋_GB2312" w:hint="eastAsia"/>
          <w:sz w:val="28"/>
          <w:szCs w:val="28"/>
        </w:rPr>
        <w:t>、南方国证交通运输行业交易型开放式指数证券投资基金（159662）：</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lastRenderedPageBreak/>
        <w:t xml:space="preserve">  中信证券股份有限公司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海通证券股份有限公司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7</w:t>
      </w:r>
      <w:r w:rsidR="00D97508" w:rsidRPr="00D97508">
        <w:rPr>
          <w:rFonts w:ascii="仿宋_GB2312" w:eastAsia="仿宋_GB2312" w:hint="eastAsia"/>
          <w:sz w:val="28"/>
          <w:szCs w:val="28"/>
        </w:rPr>
        <w:t>、南方MSCI中国A50互联互通交易型开放式指数证券投资基金（159602）：</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中信证券股份有限公司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8</w:t>
      </w:r>
      <w:r w:rsidR="00D97508" w:rsidRPr="00D97508">
        <w:rPr>
          <w:rFonts w:ascii="仿宋_GB2312" w:eastAsia="仿宋_GB2312" w:hint="eastAsia"/>
          <w:sz w:val="28"/>
          <w:szCs w:val="28"/>
        </w:rPr>
        <w:t>、南方中证2000交易型开放式指数证券投资基金（159531）：</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华泰证券股份有限公司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9</w:t>
      </w:r>
      <w:r w:rsidR="00D97508" w:rsidRPr="00D97508">
        <w:rPr>
          <w:rFonts w:ascii="仿宋_GB2312" w:eastAsia="仿宋_GB2312" w:hint="eastAsia"/>
          <w:sz w:val="28"/>
          <w:szCs w:val="28"/>
        </w:rPr>
        <w:t>、南方中证物联网主题交易型开放式指数证券投资基金（159896）：</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申万宏源证券有限公司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10</w:t>
      </w:r>
      <w:r w:rsidR="00D97508" w:rsidRPr="00D97508">
        <w:rPr>
          <w:rFonts w:ascii="仿宋_GB2312" w:eastAsia="仿宋_GB2312" w:hint="eastAsia"/>
          <w:sz w:val="28"/>
          <w:szCs w:val="28"/>
        </w:rPr>
        <w:t>、深证成份交易型开放式指数证券投资基金（159903）：</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11</w:t>
      </w:r>
      <w:r w:rsidR="00D97508" w:rsidRPr="00D97508">
        <w:rPr>
          <w:rFonts w:ascii="仿宋_GB2312" w:eastAsia="仿宋_GB2312" w:hint="eastAsia"/>
          <w:sz w:val="28"/>
          <w:szCs w:val="28"/>
        </w:rPr>
        <w:t>、南方中证通信服务交易型开放式指数证券投资基金（159511）：</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12</w:t>
      </w:r>
      <w:r w:rsidR="00D97508" w:rsidRPr="00D97508">
        <w:rPr>
          <w:rFonts w:ascii="仿宋_GB2312" w:eastAsia="仿宋_GB2312" w:hint="eastAsia"/>
          <w:sz w:val="28"/>
          <w:szCs w:val="28"/>
        </w:rPr>
        <w:t>、南方中证全指医疗保健设备与服务交易型开放式指数证券投资基金（159877）：</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13</w:t>
      </w:r>
      <w:r w:rsidR="00D97508" w:rsidRPr="00D97508">
        <w:rPr>
          <w:rFonts w:ascii="仿宋_GB2312" w:eastAsia="仿宋_GB2312" w:hint="eastAsia"/>
          <w:sz w:val="28"/>
          <w:szCs w:val="28"/>
        </w:rPr>
        <w:t>、南方上海金交易型开放式证券投资基金（159834）：</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中信证券股份有限公司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中国银河证券股份有限公司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lastRenderedPageBreak/>
        <w:t>14</w:t>
      </w:r>
      <w:r w:rsidR="00D97508" w:rsidRPr="00D97508">
        <w:rPr>
          <w:rFonts w:ascii="仿宋_GB2312" w:eastAsia="仿宋_GB2312" w:hint="eastAsia"/>
          <w:sz w:val="28"/>
          <w:szCs w:val="28"/>
        </w:rPr>
        <w:t>、南方沪深300交易型开放式指数证券投资基金（159925）：</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15</w:t>
      </w:r>
      <w:r w:rsidR="00D97508" w:rsidRPr="00D97508">
        <w:rPr>
          <w:rFonts w:ascii="仿宋_GB2312" w:eastAsia="仿宋_GB2312" w:hint="eastAsia"/>
          <w:sz w:val="28"/>
          <w:szCs w:val="28"/>
        </w:rPr>
        <w:t>、南方恒生中国企业交易型开放式指数证券投资基金（159954）：</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中信证券股份有限公司</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D97508" w:rsidRPr="00D97508" w:rsidRDefault="00ED6680" w:rsidP="00D97508">
      <w:pPr>
        <w:ind w:firstLine="420"/>
        <w:rPr>
          <w:rFonts w:ascii="仿宋_GB2312" w:eastAsia="仿宋_GB2312"/>
          <w:sz w:val="28"/>
          <w:szCs w:val="28"/>
        </w:rPr>
      </w:pPr>
      <w:r>
        <w:rPr>
          <w:rFonts w:ascii="仿宋_GB2312" w:eastAsia="仿宋_GB2312" w:hint="eastAsia"/>
          <w:sz w:val="28"/>
          <w:szCs w:val="28"/>
        </w:rPr>
        <w:t>16</w:t>
      </w:r>
      <w:r w:rsidR="00D97508" w:rsidRPr="00D97508">
        <w:rPr>
          <w:rFonts w:ascii="仿宋_GB2312" w:eastAsia="仿宋_GB2312" w:hint="eastAsia"/>
          <w:sz w:val="28"/>
          <w:szCs w:val="28"/>
        </w:rPr>
        <w:t>、南方中证创新药产业交易型开放式指数证券投资基金（159858）：</w:t>
      </w:r>
    </w:p>
    <w:p w:rsidR="00D97508" w:rsidRPr="00D97508"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广发证券股份有限公司</w:t>
      </w:r>
    </w:p>
    <w:p w:rsidR="000D3DD5" w:rsidRPr="00F56123" w:rsidRDefault="00D97508" w:rsidP="00D97508">
      <w:pPr>
        <w:ind w:firstLine="420"/>
        <w:rPr>
          <w:rFonts w:ascii="仿宋_GB2312" w:eastAsia="仿宋_GB2312"/>
          <w:sz w:val="28"/>
          <w:szCs w:val="28"/>
        </w:rPr>
      </w:pPr>
      <w:r w:rsidRPr="00D97508">
        <w:rPr>
          <w:rFonts w:ascii="仿宋_GB2312" w:eastAsia="仿宋_GB2312" w:hint="eastAsia"/>
          <w:sz w:val="28"/>
          <w:szCs w:val="28"/>
        </w:rPr>
        <w:t xml:space="preserve">  方正证券股份有限公司</w:t>
      </w:r>
    </w:p>
    <w:bookmarkEnd w:id="0"/>
    <w:p w:rsidR="000D3DD5" w:rsidRPr="00F56123" w:rsidRDefault="000D3DD5" w:rsidP="00F56123">
      <w:pPr>
        <w:ind w:firstLine="420"/>
        <w:rPr>
          <w:rFonts w:ascii="仿宋_GB2312" w:eastAsia="仿宋_GB2312"/>
          <w:sz w:val="28"/>
          <w:szCs w:val="28"/>
        </w:rPr>
      </w:pPr>
    </w:p>
    <w:p w:rsidR="000D3DD5" w:rsidRPr="00F56123" w:rsidRDefault="000B645F" w:rsidP="00F56123">
      <w:pPr>
        <w:ind w:firstLine="420"/>
        <w:rPr>
          <w:rFonts w:ascii="仿宋_GB2312" w:eastAsia="仿宋_GB2312"/>
          <w:sz w:val="28"/>
          <w:szCs w:val="28"/>
        </w:rPr>
      </w:pPr>
      <w:r w:rsidRPr="00F56123">
        <w:rPr>
          <w:rFonts w:ascii="仿宋_GB2312" w:eastAsia="仿宋_GB2312" w:hint="eastAsia"/>
          <w:sz w:val="28"/>
          <w:szCs w:val="28"/>
        </w:rPr>
        <w:t>特此公告。</w:t>
      </w:r>
    </w:p>
    <w:p w:rsidR="000D3DD5" w:rsidRPr="00F56123" w:rsidRDefault="000B645F" w:rsidP="00F56123">
      <w:pPr>
        <w:ind w:firstLine="420"/>
        <w:rPr>
          <w:rFonts w:ascii="仿宋_GB2312" w:eastAsia="仿宋_GB2312"/>
          <w:sz w:val="28"/>
          <w:szCs w:val="28"/>
        </w:rPr>
      </w:pPr>
      <w:r w:rsidRPr="00F56123">
        <w:rPr>
          <w:rFonts w:ascii="仿宋_GB2312" w:eastAsia="仿宋_GB2312" w:hint="eastAsia"/>
          <w:sz w:val="28"/>
          <w:szCs w:val="28"/>
        </w:rPr>
        <w:t xml:space="preserve"> </w:t>
      </w:r>
    </w:p>
    <w:p w:rsidR="00515BA4" w:rsidRPr="005A66F2" w:rsidRDefault="00515BA4" w:rsidP="00515BA4">
      <w:pPr>
        <w:ind w:firstLine="420"/>
        <w:jc w:val="right"/>
        <w:rPr>
          <w:rFonts w:ascii="仿宋_GB2312" w:eastAsia="仿宋_GB2312"/>
          <w:sz w:val="28"/>
          <w:szCs w:val="28"/>
        </w:rPr>
      </w:pPr>
      <w:r>
        <w:rPr>
          <w:rFonts w:ascii="仿宋_GB2312" w:eastAsia="仿宋_GB2312" w:hint="eastAsia"/>
          <w:kern w:val="0"/>
          <w:sz w:val="28"/>
          <w:szCs w:val="28"/>
        </w:rPr>
        <w:t>南方基金管理股份有限公司</w:t>
      </w:r>
    </w:p>
    <w:p w:rsidR="000D3DD5" w:rsidRPr="00F56123" w:rsidRDefault="002E54CB" w:rsidP="00F56123">
      <w:pPr>
        <w:ind w:firstLine="420"/>
        <w:jc w:val="right"/>
        <w:rPr>
          <w:rFonts w:ascii="仿宋_GB2312" w:eastAsia="仿宋_GB2312"/>
          <w:sz w:val="28"/>
          <w:szCs w:val="28"/>
        </w:rPr>
      </w:pPr>
      <w:r>
        <w:rPr>
          <w:rFonts w:ascii="仿宋_GB2312" w:eastAsia="仿宋_GB2312"/>
          <w:sz w:val="28"/>
          <w:szCs w:val="28"/>
        </w:rPr>
        <w:t>2024</w:t>
      </w:r>
      <w:r w:rsidR="000B645F" w:rsidRPr="00F56123">
        <w:rPr>
          <w:rFonts w:ascii="仿宋_GB2312" w:eastAsia="仿宋_GB2312" w:hint="eastAsia"/>
          <w:sz w:val="28"/>
          <w:szCs w:val="28"/>
        </w:rPr>
        <w:t>年</w:t>
      </w:r>
      <w:r>
        <w:rPr>
          <w:rFonts w:ascii="仿宋_GB2312" w:eastAsia="仿宋_GB2312"/>
          <w:sz w:val="28"/>
          <w:szCs w:val="28"/>
        </w:rPr>
        <w:t>1</w:t>
      </w:r>
      <w:r w:rsidR="000B645F" w:rsidRPr="00F56123">
        <w:rPr>
          <w:rFonts w:ascii="仿宋_GB2312" w:eastAsia="仿宋_GB2312" w:hint="eastAsia"/>
          <w:sz w:val="28"/>
          <w:szCs w:val="28"/>
        </w:rPr>
        <w:t>月</w:t>
      </w:r>
      <w:r w:rsidR="003051B9">
        <w:rPr>
          <w:rFonts w:ascii="仿宋_GB2312" w:eastAsia="仿宋_GB2312" w:hint="eastAsia"/>
          <w:sz w:val="28"/>
          <w:szCs w:val="28"/>
        </w:rPr>
        <w:t>5</w:t>
      </w:r>
      <w:r w:rsidR="000B645F" w:rsidRPr="00F56123">
        <w:rPr>
          <w:rFonts w:ascii="仿宋_GB2312" w:eastAsia="仿宋_GB2312" w:hint="eastAsia"/>
          <w:sz w:val="28"/>
          <w:szCs w:val="28"/>
        </w:rPr>
        <w:t>日</w:t>
      </w:r>
    </w:p>
    <w:p w:rsidR="000D3DD5" w:rsidRDefault="000D3DD5" w:rsidP="00F56123"/>
    <w:sectPr w:rsidR="000D3DD5" w:rsidSect="00886D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DAF" w:rsidRDefault="00F34DAF" w:rsidP="00F56123">
      <w:r>
        <w:separator/>
      </w:r>
    </w:p>
  </w:endnote>
  <w:endnote w:type="continuationSeparator" w:id="0">
    <w:p w:rsidR="00F34DAF" w:rsidRDefault="00F34DAF" w:rsidP="00F561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DAF" w:rsidRDefault="00F34DAF" w:rsidP="00F56123">
      <w:r>
        <w:separator/>
      </w:r>
    </w:p>
  </w:footnote>
  <w:footnote w:type="continuationSeparator" w:id="0">
    <w:p w:rsidR="00F34DAF" w:rsidRDefault="00F34DAF" w:rsidP="00F56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DD5"/>
    <w:rsid w:val="00052FD8"/>
    <w:rsid w:val="000846A0"/>
    <w:rsid w:val="000B645F"/>
    <w:rsid w:val="000D3DD5"/>
    <w:rsid w:val="00243D30"/>
    <w:rsid w:val="002E54CB"/>
    <w:rsid w:val="003051B9"/>
    <w:rsid w:val="004A77B2"/>
    <w:rsid w:val="00515BA4"/>
    <w:rsid w:val="00640EC2"/>
    <w:rsid w:val="00691C41"/>
    <w:rsid w:val="006C1F4E"/>
    <w:rsid w:val="007E2973"/>
    <w:rsid w:val="00886DFA"/>
    <w:rsid w:val="00BA5899"/>
    <w:rsid w:val="00BC4E65"/>
    <w:rsid w:val="00CC02F6"/>
    <w:rsid w:val="00D1113E"/>
    <w:rsid w:val="00D97508"/>
    <w:rsid w:val="00E74109"/>
    <w:rsid w:val="00ED6680"/>
    <w:rsid w:val="00F34DAF"/>
    <w:rsid w:val="00F56123"/>
    <w:rsid w:val="00F85614"/>
    <w:rsid w:val="00FD4ECF"/>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DFA"/>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886DFA"/>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886DFA"/>
    <w:pPr>
      <w:numPr>
        <w:numId w:val="1"/>
      </w:numPr>
    </w:pPr>
    <w:rPr>
      <w:rFonts w:asciiTheme="minorHAnsi" w:hAnsiTheme="minorHAnsi"/>
      <w:sz w:val="24"/>
    </w:rPr>
  </w:style>
  <w:style w:type="paragraph" w:styleId="a3">
    <w:name w:val="header"/>
    <w:basedOn w:val="a"/>
    <w:link w:val="Char"/>
    <w:rsid w:val="00F56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6123"/>
    <w:rPr>
      <w:rFonts w:ascii="Times New Roman" w:eastAsia="宋体" w:hAnsi="Times New Roman" w:cs="Times New Roman"/>
      <w:kern w:val="2"/>
      <w:sz w:val="18"/>
      <w:szCs w:val="18"/>
    </w:rPr>
  </w:style>
  <w:style w:type="paragraph" w:styleId="a4">
    <w:name w:val="footer"/>
    <w:basedOn w:val="a"/>
    <w:link w:val="Char0"/>
    <w:rsid w:val="00F56123"/>
    <w:pPr>
      <w:tabs>
        <w:tab w:val="center" w:pos="4153"/>
        <w:tab w:val="right" w:pos="8306"/>
      </w:tabs>
      <w:snapToGrid w:val="0"/>
      <w:jc w:val="left"/>
    </w:pPr>
    <w:rPr>
      <w:sz w:val="18"/>
      <w:szCs w:val="18"/>
    </w:rPr>
  </w:style>
  <w:style w:type="character" w:customStyle="1" w:styleId="Char0">
    <w:name w:val="页脚 Char"/>
    <w:basedOn w:val="a0"/>
    <w:link w:val="a4"/>
    <w:rsid w:val="00F5612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910</Characters>
  <Application>Microsoft Office Word</Application>
  <DocSecurity>4</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2024-01-04T16:00:00Z</dcterms:created>
  <dcterms:modified xsi:type="dcterms:W3CDTF">2024-01-04T16:00:00Z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