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A32" w:rsidRDefault="00FC0D06">
      <w:pPr>
        <w:pStyle w:val="div"/>
        <w:wordWrap w:val="0"/>
        <w:spacing w:line="360" w:lineRule="auto"/>
        <w:ind w:firstLine="480"/>
        <w:jc w:val="center"/>
        <w:rPr>
          <w:rFonts w:eastAsia="Times New Roman"/>
          <w:kern w:val="0"/>
          <w:sz w:val="24"/>
          <w:szCs w:val="24"/>
        </w:rPr>
      </w:pPr>
      <w:r>
        <w:rPr>
          <w:rFonts w:ascii="SimSun" w:eastAsia="SimSun" w:hAnsi="SimSun" w:cs="SimSun"/>
          <w:b/>
          <w:bCs/>
          <w:kern w:val="0"/>
          <w:sz w:val="24"/>
          <w:szCs w:val="24"/>
        </w:rPr>
        <w:t>大成基金管理有限公司关于旗下部分基金</w:t>
      </w:r>
      <w:r>
        <w:rPr>
          <w:rFonts w:ascii="SimSun" w:eastAsia="SimSun" w:hAnsi="SimSun" w:cs="SimSun"/>
          <w:b/>
          <w:bCs/>
          <w:kern w:val="0"/>
          <w:sz w:val="24"/>
          <w:szCs w:val="24"/>
        </w:rPr>
        <w:t>2024</w:t>
      </w:r>
      <w:r>
        <w:rPr>
          <w:rFonts w:ascii="SimSun" w:eastAsia="SimSun" w:hAnsi="SimSun" w:cs="SimSun"/>
          <w:b/>
          <w:bCs/>
          <w:kern w:val="0"/>
          <w:sz w:val="24"/>
          <w:szCs w:val="24"/>
        </w:rPr>
        <w:t>年境外（地区）主要市场节假日暂停申购赎回安排的公告</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为了保障基金平稳运作、维护基金份额持有人利益，根据基金合同、招募说明书等相关法律文件的规定，大成基金管理有限公司（以下简称</w:t>
      </w:r>
      <w:r>
        <w:rPr>
          <w:rFonts w:ascii="SimSun" w:eastAsia="SimSun" w:hAnsi="SimSun" w:cs="SimSun"/>
          <w:kern w:val="0"/>
          <w:sz w:val="24"/>
          <w:szCs w:val="24"/>
        </w:rPr>
        <w:t>“</w:t>
      </w:r>
      <w:r>
        <w:rPr>
          <w:rFonts w:ascii="SimSun" w:eastAsia="SimSun" w:hAnsi="SimSun" w:cs="SimSun"/>
          <w:kern w:val="0"/>
          <w:sz w:val="24"/>
          <w:szCs w:val="24"/>
        </w:rPr>
        <w:t>本公司</w:t>
      </w:r>
      <w:r>
        <w:rPr>
          <w:rFonts w:ascii="SimSun" w:eastAsia="SimSun" w:hAnsi="SimSun" w:cs="SimSun"/>
          <w:kern w:val="0"/>
          <w:sz w:val="24"/>
          <w:szCs w:val="24"/>
        </w:rPr>
        <w:t>”</w:t>
      </w:r>
      <w:r>
        <w:rPr>
          <w:rFonts w:ascii="SimSun" w:eastAsia="SimSun" w:hAnsi="SimSun" w:cs="SimSun"/>
          <w:kern w:val="0"/>
          <w:sz w:val="24"/>
          <w:szCs w:val="24"/>
        </w:rPr>
        <w:t>）决定，除上海证券交易所和深圳证券交易所休市外，下述基金在</w:t>
      </w:r>
      <w:r>
        <w:rPr>
          <w:rFonts w:ascii="SimSun" w:eastAsia="SimSun" w:hAnsi="SimSun" w:cs="SimSun"/>
          <w:kern w:val="0"/>
          <w:sz w:val="24"/>
          <w:szCs w:val="24"/>
        </w:rPr>
        <w:t>2024</w:t>
      </w:r>
      <w:r>
        <w:rPr>
          <w:rFonts w:ascii="SimSun" w:eastAsia="SimSun" w:hAnsi="SimSun" w:cs="SimSun"/>
          <w:kern w:val="0"/>
          <w:sz w:val="24"/>
          <w:szCs w:val="24"/>
        </w:rPr>
        <w:t>年境外（地区）主要市场节假日将暂停申购、赎回及定期定额投资等业务，并自下列节假日结束后的首个开放日恢复下述基金的日常申购、赎回及定期定额投资等业务，届时不再另行公告。现将相关事项公告如下：</w:t>
      </w:r>
    </w:p>
    <w:p w:rsidR="00AA7A32" w:rsidRDefault="00AA7A32">
      <w:pPr>
        <w:pStyle w:val="p"/>
        <w:wordWrap w:val="0"/>
        <w:spacing w:line="360" w:lineRule="auto"/>
        <w:ind w:firstLine="480"/>
        <w:jc w:val="left"/>
        <w:rPr>
          <w:rFonts w:eastAsia="Times New Roman"/>
          <w:kern w:val="0"/>
          <w:sz w:val="24"/>
          <w:szCs w:val="24"/>
        </w:rPr>
      </w:pPr>
    </w:p>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b/>
          <w:bCs/>
          <w:kern w:val="0"/>
          <w:sz w:val="24"/>
          <w:szCs w:val="24"/>
        </w:rPr>
        <w:t>一、中国香港地区</w:t>
      </w:r>
    </w:p>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、适用基金范围</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757"/>
        <w:gridCol w:w="6224"/>
        <w:gridCol w:w="1542"/>
      </w:tblGrid>
      <w:tr w:rsidR="00AA7A32">
        <w:trPr>
          <w:trHeight w:val="322"/>
          <w:jc w:val="center"/>
        </w:trPr>
        <w:tc>
          <w:tcPr>
            <w:tcW w:w="773" w:type="dxa"/>
            <w:tcBorders>
              <w:top w:val="single" w:sz="8" w:space="0" w:color="000000"/>
              <w:left w:val="single" w:sz="8" w:space="0" w:color="000000"/>
              <w:bottom w:val="single" w:sz="6" w:space="0" w:color="000000"/>
              <w:right w:val="single" w:sz="6" w:space="0" w:color="000000"/>
            </w:tcBorders>
            <w:tcMar>
              <w:top w:w="58" w:type="dxa"/>
              <w:left w:w="111"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序号</w:t>
            </w:r>
          </w:p>
        </w:tc>
        <w:tc>
          <w:tcPr>
            <w:tcW w:w="6470" w:type="dxa"/>
            <w:tcBorders>
              <w:top w:val="single" w:sz="8" w:space="0" w:color="000000"/>
              <w:left w:val="single" w:sz="6" w:space="0" w:color="000000"/>
              <w:bottom w:val="single" w:sz="6" w:space="0" w:color="000000"/>
              <w:right w:val="single" w:sz="6" w:space="0" w:color="000000"/>
            </w:tcBorders>
            <w:tcMar>
              <w:top w:w="58" w:type="dxa"/>
              <w:left w:w="108"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基金名称</w:t>
            </w:r>
          </w:p>
        </w:tc>
        <w:tc>
          <w:tcPr>
            <w:tcW w:w="1575" w:type="dxa"/>
            <w:tcBorders>
              <w:top w:val="single" w:sz="8" w:space="0" w:color="000000"/>
              <w:left w:val="single" w:sz="6" w:space="0" w:color="000000"/>
              <w:bottom w:val="single" w:sz="6" w:space="0" w:color="000000"/>
              <w:right w:val="single" w:sz="8" w:space="0" w:color="000000"/>
            </w:tcBorders>
            <w:tcMar>
              <w:top w:w="58" w:type="dxa"/>
              <w:left w:w="108" w:type="dxa"/>
              <w:bottom w:w="104"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基金代码</w:t>
            </w:r>
          </w:p>
        </w:tc>
      </w:tr>
      <w:tr w:rsidR="00AA7A32">
        <w:trPr>
          <w:trHeight w:val="322"/>
          <w:jc w:val="center"/>
        </w:trPr>
        <w:tc>
          <w:tcPr>
            <w:tcW w:w="7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1</w:t>
            </w:r>
          </w:p>
        </w:tc>
        <w:tc>
          <w:tcPr>
            <w:tcW w:w="6470" w:type="dxa"/>
            <w:tcBorders>
              <w:top w:val="single" w:sz="6" w:space="0" w:color="000000"/>
              <w:left w:val="single" w:sz="6" w:space="0" w:color="000000"/>
              <w:bottom w:val="single" w:sz="6" w:space="0" w:color="000000"/>
              <w:right w:val="single" w:sz="6" w:space="0" w:color="000000"/>
            </w:tcBorders>
            <w:tcMar>
              <w:top w:w="56" w:type="dxa"/>
              <w:left w:w="108"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大成恒生科技交易型开放式指数证券投资基金发起式联接基金</w:t>
            </w:r>
          </w:p>
        </w:tc>
        <w:tc>
          <w:tcPr>
            <w:tcW w:w="1575"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012979</w:t>
            </w:r>
          </w:p>
        </w:tc>
      </w:tr>
      <w:tr w:rsidR="00AA7A32">
        <w:trPr>
          <w:trHeight w:val="322"/>
          <w:jc w:val="center"/>
        </w:trPr>
        <w:tc>
          <w:tcPr>
            <w:tcW w:w="7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w:t>
            </w:r>
          </w:p>
        </w:tc>
        <w:tc>
          <w:tcPr>
            <w:tcW w:w="6470" w:type="dxa"/>
            <w:tcBorders>
              <w:top w:val="single" w:sz="6" w:space="0" w:color="000000"/>
              <w:left w:val="single" w:sz="6" w:space="0" w:color="000000"/>
              <w:bottom w:val="single" w:sz="6" w:space="0" w:color="000000"/>
              <w:right w:val="single" w:sz="6" w:space="0" w:color="000000"/>
            </w:tcBorders>
            <w:tcMar>
              <w:top w:w="56" w:type="dxa"/>
              <w:left w:w="108"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大成港股精选混合型证券投资基金</w:t>
            </w:r>
            <w:r>
              <w:rPr>
                <w:rFonts w:ascii="SimSun" w:eastAsia="SimSun" w:hAnsi="SimSun" w:cs="SimSun"/>
                <w:color w:val="000000"/>
                <w:kern w:val="0"/>
                <w:szCs w:val="21"/>
              </w:rPr>
              <w:t>(QDII)</w:t>
            </w:r>
          </w:p>
        </w:tc>
        <w:tc>
          <w:tcPr>
            <w:tcW w:w="1575"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011583</w:t>
            </w:r>
          </w:p>
        </w:tc>
      </w:tr>
      <w:tr w:rsidR="00AA7A32">
        <w:trPr>
          <w:trHeight w:val="322"/>
          <w:jc w:val="center"/>
        </w:trPr>
        <w:tc>
          <w:tcPr>
            <w:tcW w:w="7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3</w:t>
            </w:r>
          </w:p>
        </w:tc>
        <w:tc>
          <w:tcPr>
            <w:tcW w:w="6470" w:type="dxa"/>
            <w:tcBorders>
              <w:top w:val="single" w:sz="6" w:space="0" w:color="000000"/>
              <w:left w:val="single" w:sz="6" w:space="0" w:color="000000"/>
              <w:bottom w:val="single" w:sz="6" w:space="0" w:color="000000"/>
              <w:right w:val="single" w:sz="6" w:space="0" w:color="000000"/>
            </w:tcBorders>
            <w:tcMar>
              <w:top w:w="56" w:type="dxa"/>
              <w:left w:w="108"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大成中国优势混合型证券投资基金</w:t>
            </w:r>
            <w:r>
              <w:rPr>
                <w:rFonts w:ascii="SimSun" w:eastAsia="SimSun" w:hAnsi="SimSun" w:cs="SimSun"/>
                <w:color w:val="000000"/>
                <w:kern w:val="0"/>
                <w:szCs w:val="21"/>
              </w:rPr>
              <w:t xml:space="preserve"> </w:t>
            </w:r>
            <w:r>
              <w:rPr>
                <w:rFonts w:ascii="SimSun" w:eastAsia="SimSun" w:hAnsi="SimSun" w:cs="SimSun"/>
                <w:color w:val="000000"/>
                <w:kern w:val="0"/>
                <w:szCs w:val="21"/>
              </w:rPr>
              <w:t>（</w:t>
            </w:r>
            <w:r>
              <w:rPr>
                <w:rFonts w:ascii="SimSun" w:eastAsia="SimSun" w:hAnsi="SimSun" w:cs="SimSun"/>
                <w:color w:val="000000"/>
                <w:kern w:val="0"/>
                <w:szCs w:val="21"/>
              </w:rPr>
              <w:t>QDII</w:t>
            </w:r>
            <w:r>
              <w:rPr>
                <w:rFonts w:ascii="SimSun" w:eastAsia="SimSun" w:hAnsi="SimSun" w:cs="SimSun"/>
                <w:color w:val="000000"/>
                <w:kern w:val="0"/>
                <w:szCs w:val="21"/>
              </w:rPr>
              <w:t>）</w:t>
            </w:r>
          </w:p>
        </w:tc>
        <w:tc>
          <w:tcPr>
            <w:tcW w:w="1575"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013363</w:t>
            </w:r>
          </w:p>
        </w:tc>
      </w:tr>
      <w:tr w:rsidR="00AA7A32">
        <w:trPr>
          <w:trHeight w:val="322"/>
          <w:jc w:val="center"/>
        </w:trPr>
        <w:tc>
          <w:tcPr>
            <w:tcW w:w="773" w:type="dxa"/>
            <w:tcBorders>
              <w:top w:val="single" w:sz="6" w:space="0" w:color="000000"/>
              <w:left w:val="single" w:sz="8" w:space="0" w:color="000000"/>
              <w:bottom w:val="single" w:sz="8" w:space="0" w:color="000000"/>
              <w:right w:val="single" w:sz="6" w:space="0" w:color="000000"/>
            </w:tcBorders>
            <w:tcMar>
              <w:top w:w="56" w:type="dxa"/>
              <w:left w:w="111" w:type="dxa"/>
              <w:bottom w:w="106"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4</w:t>
            </w:r>
          </w:p>
        </w:tc>
        <w:tc>
          <w:tcPr>
            <w:tcW w:w="6470" w:type="dxa"/>
            <w:tcBorders>
              <w:top w:val="single" w:sz="6" w:space="0" w:color="000000"/>
              <w:left w:val="single" w:sz="6" w:space="0" w:color="000000"/>
              <w:bottom w:val="single" w:sz="8" w:space="0" w:color="000000"/>
              <w:right w:val="single" w:sz="6" w:space="0" w:color="000000"/>
            </w:tcBorders>
            <w:tcMar>
              <w:top w:w="56" w:type="dxa"/>
              <w:left w:w="108" w:type="dxa"/>
              <w:bottom w:w="106"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大成全球美元债债券型证券投资基金（</w:t>
            </w:r>
            <w:r>
              <w:rPr>
                <w:rFonts w:ascii="SimSun" w:eastAsia="SimSun" w:hAnsi="SimSun" w:cs="SimSun"/>
                <w:color w:val="000000"/>
                <w:kern w:val="0"/>
                <w:szCs w:val="21"/>
              </w:rPr>
              <w:t>QDII</w:t>
            </w:r>
            <w:r>
              <w:rPr>
                <w:rFonts w:ascii="SimSun" w:eastAsia="SimSun" w:hAnsi="SimSun" w:cs="SimSun"/>
                <w:color w:val="000000"/>
                <w:kern w:val="0"/>
                <w:szCs w:val="21"/>
              </w:rPr>
              <w:t>）</w:t>
            </w:r>
          </w:p>
        </w:tc>
        <w:tc>
          <w:tcPr>
            <w:tcW w:w="1575" w:type="dxa"/>
            <w:tcBorders>
              <w:top w:val="single" w:sz="6" w:space="0" w:color="000000"/>
              <w:left w:val="single" w:sz="6" w:space="0" w:color="000000"/>
              <w:bottom w:val="single" w:sz="8" w:space="0" w:color="000000"/>
              <w:right w:val="single" w:sz="8" w:space="0" w:color="000000"/>
            </w:tcBorders>
            <w:tcMar>
              <w:top w:w="56" w:type="dxa"/>
              <w:left w:w="108" w:type="dxa"/>
              <w:bottom w:w="106"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008751</w:t>
            </w:r>
          </w:p>
        </w:tc>
      </w:tr>
    </w:tbl>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kern w:val="0"/>
          <w:sz w:val="24"/>
          <w:szCs w:val="24"/>
        </w:rPr>
        <w:t>注：上述基金仅列示基金主代码</w:t>
      </w:r>
    </w:p>
    <w:p w:rsidR="00AA7A32" w:rsidRDefault="00AA7A32">
      <w:pPr>
        <w:pStyle w:val="p"/>
        <w:wordWrap w:val="0"/>
        <w:spacing w:line="360" w:lineRule="auto"/>
        <w:ind w:firstLine="480"/>
        <w:jc w:val="left"/>
        <w:rPr>
          <w:rFonts w:eastAsia="Times New Roman"/>
          <w:kern w:val="0"/>
          <w:sz w:val="24"/>
          <w:szCs w:val="24"/>
        </w:rPr>
      </w:pPr>
    </w:p>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、暂停时间安排</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4024"/>
        <w:gridCol w:w="4511"/>
      </w:tblGrid>
      <w:tr w:rsidR="00AA7A32">
        <w:trPr>
          <w:trHeight w:val="322"/>
          <w:jc w:val="center"/>
        </w:trPr>
        <w:tc>
          <w:tcPr>
            <w:tcW w:w="4047" w:type="dxa"/>
            <w:tcBorders>
              <w:top w:val="single" w:sz="8" w:space="0" w:color="000000"/>
              <w:left w:val="single" w:sz="8" w:space="0" w:color="000000"/>
              <w:bottom w:val="single" w:sz="6" w:space="0" w:color="000000"/>
              <w:right w:val="single" w:sz="6" w:space="0" w:color="000000"/>
            </w:tcBorders>
            <w:tcMar>
              <w:top w:w="58"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日期</w:t>
            </w:r>
          </w:p>
        </w:tc>
        <w:tc>
          <w:tcPr>
            <w:tcW w:w="4539" w:type="dxa"/>
            <w:tcBorders>
              <w:top w:val="single" w:sz="8" w:space="0" w:color="000000"/>
              <w:left w:val="single" w:sz="6" w:space="0" w:color="000000"/>
              <w:bottom w:val="single" w:sz="6" w:space="0" w:color="000000"/>
              <w:right w:val="single" w:sz="8" w:space="0" w:color="000000"/>
            </w:tcBorders>
            <w:tcMar>
              <w:top w:w="58"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事项</w:t>
            </w:r>
          </w:p>
        </w:tc>
      </w:tr>
      <w:tr w:rsidR="00AA7A32">
        <w:trPr>
          <w:trHeight w:val="324"/>
          <w:jc w:val="center"/>
        </w:trPr>
        <w:tc>
          <w:tcPr>
            <w:tcW w:w="4047"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29</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耶稣受难日</w:t>
            </w:r>
          </w:p>
        </w:tc>
      </w:tr>
      <w:tr w:rsidR="00AA7A32">
        <w:trPr>
          <w:trHeight w:val="324"/>
          <w:jc w:val="center"/>
        </w:trPr>
        <w:tc>
          <w:tcPr>
            <w:tcW w:w="4047"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4</w:t>
            </w:r>
            <w:r>
              <w:rPr>
                <w:rFonts w:ascii="SimSun" w:eastAsia="SimSun" w:hAnsi="SimSun" w:cs="SimSun"/>
                <w:color w:val="000000"/>
                <w:kern w:val="0"/>
                <w:szCs w:val="21"/>
              </w:rPr>
              <w:t>月</w:t>
            </w:r>
            <w:r>
              <w:rPr>
                <w:rFonts w:ascii="SimSun" w:eastAsia="SimSun" w:hAnsi="SimSun" w:cs="SimSun"/>
                <w:color w:val="000000"/>
                <w:kern w:val="0"/>
                <w:szCs w:val="21"/>
              </w:rPr>
              <w:t>1</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复活节</w:t>
            </w:r>
          </w:p>
        </w:tc>
      </w:tr>
      <w:tr w:rsidR="00AA7A32">
        <w:trPr>
          <w:trHeight w:val="322"/>
          <w:jc w:val="center"/>
        </w:trPr>
        <w:tc>
          <w:tcPr>
            <w:tcW w:w="4047"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5</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香港佛诞日</w:t>
            </w:r>
          </w:p>
        </w:tc>
      </w:tr>
      <w:tr w:rsidR="00AA7A32">
        <w:trPr>
          <w:trHeight w:val="322"/>
          <w:jc w:val="center"/>
        </w:trPr>
        <w:tc>
          <w:tcPr>
            <w:tcW w:w="4047"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7</w:t>
            </w:r>
            <w:r>
              <w:rPr>
                <w:rFonts w:ascii="SimSun" w:eastAsia="SimSun" w:hAnsi="SimSun" w:cs="SimSun"/>
                <w:color w:val="000000"/>
                <w:kern w:val="0"/>
                <w:szCs w:val="21"/>
              </w:rPr>
              <w:t>月</w:t>
            </w:r>
            <w:r>
              <w:rPr>
                <w:rFonts w:ascii="SimSun" w:eastAsia="SimSun" w:hAnsi="SimSun" w:cs="SimSun"/>
                <w:color w:val="000000"/>
                <w:kern w:val="0"/>
                <w:szCs w:val="21"/>
              </w:rPr>
              <w:t>1</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香港特别行政区成立纪念日</w:t>
            </w:r>
          </w:p>
        </w:tc>
      </w:tr>
      <w:tr w:rsidR="00AA7A32">
        <w:trPr>
          <w:trHeight w:val="322"/>
          <w:jc w:val="center"/>
        </w:trPr>
        <w:tc>
          <w:tcPr>
            <w:tcW w:w="4047"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9</w:t>
            </w:r>
            <w:r>
              <w:rPr>
                <w:rFonts w:ascii="SimSun" w:eastAsia="SimSun" w:hAnsi="SimSun" w:cs="SimSun"/>
                <w:color w:val="000000"/>
                <w:kern w:val="0"/>
                <w:szCs w:val="21"/>
              </w:rPr>
              <w:t>月</w:t>
            </w:r>
            <w:r>
              <w:rPr>
                <w:rFonts w:ascii="SimSun" w:eastAsia="SimSun" w:hAnsi="SimSun" w:cs="SimSun"/>
                <w:color w:val="000000"/>
                <w:kern w:val="0"/>
                <w:szCs w:val="21"/>
              </w:rPr>
              <w:t>18</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中秋节</w:t>
            </w:r>
          </w:p>
        </w:tc>
      </w:tr>
      <w:tr w:rsidR="00AA7A32">
        <w:trPr>
          <w:trHeight w:val="322"/>
          <w:jc w:val="center"/>
        </w:trPr>
        <w:tc>
          <w:tcPr>
            <w:tcW w:w="4047"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10</w:t>
            </w:r>
            <w:r>
              <w:rPr>
                <w:rFonts w:ascii="SimSun" w:eastAsia="SimSun" w:hAnsi="SimSun" w:cs="SimSun"/>
                <w:color w:val="000000"/>
                <w:kern w:val="0"/>
                <w:szCs w:val="21"/>
              </w:rPr>
              <w:t>月</w:t>
            </w:r>
            <w:r>
              <w:rPr>
                <w:rFonts w:ascii="SimSun" w:eastAsia="SimSun" w:hAnsi="SimSun" w:cs="SimSun"/>
                <w:color w:val="000000"/>
                <w:kern w:val="0"/>
                <w:szCs w:val="21"/>
              </w:rPr>
              <w:t>11</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重阳节</w:t>
            </w:r>
          </w:p>
        </w:tc>
      </w:tr>
      <w:tr w:rsidR="00AA7A32">
        <w:trPr>
          <w:trHeight w:val="324"/>
          <w:jc w:val="center"/>
        </w:trPr>
        <w:tc>
          <w:tcPr>
            <w:tcW w:w="4047" w:type="dxa"/>
            <w:tcBorders>
              <w:top w:val="single" w:sz="6" w:space="0" w:color="000000"/>
              <w:left w:val="single" w:sz="8" w:space="0" w:color="000000"/>
              <w:bottom w:val="single" w:sz="8" w:space="0" w:color="000000"/>
              <w:right w:val="single" w:sz="6" w:space="0" w:color="000000"/>
            </w:tcBorders>
            <w:tcMar>
              <w:top w:w="56" w:type="dxa"/>
              <w:left w:w="111" w:type="dxa"/>
              <w:bottom w:w="106" w:type="dxa"/>
              <w:right w:w="116"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25</w:t>
            </w:r>
            <w:r>
              <w:rPr>
                <w:rFonts w:ascii="SimSun" w:eastAsia="SimSun" w:hAnsi="SimSun" w:cs="SimSun"/>
                <w:color w:val="000000"/>
                <w:kern w:val="0"/>
                <w:szCs w:val="21"/>
              </w:rPr>
              <w:t>日至</w:t>
            </w: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26</w:t>
            </w:r>
            <w:r>
              <w:rPr>
                <w:rFonts w:ascii="SimSun" w:eastAsia="SimSun" w:hAnsi="SimSun" w:cs="SimSun"/>
                <w:color w:val="000000"/>
                <w:kern w:val="0"/>
                <w:szCs w:val="21"/>
              </w:rPr>
              <w:t>日</w:t>
            </w:r>
          </w:p>
        </w:tc>
        <w:tc>
          <w:tcPr>
            <w:tcW w:w="4539" w:type="dxa"/>
            <w:tcBorders>
              <w:top w:val="single" w:sz="6" w:space="0" w:color="000000"/>
              <w:left w:val="single" w:sz="6" w:space="0" w:color="000000"/>
              <w:bottom w:val="single" w:sz="8" w:space="0" w:color="000000"/>
              <w:right w:val="single" w:sz="8" w:space="0" w:color="000000"/>
            </w:tcBorders>
            <w:tcMar>
              <w:top w:w="56" w:type="dxa"/>
              <w:left w:w="108" w:type="dxa"/>
              <w:bottom w:w="106"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香港圣诞节</w:t>
            </w:r>
          </w:p>
        </w:tc>
      </w:tr>
    </w:tbl>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注：</w:t>
      </w:r>
      <w:r>
        <w:rPr>
          <w:rFonts w:ascii="SimSun" w:eastAsia="SimSun" w:hAnsi="SimSun" w:cs="SimSun"/>
          <w:kern w:val="0"/>
          <w:sz w:val="24"/>
          <w:szCs w:val="24"/>
        </w:rPr>
        <w:t>1</w:t>
      </w:r>
      <w:r>
        <w:rPr>
          <w:rFonts w:ascii="SimSun" w:eastAsia="SimSun" w:hAnsi="SimSun" w:cs="SimSun"/>
          <w:kern w:val="0"/>
          <w:sz w:val="24"/>
          <w:szCs w:val="24"/>
        </w:rPr>
        <w:t>、上述日期已剔除和上海证券交易所和深圳证券交易所休市日期重合</w:t>
      </w:r>
      <w:r>
        <w:rPr>
          <w:rFonts w:ascii="SimSun" w:eastAsia="SimSun" w:hAnsi="SimSun" w:cs="SimSun"/>
          <w:kern w:val="0"/>
          <w:sz w:val="24"/>
          <w:szCs w:val="24"/>
        </w:rPr>
        <w:lastRenderedPageBreak/>
        <w:t>的日期。</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、如遇上述基金因其他原因暂停申购、赎回、定投等业务的，具体业务办理以相关公告为准。</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3</w:t>
      </w:r>
      <w:r>
        <w:rPr>
          <w:rFonts w:ascii="SimSun" w:eastAsia="SimSun" w:hAnsi="SimSun" w:cs="SimSun"/>
          <w:kern w:val="0"/>
          <w:sz w:val="24"/>
          <w:szCs w:val="24"/>
        </w:rPr>
        <w:t>、</w:t>
      </w: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12</w:t>
      </w:r>
      <w:r>
        <w:rPr>
          <w:rFonts w:ascii="SimSun" w:eastAsia="SimSun" w:hAnsi="SimSun" w:cs="SimSun"/>
          <w:kern w:val="0"/>
          <w:sz w:val="24"/>
          <w:szCs w:val="24"/>
        </w:rPr>
        <w:t>月</w:t>
      </w:r>
      <w:r>
        <w:rPr>
          <w:rFonts w:ascii="SimSun" w:eastAsia="SimSun" w:hAnsi="SimSun" w:cs="SimSun"/>
          <w:kern w:val="0"/>
          <w:sz w:val="24"/>
          <w:szCs w:val="24"/>
        </w:rPr>
        <w:t>30</w:t>
      </w:r>
      <w:r>
        <w:rPr>
          <w:rFonts w:ascii="SimSun" w:eastAsia="SimSun" w:hAnsi="SimSun" w:cs="SimSun"/>
          <w:kern w:val="0"/>
          <w:sz w:val="24"/>
          <w:szCs w:val="24"/>
        </w:rPr>
        <w:t>日（星期一）至</w:t>
      </w:r>
      <w:r>
        <w:rPr>
          <w:rFonts w:ascii="SimSun" w:eastAsia="SimSun" w:hAnsi="SimSun" w:cs="SimSun"/>
          <w:kern w:val="0"/>
          <w:sz w:val="24"/>
          <w:szCs w:val="24"/>
        </w:rPr>
        <w:t xml:space="preserve">12 </w:t>
      </w:r>
      <w:r>
        <w:rPr>
          <w:rFonts w:ascii="SimSun" w:eastAsia="SimSun" w:hAnsi="SimSun" w:cs="SimSun"/>
          <w:kern w:val="0"/>
          <w:sz w:val="24"/>
          <w:szCs w:val="24"/>
        </w:rPr>
        <w:t>月</w:t>
      </w:r>
      <w:r>
        <w:rPr>
          <w:rFonts w:ascii="SimSun" w:eastAsia="SimSun" w:hAnsi="SimSun" w:cs="SimSun"/>
          <w:kern w:val="0"/>
          <w:sz w:val="24"/>
          <w:szCs w:val="24"/>
        </w:rPr>
        <w:t xml:space="preserve"> 31 </w:t>
      </w:r>
      <w:r>
        <w:rPr>
          <w:rFonts w:ascii="SimSun" w:eastAsia="SimSun" w:hAnsi="SimSun" w:cs="SimSun"/>
          <w:kern w:val="0"/>
          <w:sz w:val="24"/>
          <w:szCs w:val="24"/>
        </w:rPr>
        <w:t>日（星期二）如需暂停申购、赎回等业务的，将根据</w:t>
      </w:r>
      <w:r>
        <w:rPr>
          <w:rFonts w:ascii="SimSun" w:eastAsia="SimSun" w:hAnsi="SimSun" w:cs="SimSun"/>
          <w:kern w:val="0"/>
          <w:sz w:val="24"/>
          <w:szCs w:val="24"/>
        </w:rPr>
        <w:t>2025</w:t>
      </w:r>
      <w:r>
        <w:rPr>
          <w:rFonts w:ascii="SimSun" w:eastAsia="SimSun" w:hAnsi="SimSun" w:cs="SimSun"/>
          <w:kern w:val="0"/>
          <w:sz w:val="24"/>
          <w:szCs w:val="24"/>
        </w:rPr>
        <w:t>年上海及深圳证券交易所的放假情况确定后另行公告。</w:t>
      </w:r>
    </w:p>
    <w:p w:rsidR="00AA7A32" w:rsidRDefault="00AA7A32">
      <w:pPr>
        <w:pStyle w:val="p"/>
        <w:wordWrap w:val="0"/>
        <w:spacing w:line="360" w:lineRule="auto"/>
        <w:ind w:firstLine="480"/>
        <w:jc w:val="left"/>
        <w:rPr>
          <w:rFonts w:eastAsia="Times New Roman"/>
          <w:kern w:val="0"/>
          <w:sz w:val="24"/>
          <w:szCs w:val="24"/>
        </w:rPr>
      </w:pPr>
    </w:p>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b/>
          <w:bCs/>
          <w:kern w:val="0"/>
          <w:sz w:val="24"/>
          <w:szCs w:val="24"/>
        </w:rPr>
        <w:t>二、美国地区</w:t>
      </w:r>
    </w:p>
    <w:p w:rsidR="00AA7A32" w:rsidRDefault="00AA7A32">
      <w:pPr>
        <w:pStyle w:val="p"/>
        <w:wordWrap w:val="0"/>
        <w:spacing w:line="360" w:lineRule="auto"/>
        <w:ind w:firstLine="480"/>
        <w:jc w:val="left"/>
        <w:rPr>
          <w:rFonts w:eastAsia="Times New Roman"/>
          <w:kern w:val="0"/>
          <w:sz w:val="24"/>
          <w:szCs w:val="24"/>
        </w:rPr>
      </w:pPr>
    </w:p>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kern w:val="0"/>
          <w:sz w:val="24"/>
          <w:szCs w:val="24"/>
        </w:rPr>
        <w:t>1</w:t>
      </w:r>
      <w:r>
        <w:rPr>
          <w:rFonts w:ascii="SimSun" w:eastAsia="SimSun" w:hAnsi="SimSun" w:cs="SimSun"/>
          <w:kern w:val="0"/>
          <w:sz w:val="24"/>
          <w:szCs w:val="24"/>
        </w:rPr>
        <w:t>、适用基金范围</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753"/>
        <w:gridCol w:w="6260"/>
        <w:gridCol w:w="1510"/>
      </w:tblGrid>
      <w:tr w:rsidR="00AA7A32">
        <w:trPr>
          <w:trHeight w:val="322"/>
          <w:jc w:val="center"/>
        </w:trPr>
        <w:tc>
          <w:tcPr>
            <w:tcW w:w="773" w:type="dxa"/>
            <w:tcBorders>
              <w:top w:val="single" w:sz="8" w:space="0" w:color="000000"/>
              <w:left w:val="single" w:sz="8" w:space="0" w:color="000000"/>
              <w:bottom w:val="single" w:sz="6" w:space="0" w:color="000000"/>
              <w:right w:val="single" w:sz="6" w:space="0" w:color="000000"/>
            </w:tcBorders>
            <w:tcMar>
              <w:top w:w="58" w:type="dxa"/>
              <w:left w:w="111" w:type="dxa"/>
              <w:bottom w:w="104" w:type="dxa"/>
              <w:right w:w="104" w:type="dxa"/>
            </w:tcMar>
            <w:hideMark/>
          </w:tcPr>
          <w:p w:rsidR="00AA7A32" w:rsidRDefault="00FC0D06">
            <w:pPr>
              <w:pStyle w:val="div"/>
              <w:widowControl/>
              <w:spacing w:line="276" w:lineRule="auto"/>
              <w:rPr>
                <w:rFonts w:eastAsia="Times New Roman"/>
                <w:color w:val="000000"/>
                <w:kern w:val="0"/>
                <w:szCs w:val="21"/>
              </w:rPr>
            </w:pPr>
            <w:r>
              <w:rPr>
                <w:rFonts w:ascii="SimSun" w:eastAsia="SimSun" w:hAnsi="SimSun" w:cs="SimSun"/>
                <w:color w:val="000000"/>
                <w:kern w:val="0"/>
                <w:szCs w:val="21"/>
              </w:rPr>
              <w:t>序号</w:t>
            </w:r>
          </w:p>
        </w:tc>
        <w:tc>
          <w:tcPr>
            <w:tcW w:w="6584" w:type="dxa"/>
            <w:tcBorders>
              <w:top w:val="single" w:sz="8" w:space="0" w:color="000000"/>
              <w:left w:val="single" w:sz="6" w:space="0" w:color="000000"/>
              <w:bottom w:val="single" w:sz="6" w:space="0" w:color="000000"/>
              <w:right w:val="single" w:sz="6" w:space="0" w:color="000000"/>
            </w:tcBorders>
            <w:tcMar>
              <w:top w:w="58" w:type="dxa"/>
              <w:left w:w="108"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基金名称</w:t>
            </w:r>
          </w:p>
        </w:tc>
        <w:tc>
          <w:tcPr>
            <w:tcW w:w="1552" w:type="dxa"/>
            <w:tcBorders>
              <w:top w:val="single" w:sz="8" w:space="0" w:color="000000"/>
              <w:left w:val="single" w:sz="6" w:space="0" w:color="000000"/>
              <w:bottom w:val="single" w:sz="6" w:space="0" w:color="000000"/>
              <w:right w:val="single" w:sz="8" w:space="0" w:color="000000"/>
            </w:tcBorders>
            <w:tcMar>
              <w:top w:w="58" w:type="dxa"/>
              <w:left w:w="108" w:type="dxa"/>
              <w:bottom w:w="104"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基金代码</w:t>
            </w:r>
          </w:p>
        </w:tc>
      </w:tr>
      <w:tr w:rsidR="00AA7A32">
        <w:trPr>
          <w:trHeight w:val="322"/>
          <w:jc w:val="center"/>
        </w:trPr>
        <w:tc>
          <w:tcPr>
            <w:tcW w:w="7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1</w:t>
            </w:r>
          </w:p>
        </w:tc>
        <w:tc>
          <w:tcPr>
            <w:tcW w:w="6584" w:type="dxa"/>
            <w:tcBorders>
              <w:top w:val="single" w:sz="6" w:space="0" w:color="000000"/>
              <w:left w:val="single" w:sz="6" w:space="0" w:color="000000"/>
              <w:bottom w:val="single" w:sz="6" w:space="0" w:color="000000"/>
              <w:right w:val="single" w:sz="6" w:space="0" w:color="000000"/>
            </w:tcBorders>
            <w:tcMar>
              <w:top w:w="56" w:type="dxa"/>
              <w:left w:w="108" w:type="dxa"/>
              <w:bottom w:w="104"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大成纳斯达克</w:t>
            </w:r>
            <w:r>
              <w:rPr>
                <w:rFonts w:ascii="SimSun" w:eastAsia="SimSun" w:hAnsi="SimSun" w:cs="SimSun"/>
                <w:color w:val="000000"/>
                <w:kern w:val="0"/>
                <w:szCs w:val="21"/>
              </w:rPr>
              <w:t>100</w:t>
            </w:r>
            <w:r>
              <w:rPr>
                <w:rFonts w:ascii="SimSun" w:eastAsia="SimSun" w:hAnsi="SimSun" w:cs="SimSun"/>
                <w:color w:val="000000"/>
                <w:kern w:val="0"/>
                <w:szCs w:val="21"/>
              </w:rPr>
              <w:t>交易型开放式指数证券投资基金联接基金（</w:t>
            </w:r>
            <w:r>
              <w:rPr>
                <w:rFonts w:ascii="SimSun" w:eastAsia="SimSun" w:hAnsi="SimSun" w:cs="SimSun"/>
                <w:color w:val="000000"/>
                <w:kern w:val="0"/>
                <w:szCs w:val="21"/>
              </w:rPr>
              <w:t>QDII</w:t>
            </w:r>
            <w:r>
              <w:rPr>
                <w:rFonts w:ascii="SimSun" w:eastAsia="SimSun" w:hAnsi="SimSun" w:cs="SimSun"/>
                <w:color w:val="000000"/>
                <w:kern w:val="0"/>
                <w:szCs w:val="21"/>
              </w:rPr>
              <w:t>）</w:t>
            </w:r>
          </w:p>
        </w:tc>
        <w:tc>
          <w:tcPr>
            <w:tcW w:w="1552"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000834</w:t>
            </w:r>
          </w:p>
        </w:tc>
      </w:tr>
      <w:tr w:rsidR="00AA7A32">
        <w:trPr>
          <w:trHeight w:val="324"/>
          <w:jc w:val="center"/>
        </w:trPr>
        <w:tc>
          <w:tcPr>
            <w:tcW w:w="773" w:type="dxa"/>
            <w:tcBorders>
              <w:top w:val="single" w:sz="6" w:space="0" w:color="000000"/>
              <w:left w:val="single" w:sz="8" w:space="0" w:color="000000"/>
              <w:bottom w:val="single" w:sz="8" w:space="0" w:color="000000"/>
              <w:right w:val="single" w:sz="6" w:space="0" w:color="000000"/>
            </w:tcBorders>
            <w:tcMar>
              <w:top w:w="56" w:type="dxa"/>
              <w:left w:w="111" w:type="dxa"/>
              <w:bottom w:w="106"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w:t>
            </w:r>
          </w:p>
        </w:tc>
        <w:tc>
          <w:tcPr>
            <w:tcW w:w="6584" w:type="dxa"/>
            <w:tcBorders>
              <w:top w:val="single" w:sz="6" w:space="0" w:color="000000"/>
              <w:left w:val="single" w:sz="6" w:space="0" w:color="000000"/>
              <w:bottom w:val="single" w:sz="8" w:space="0" w:color="000000"/>
              <w:right w:val="single" w:sz="6" w:space="0" w:color="000000"/>
            </w:tcBorders>
            <w:tcMar>
              <w:top w:w="56" w:type="dxa"/>
              <w:left w:w="108" w:type="dxa"/>
              <w:bottom w:w="106" w:type="dxa"/>
              <w:right w:w="104"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大成标普</w:t>
            </w:r>
            <w:r>
              <w:rPr>
                <w:rFonts w:ascii="SimSun" w:eastAsia="SimSun" w:hAnsi="SimSun" w:cs="SimSun"/>
                <w:color w:val="000000"/>
                <w:kern w:val="0"/>
                <w:szCs w:val="21"/>
              </w:rPr>
              <w:t>500</w:t>
            </w:r>
            <w:r>
              <w:rPr>
                <w:rFonts w:ascii="SimSun" w:eastAsia="SimSun" w:hAnsi="SimSun" w:cs="SimSun"/>
                <w:color w:val="000000"/>
                <w:kern w:val="0"/>
                <w:szCs w:val="21"/>
              </w:rPr>
              <w:t>等权重指数证券投资基金</w:t>
            </w:r>
          </w:p>
        </w:tc>
        <w:tc>
          <w:tcPr>
            <w:tcW w:w="1552" w:type="dxa"/>
            <w:tcBorders>
              <w:top w:val="single" w:sz="6" w:space="0" w:color="000000"/>
              <w:left w:val="single" w:sz="6" w:space="0" w:color="000000"/>
              <w:bottom w:val="single" w:sz="8" w:space="0" w:color="000000"/>
              <w:right w:val="single" w:sz="8" w:space="0" w:color="000000"/>
            </w:tcBorders>
            <w:tcMar>
              <w:top w:w="56" w:type="dxa"/>
              <w:left w:w="108" w:type="dxa"/>
              <w:bottom w:w="106" w:type="dxa"/>
              <w:right w:w="10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096001</w:t>
            </w:r>
          </w:p>
        </w:tc>
      </w:tr>
    </w:tbl>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kern w:val="0"/>
          <w:sz w:val="24"/>
          <w:szCs w:val="24"/>
        </w:rPr>
        <w:t>注：上述基金仅列示基金主代码</w:t>
      </w:r>
    </w:p>
    <w:p w:rsidR="00AA7A32" w:rsidRDefault="00AA7A32">
      <w:pPr>
        <w:pStyle w:val="p"/>
        <w:wordWrap w:val="0"/>
        <w:spacing w:line="360" w:lineRule="auto"/>
        <w:ind w:firstLine="480"/>
        <w:jc w:val="left"/>
        <w:rPr>
          <w:rFonts w:eastAsia="Times New Roman"/>
          <w:kern w:val="0"/>
          <w:sz w:val="24"/>
          <w:szCs w:val="24"/>
        </w:rPr>
      </w:pPr>
    </w:p>
    <w:p w:rsidR="00AA7A32" w:rsidRDefault="00FC0D06">
      <w:pPr>
        <w:pStyle w:val="div"/>
        <w:wordWrap w:val="0"/>
        <w:spacing w:line="360" w:lineRule="auto"/>
        <w:ind w:firstLine="480"/>
        <w:jc w:val="left"/>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、暂停时间安排</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3342"/>
        <w:gridCol w:w="5193"/>
      </w:tblGrid>
      <w:tr w:rsidR="00AA7A32">
        <w:trPr>
          <w:trHeight w:val="322"/>
          <w:jc w:val="center"/>
        </w:trPr>
        <w:tc>
          <w:tcPr>
            <w:tcW w:w="3373" w:type="dxa"/>
            <w:tcBorders>
              <w:top w:val="single" w:sz="8" w:space="0" w:color="000000"/>
              <w:left w:val="single" w:sz="8" w:space="0" w:color="000000"/>
              <w:bottom w:val="single" w:sz="6" w:space="0" w:color="000000"/>
              <w:right w:val="single" w:sz="6" w:space="0" w:color="000000"/>
            </w:tcBorders>
            <w:tcMar>
              <w:top w:w="58"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 w:val="22"/>
                <w:szCs w:val="22"/>
              </w:rPr>
            </w:pPr>
            <w:r>
              <w:rPr>
                <w:rFonts w:ascii="SimSun" w:eastAsia="SimSun" w:hAnsi="SimSun" w:cs="SimSun"/>
                <w:color w:val="000000"/>
                <w:kern w:val="0"/>
                <w:szCs w:val="21"/>
              </w:rPr>
              <w:t>日期</w:t>
            </w:r>
            <w:r>
              <w:rPr>
                <w:rFonts w:ascii="SimSun" w:eastAsia="SimSun" w:hAnsi="SimSun" w:cs="SimSun"/>
                <w:color w:val="000000"/>
                <w:kern w:val="0"/>
                <w:sz w:val="22"/>
                <w:szCs w:val="22"/>
              </w:rPr>
              <w:t>（主要市场节假日）</w:t>
            </w:r>
          </w:p>
        </w:tc>
        <w:tc>
          <w:tcPr>
            <w:tcW w:w="5248" w:type="dxa"/>
            <w:tcBorders>
              <w:top w:val="single" w:sz="8" w:space="0" w:color="000000"/>
              <w:left w:val="single" w:sz="6" w:space="0" w:color="000000"/>
              <w:bottom w:val="single" w:sz="6" w:space="0" w:color="000000"/>
              <w:right w:val="single" w:sz="8" w:space="0" w:color="000000"/>
            </w:tcBorders>
            <w:tcMar>
              <w:top w:w="58"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 w:val="22"/>
                <w:szCs w:val="22"/>
              </w:rPr>
            </w:pPr>
            <w:r>
              <w:rPr>
                <w:rFonts w:ascii="SimSun" w:eastAsia="SimSun" w:hAnsi="SimSun" w:cs="SimSun"/>
                <w:color w:val="000000"/>
                <w:kern w:val="0"/>
                <w:sz w:val="22"/>
                <w:szCs w:val="22"/>
              </w:rPr>
              <w:t>事项</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1</w:t>
            </w:r>
            <w:r>
              <w:rPr>
                <w:rFonts w:ascii="SimSun" w:eastAsia="SimSun" w:hAnsi="SimSun" w:cs="SimSun"/>
                <w:color w:val="000000"/>
                <w:kern w:val="0"/>
                <w:szCs w:val="21"/>
              </w:rPr>
              <w:t>月</w:t>
            </w:r>
            <w:r>
              <w:rPr>
                <w:rFonts w:ascii="SimSun" w:eastAsia="SimSun" w:hAnsi="SimSun" w:cs="SimSun"/>
                <w:color w:val="000000"/>
                <w:kern w:val="0"/>
                <w:szCs w:val="21"/>
              </w:rPr>
              <w:t>15</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马丁路德金纪念日</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2</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总统日</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3</w:t>
            </w:r>
            <w:r>
              <w:rPr>
                <w:rFonts w:ascii="SimSun" w:eastAsia="SimSun" w:hAnsi="SimSun" w:cs="SimSun"/>
                <w:color w:val="000000"/>
                <w:kern w:val="0"/>
                <w:szCs w:val="21"/>
              </w:rPr>
              <w:t>月</w:t>
            </w:r>
            <w:r>
              <w:rPr>
                <w:rFonts w:ascii="SimSun" w:eastAsia="SimSun" w:hAnsi="SimSun" w:cs="SimSun"/>
                <w:color w:val="000000"/>
                <w:kern w:val="0"/>
                <w:szCs w:val="21"/>
              </w:rPr>
              <w:t>29</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耶稣受难日</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5</w:t>
            </w:r>
            <w:r>
              <w:rPr>
                <w:rFonts w:ascii="SimSun" w:eastAsia="SimSun" w:hAnsi="SimSun" w:cs="SimSun"/>
                <w:color w:val="000000"/>
                <w:kern w:val="0"/>
                <w:szCs w:val="21"/>
              </w:rPr>
              <w:t>月</w:t>
            </w:r>
            <w:r>
              <w:rPr>
                <w:rFonts w:ascii="SimSun" w:eastAsia="SimSun" w:hAnsi="SimSun" w:cs="SimSun"/>
                <w:color w:val="000000"/>
                <w:kern w:val="0"/>
                <w:szCs w:val="21"/>
              </w:rPr>
              <w:t>27</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将士阵亡纪念日</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6</w:t>
            </w:r>
            <w:r>
              <w:rPr>
                <w:rFonts w:ascii="SimSun" w:eastAsia="SimSun" w:hAnsi="SimSun" w:cs="SimSun"/>
                <w:color w:val="000000"/>
                <w:kern w:val="0"/>
                <w:szCs w:val="21"/>
              </w:rPr>
              <w:t>月</w:t>
            </w:r>
            <w:r>
              <w:rPr>
                <w:rFonts w:ascii="SimSun" w:eastAsia="SimSun" w:hAnsi="SimSun" w:cs="SimSun"/>
                <w:color w:val="000000"/>
                <w:kern w:val="0"/>
                <w:szCs w:val="21"/>
              </w:rPr>
              <w:t>19</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六月节</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7</w:t>
            </w:r>
            <w:r>
              <w:rPr>
                <w:rFonts w:ascii="SimSun" w:eastAsia="SimSun" w:hAnsi="SimSun" w:cs="SimSun"/>
                <w:color w:val="000000"/>
                <w:kern w:val="0"/>
                <w:szCs w:val="21"/>
              </w:rPr>
              <w:t>月</w:t>
            </w:r>
            <w:r>
              <w:rPr>
                <w:rFonts w:ascii="SimSun" w:eastAsia="SimSun" w:hAnsi="SimSun" w:cs="SimSun"/>
                <w:color w:val="000000"/>
                <w:kern w:val="0"/>
                <w:szCs w:val="21"/>
              </w:rPr>
              <w:t>4</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独立日</w:t>
            </w:r>
          </w:p>
        </w:tc>
      </w:tr>
      <w:tr w:rsidR="00AA7A32">
        <w:trPr>
          <w:trHeight w:val="324"/>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9</w:t>
            </w:r>
            <w:r>
              <w:rPr>
                <w:rFonts w:ascii="SimSun" w:eastAsia="SimSun" w:hAnsi="SimSun" w:cs="SimSun"/>
                <w:color w:val="000000"/>
                <w:kern w:val="0"/>
                <w:szCs w:val="21"/>
              </w:rPr>
              <w:t>月</w:t>
            </w:r>
            <w:r>
              <w:rPr>
                <w:rFonts w:ascii="SimSun" w:eastAsia="SimSun" w:hAnsi="SimSun" w:cs="SimSun"/>
                <w:color w:val="000000"/>
                <w:kern w:val="0"/>
                <w:szCs w:val="21"/>
              </w:rPr>
              <w:t>2</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劳动节</w:t>
            </w:r>
          </w:p>
        </w:tc>
      </w:tr>
      <w:tr w:rsidR="00AA7A32">
        <w:trPr>
          <w:trHeight w:val="322"/>
          <w:jc w:val="center"/>
        </w:trPr>
        <w:tc>
          <w:tcPr>
            <w:tcW w:w="3373" w:type="dxa"/>
            <w:tcBorders>
              <w:top w:val="single" w:sz="6" w:space="0" w:color="000000"/>
              <w:left w:val="single" w:sz="8" w:space="0" w:color="000000"/>
              <w:bottom w:val="single" w:sz="6" w:space="0" w:color="000000"/>
              <w:right w:val="single" w:sz="6" w:space="0" w:color="000000"/>
            </w:tcBorders>
            <w:tcMar>
              <w:top w:w="56" w:type="dxa"/>
              <w:left w:w="111" w:type="dxa"/>
              <w:bottom w:w="104"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11</w:t>
            </w:r>
            <w:r>
              <w:rPr>
                <w:rFonts w:ascii="SimSun" w:eastAsia="SimSun" w:hAnsi="SimSun" w:cs="SimSun"/>
                <w:color w:val="000000"/>
                <w:kern w:val="0"/>
                <w:szCs w:val="21"/>
              </w:rPr>
              <w:t>月</w:t>
            </w:r>
            <w:r>
              <w:rPr>
                <w:rFonts w:ascii="SimSun" w:eastAsia="SimSun" w:hAnsi="SimSun" w:cs="SimSun"/>
                <w:color w:val="000000"/>
                <w:kern w:val="0"/>
                <w:szCs w:val="21"/>
              </w:rPr>
              <w:t>28</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6" w:space="0" w:color="000000"/>
              <w:right w:val="single" w:sz="8" w:space="0" w:color="000000"/>
            </w:tcBorders>
            <w:tcMar>
              <w:top w:w="56" w:type="dxa"/>
              <w:left w:w="108" w:type="dxa"/>
              <w:bottom w:w="104"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感恩节</w:t>
            </w:r>
          </w:p>
        </w:tc>
      </w:tr>
      <w:tr w:rsidR="00AA7A32">
        <w:trPr>
          <w:trHeight w:val="322"/>
          <w:jc w:val="center"/>
        </w:trPr>
        <w:tc>
          <w:tcPr>
            <w:tcW w:w="3373" w:type="dxa"/>
            <w:tcBorders>
              <w:top w:val="single" w:sz="6" w:space="0" w:color="000000"/>
              <w:left w:val="single" w:sz="8" w:space="0" w:color="000000"/>
              <w:bottom w:val="single" w:sz="8" w:space="0" w:color="000000"/>
              <w:right w:val="single" w:sz="6" w:space="0" w:color="000000"/>
            </w:tcBorders>
            <w:tcMar>
              <w:top w:w="56" w:type="dxa"/>
              <w:left w:w="111" w:type="dxa"/>
              <w:bottom w:w="106" w:type="dxa"/>
              <w:right w:w="116"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2024</w:t>
            </w:r>
            <w:r>
              <w:rPr>
                <w:rFonts w:ascii="SimSun" w:eastAsia="SimSun" w:hAnsi="SimSun" w:cs="SimSun"/>
                <w:color w:val="000000"/>
                <w:kern w:val="0"/>
                <w:szCs w:val="21"/>
              </w:rPr>
              <w:t>年</w:t>
            </w:r>
            <w:r>
              <w:rPr>
                <w:rFonts w:ascii="SimSun" w:eastAsia="SimSun" w:hAnsi="SimSun" w:cs="SimSun"/>
                <w:color w:val="000000"/>
                <w:kern w:val="0"/>
                <w:szCs w:val="21"/>
              </w:rPr>
              <w:t>12</w:t>
            </w:r>
            <w:r>
              <w:rPr>
                <w:rFonts w:ascii="SimSun" w:eastAsia="SimSun" w:hAnsi="SimSun" w:cs="SimSun"/>
                <w:color w:val="000000"/>
                <w:kern w:val="0"/>
                <w:szCs w:val="21"/>
              </w:rPr>
              <w:t>月</w:t>
            </w:r>
            <w:r>
              <w:rPr>
                <w:rFonts w:ascii="SimSun" w:eastAsia="SimSun" w:hAnsi="SimSun" w:cs="SimSun"/>
                <w:color w:val="000000"/>
                <w:kern w:val="0"/>
                <w:szCs w:val="21"/>
              </w:rPr>
              <w:t>25</w:t>
            </w:r>
            <w:r>
              <w:rPr>
                <w:rFonts w:ascii="SimSun" w:eastAsia="SimSun" w:hAnsi="SimSun" w:cs="SimSun"/>
                <w:color w:val="000000"/>
                <w:kern w:val="0"/>
                <w:szCs w:val="21"/>
              </w:rPr>
              <w:t>日</w:t>
            </w:r>
          </w:p>
        </w:tc>
        <w:tc>
          <w:tcPr>
            <w:tcW w:w="5248" w:type="dxa"/>
            <w:tcBorders>
              <w:top w:val="single" w:sz="6" w:space="0" w:color="000000"/>
              <w:left w:val="single" w:sz="6" w:space="0" w:color="000000"/>
              <w:bottom w:val="single" w:sz="8" w:space="0" w:color="000000"/>
              <w:right w:val="single" w:sz="8" w:space="0" w:color="000000"/>
            </w:tcBorders>
            <w:tcMar>
              <w:top w:w="56" w:type="dxa"/>
              <w:left w:w="108" w:type="dxa"/>
              <w:bottom w:w="106" w:type="dxa"/>
              <w:right w:w="118" w:type="dxa"/>
            </w:tcMar>
            <w:hideMark/>
          </w:tcPr>
          <w:p w:rsidR="00AA7A32" w:rsidRDefault="00FC0D06">
            <w:pPr>
              <w:pStyle w:val="div"/>
              <w:widowControl/>
              <w:spacing w:line="276" w:lineRule="auto"/>
              <w:jc w:val="center"/>
              <w:rPr>
                <w:rFonts w:eastAsia="Times New Roman"/>
                <w:color w:val="000000"/>
                <w:kern w:val="0"/>
                <w:szCs w:val="21"/>
              </w:rPr>
            </w:pPr>
            <w:r>
              <w:rPr>
                <w:rFonts w:ascii="SimSun" w:eastAsia="SimSun" w:hAnsi="SimSun" w:cs="SimSun"/>
                <w:color w:val="000000"/>
                <w:kern w:val="0"/>
                <w:szCs w:val="21"/>
              </w:rPr>
              <w:t>圣诞节</w:t>
            </w:r>
          </w:p>
        </w:tc>
      </w:tr>
    </w:tbl>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注：</w:t>
      </w:r>
      <w:r>
        <w:rPr>
          <w:rFonts w:ascii="SimSun" w:eastAsia="SimSun" w:hAnsi="SimSun" w:cs="SimSun"/>
          <w:kern w:val="0"/>
          <w:sz w:val="24"/>
          <w:szCs w:val="24"/>
        </w:rPr>
        <w:t>1</w:t>
      </w:r>
      <w:r>
        <w:rPr>
          <w:rFonts w:ascii="SimSun" w:eastAsia="SimSun" w:hAnsi="SimSun" w:cs="SimSun"/>
          <w:kern w:val="0"/>
          <w:sz w:val="24"/>
          <w:szCs w:val="24"/>
        </w:rPr>
        <w:t>、上述日期已剔除和上海证券交易所和深圳证券交易所休市日期重合</w:t>
      </w:r>
      <w:r>
        <w:rPr>
          <w:rFonts w:ascii="SimSun" w:eastAsia="SimSun" w:hAnsi="SimSun" w:cs="SimSun"/>
          <w:kern w:val="0"/>
          <w:sz w:val="24"/>
          <w:szCs w:val="24"/>
        </w:rPr>
        <w:lastRenderedPageBreak/>
        <w:t>的日期。</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2</w:t>
      </w:r>
      <w:r>
        <w:rPr>
          <w:rFonts w:ascii="SimSun" w:eastAsia="SimSun" w:hAnsi="SimSun" w:cs="SimSun"/>
          <w:kern w:val="0"/>
          <w:sz w:val="24"/>
          <w:szCs w:val="24"/>
        </w:rPr>
        <w:t>、如遇上述基金因其他原因暂停申购、赎回、定投等业务的，具体业务办理以相关公告为准。</w:t>
      </w:r>
    </w:p>
    <w:p w:rsidR="00AA7A32" w:rsidRDefault="00AA7A32">
      <w:pPr>
        <w:pStyle w:val="p"/>
        <w:wordWrap w:val="0"/>
        <w:spacing w:line="360" w:lineRule="auto"/>
        <w:ind w:firstLine="480"/>
        <w:rPr>
          <w:rFonts w:eastAsia="Times New Roman"/>
          <w:kern w:val="0"/>
          <w:sz w:val="24"/>
          <w:szCs w:val="24"/>
        </w:rPr>
      </w:pP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建议定投申购的投资人在设立定投协议时避开上述日期</w:t>
      </w:r>
      <w:r>
        <w:rPr>
          <w:rFonts w:ascii="SimSun" w:eastAsia="SimSun" w:hAnsi="SimSun" w:cs="SimSun"/>
          <w:kern w:val="0"/>
          <w:sz w:val="24"/>
          <w:szCs w:val="24"/>
        </w:rPr>
        <w:t xml:space="preserve"> </w:t>
      </w:r>
      <w:r>
        <w:rPr>
          <w:rFonts w:ascii="SimSun" w:eastAsia="SimSun" w:hAnsi="SimSun" w:cs="SimSun"/>
          <w:kern w:val="0"/>
          <w:sz w:val="24"/>
          <w:szCs w:val="24"/>
        </w:rPr>
        <w:t>，以免导致当期交易失败。</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若出现新的证券交易市场、香港联交所节假日或美国主要证券交易所节假日发生变化、证券交易所交易时间变更及其他特殊情况，或依据法律法规、中国证监会的要求或基金合同的约定需要调整上述安排的，基金管理人将视情况对前述开放日及开放时间进行相应的调整并另行公告。</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风险提示</w:t>
      </w:r>
      <w:r>
        <w:rPr>
          <w:rFonts w:ascii="SimSun" w:eastAsia="SimSun" w:hAnsi="SimSun" w:cs="SimSun"/>
          <w:kern w:val="0"/>
          <w:sz w:val="24"/>
          <w:szCs w:val="24"/>
        </w:rPr>
        <w:t>:</w:t>
      </w:r>
      <w:r>
        <w:rPr>
          <w:rFonts w:ascii="SimSun" w:eastAsia="SimSun" w:hAnsi="SimSun" w:cs="SimSun"/>
          <w:kern w:val="0"/>
          <w:sz w:val="24"/>
          <w:szCs w:val="24"/>
        </w:rPr>
        <w:t>基金管理人承诺以诚实信用、勤勉尽责的原则管理和运用基金资产</w:t>
      </w:r>
      <w:r>
        <w:rPr>
          <w:rFonts w:ascii="SimSun" w:eastAsia="SimSun" w:hAnsi="SimSun" w:cs="SimSun"/>
          <w:kern w:val="0"/>
          <w:sz w:val="24"/>
          <w:szCs w:val="24"/>
        </w:rPr>
        <w:t>,</w:t>
      </w:r>
      <w:r>
        <w:rPr>
          <w:rFonts w:ascii="SimSun" w:eastAsia="SimSun" w:hAnsi="SimSun" w:cs="SimSun"/>
          <w:kern w:val="0"/>
          <w:sz w:val="24"/>
          <w:szCs w:val="24"/>
        </w:rPr>
        <w:t>但不保证基金一定盈利</w:t>
      </w:r>
      <w:r>
        <w:rPr>
          <w:rFonts w:ascii="SimSun" w:eastAsia="SimSun" w:hAnsi="SimSun" w:cs="SimSun"/>
          <w:kern w:val="0"/>
          <w:sz w:val="24"/>
          <w:szCs w:val="24"/>
        </w:rPr>
        <w:t>,</w:t>
      </w:r>
      <w:r>
        <w:rPr>
          <w:rFonts w:ascii="SimSun" w:eastAsia="SimSun" w:hAnsi="SimSun" w:cs="SimSun"/>
          <w:kern w:val="0"/>
          <w:sz w:val="24"/>
          <w:szCs w:val="24"/>
        </w:rPr>
        <w:t>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人的风险承受能力相适应。敬请投资者注意投资风险。</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投资者可访问大成基金管理有限公司网站</w:t>
      </w:r>
      <w:r>
        <w:rPr>
          <w:rFonts w:ascii="SimSun" w:eastAsia="SimSun" w:hAnsi="SimSun" w:cs="SimSun"/>
          <w:kern w:val="0"/>
          <w:sz w:val="24"/>
          <w:szCs w:val="24"/>
        </w:rPr>
        <w:t>(http://www.dcfund.com.cn)</w:t>
      </w:r>
      <w:r>
        <w:rPr>
          <w:rFonts w:ascii="SimSun" w:eastAsia="SimSun" w:hAnsi="SimSun" w:cs="SimSun"/>
          <w:kern w:val="0"/>
          <w:sz w:val="24"/>
          <w:szCs w:val="24"/>
        </w:rPr>
        <w:t>或拨打客户服务热线</w:t>
      </w:r>
      <w:r>
        <w:rPr>
          <w:rFonts w:ascii="SimSun" w:eastAsia="SimSun" w:hAnsi="SimSun" w:cs="SimSun"/>
          <w:kern w:val="0"/>
          <w:sz w:val="24"/>
          <w:szCs w:val="24"/>
        </w:rPr>
        <w:t>(400-888-5558)</w:t>
      </w:r>
      <w:r>
        <w:rPr>
          <w:rFonts w:ascii="SimSun" w:eastAsia="SimSun" w:hAnsi="SimSun" w:cs="SimSun"/>
          <w:kern w:val="0"/>
          <w:sz w:val="24"/>
          <w:szCs w:val="24"/>
        </w:rPr>
        <w:t>咨询相关情况。</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特此公告</w:t>
      </w:r>
    </w:p>
    <w:p w:rsidR="00AA7A32" w:rsidRDefault="00AA7A32">
      <w:pPr>
        <w:pStyle w:val="p"/>
        <w:wordWrap w:val="0"/>
        <w:spacing w:line="360" w:lineRule="auto"/>
        <w:ind w:firstLine="480"/>
        <w:rPr>
          <w:rFonts w:eastAsia="Times New Roman"/>
          <w:kern w:val="0"/>
          <w:sz w:val="24"/>
          <w:szCs w:val="24"/>
        </w:rPr>
      </w:pP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大成基金管理有限公司</w:t>
      </w:r>
    </w:p>
    <w:p w:rsidR="00AA7A32" w:rsidRDefault="00FC0D06">
      <w:pPr>
        <w:pStyle w:val="div"/>
        <w:wordWrap w:val="0"/>
        <w:spacing w:line="360" w:lineRule="auto"/>
        <w:ind w:firstLine="480"/>
        <w:rPr>
          <w:rFonts w:eastAsia="Times New Roman"/>
          <w:kern w:val="0"/>
          <w:sz w:val="24"/>
          <w:szCs w:val="24"/>
        </w:rPr>
      </w:pPr>
      <w:r>
        <w:rPr>
          <w:rFonts w:ascii="SimSun" w:eastAsia="SimSun" w:hAnsi="SimSun" w:cs="SimSun"/>
          <w:kern w:val="0"/>
          <w:sz w:val="24"/>
          <w:szCs w:val="24"/>
        </w:rPr>
        <w:t>2024</w:t>
      </w:r>
      <w:r>
        <w:rPr>
          <w:rFonts w:ascii="SimSun" w:eastAsia="SimSun" w:hAnsi="SimSun" w:cs="SimSun"/>
          <w:kern w:val="0"/>
          <w:sz w:val="24"/>
          <w:szCs w:val="24"/>
        </w:rPr>
        <w:t>年</w:t>
      </w:r>
      <w:r>
        <w:rPr>
          <w:rFonts w:ascii="SimSun" w:eastAsia="SimSun" w:hAnsi="SimSun" w:cs="SimSun"/>
          <w:kern w:val="0"/>
          <w:sz w:val="24"/>
          <w:szCs w:val="24"/>
        </w:rPr>
        <w:t>1</w:t>
      </w:r>
      <w:r>
        <w:rPr>
          <w:rFonts w:ascii="SimSun" w:eastAsia="SimSun" w:hAnsi="SimSun" w:cs="SimSun"/>
          <w:kern w:val="0"/>
          <w:sz w:val="24"/>
          <w:szCs w:val="24"/>
        </w:rPr>
        <w:t>月</w:t>
      </w:r>
      <w:r>
        <w:rPr>
          <w:rFonts w:ascii="SimSun" w:eastAsia="SimSun" w:hAnsi="SimSun" w:cs="SimSun"/>
          <w:kern w:val="0"/>
          <w:sz w:val="24"/>
          <w:szCs w:val="24"/>
        </w:rPr>
        <w:t>5</w:t>
      </w:r>
      <w:r>
        <w:rPr>
          <w:rFonts w:ascii="SimSun" w:eastAsia="SimSun" w:hAnsi="SimSun" w:cs="SimSun"/>
          <w:kern w:val="0"/>
          <w:sz w:val="24"/>
          <w:szCs w:val="24"/>
        </w:rPr>
        <w:t>日</w:t>
      </w:r>
    </w:p>
    <w:sectPr w:rsidR="00AA7A32" w:rsidSect="00AA7A32">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32" w:rsidRDefault="00AA7A32" w:rsidP="00AA7A32">
      <w:r>
        <w:separator/>
      </w:r>
    </w:p>
  </w:endnote>
  <w:endnote w:type="continuationSeparator" w:id="0">
    <w:p w:rsidR="00AA7A32" w:rsidRDefault="00AA7A32" w:rsidP="00AA7A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32" w:rsidRDefault="00AA7A32">
    <w:pPr>
      <w:pStyle w:val="a9"/>
      <w:jc w:val="center"/>
      <w:rPr>
        <w:color w:val="000000" w:themeColor="text1"/>
      </w:rPr>
    </w:pPr>
    <w:r>
      <w:rPr>
        <w:color w:val="000000" w:themeColor="text1"/>
      </w:rPr>
      <w:fldChar w:fldCharType="begin"/>
    </w:r>
    <w:r w:rsidR="00FC0D06">
      <w:rPr>
        <w:color w:val="000000" w:themeColor="text1"/>
      </w:rPr>
      <w:instrText>PAGE   \* MERGEFORMAT</w:instrText>
    </w:r>
    <w:r>
      <w:rPr>
        <w:color w:val="000000" w:themeColor="text1"/>
      </w:rPr>
      <w:fldChar w:fldCharType="separate"/>
    </w:r>
    <w:r w:rsidR="00FC0D06" w:rsidRPr="00FC0D06">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32" w:rsidRDefault="00AA7A32" w:rsidP="00AA7A32">
      <w:r>
        <w:separator/>
      </w:r>
    </w:p>
  </w:footnote>
  <w:footnote w:type="continuationSeparator" w:id="0">
    <w:p w:rsidR="00AA7A32" w:rsidRDefault="00AA7A32" w:rsidP="00AA7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A7A32"/>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0D06"/>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32"/>
    <w:pPr>
      <w:widowControl w:val="0"/>
      <w:jc w:val="both"/>
    </w:pPr>
    <w:rPr>
      <w:kern w:val="2"/>
      <w:sz w:val="21"/>
      <w:lang w:eastAsia="zh-CN"/>
    </w:rPr>
  </w:style>
  <w:style w:type="paragraph" w:styleId="1">
    <w:name w:val="heading 1"/>
    <w:basedOn w:val="a"/>
    <w:next w:val="a"/>
    <w:link w:val="1Char"/>
    <w:qFormat/>
    <w:rsid w:val="00AA7A3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AA7A3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AA7A3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A7A32"/>
    <w:pPr>
      <w:ind w:firstLineChars="200" w:firstLine="420"/>
    </w:pPr>
  </w:style>
  <w:style w:type="paragraph" w:styleId="a4">
    <w:name w:val="Document Map"/>
    <w:basedOn w:val="a"/>
    <w:qFormat/>
    <w:rsid w:val="00AA7A32"/>
    <w:pPr>
      <w:shd w:val="clear" w:color="auto" w:fill="000080"/>
    </w:pPr>
  </w:style>
  <w:style w:type="paragraph" w:styleId="a5">
    <w:name w:val="annotation text"/>
    <w:basedOn w:val="a"/>
    <w:link w:val="Char"/>
    <w:qFormat/>
    <w:rsid w:val="00AA7A32"/>
    <w:pPr>
      <w:jc w:val="left"/>
    </w:pPr>
  </w:style>
  <w:style w:type="paragraph" w:styleId="a6">
    <w:name w:val="Body Text"/>
    <w:basedOn w:val="a"/>
    <w:link w:val="Char0"/>
    <w:qFormat/>
    <w:rsid w:val="00AA7A32"/>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AA7A32"/>
    <w:pPr>
      <w:ind w:leftChars="400" w:left="840"/>
    </w:pPr>
  </w:style>
  <w:style w:type="paragraph" w:styleId="a7">
    <w:name w:val="Plain Text"/>
    <w:basedOn w:val="a"/>
    <w:qFormat/>
    <w:rsid w:val="00AA7A32"/>
    <w:pPr>
      <w:adjustRightInd w:val="0"/>
      <w:spacing w:line="312" w:lineRule="atLeast"/>
      <w:textAlignment w:val="baseline"/>
    </w:pPr>
    <w:rPr>
      <w:rFonts w:ascii="宋体" w:hAnsi="Courier New"/>
      <w:kern w:val="0"/>
    </w:rPr>
  </w:style>
  <w:style w:type="paragraph" w:styleId="20">
    <w:name w:val="Body Text Indent 2"/>
    <w:basedOn w:val="a"/>
    <w:qFormat/>
    <w:rsid w:val="00AA7A32"/>
    <w:pPr>
      <w:spacing w:line="360" w:lineRule="auto"/>
      <w:ind w:firstLine="425"/>
    </w:pPr>
    <w:rPr>
      <w:rFonts w:ascii="仿宋_GB2312" w:eastAsia="仿宋_GB2312"/>
      <w:sz w:val="28"/>
    </w:rPr>
  </w:style>
  <w:style w:type="paragraph" w:styleId="a8">
    <w:name w:val="Balloon Text"/>
    <w:basedOn w:val="a"/>
    <w:qFormat/>
    <w:rsid w:val="00AA7A32"/>
    <w:rPr>
      <w:sz w:val="18"/>
    </w:rPr>
  </w:style>
  <w:style w:type="paragraph" w:styleId="a9">
    <w:name w:val="footer"/>
    <w:basedOn w:val="a"/>
    <w:link w:val="Char1"/>
    <w:uiPriority w:val="99"/>
    <w:qFormat/>
    <w:rsid w:val="00AA7A32"/>
    <w:pPr>
      <w:tabs>
        <w:tab w:val="center" w:pos="4153"/>
        <w:tab w:val="right" w:pos="8306"/>
      </w:tabs>
      <w:snapToGrid w:val="0"/>
      <w:jc w:val="left"/>
    </w:pPr>
    <w:rPr>
      <w:sz w:val="18"/>
    </w:rPr>
  </w:style>
  <w:style w:type="paragraph" w:styleId="aa">
    <w:name w:val="header"/>
    <w:basedOn w:val="a"/>
    <w:link w:val="Char2"/>
    <w:uiPriority w:val="99"/>
    <w:qFormat/>
    <w:rsid w:val="00AA7A32"/>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AA7A32"/>
    <w:pPr>
      <w:tabs>
        <w:tab w:val="right" w:leader="dot" w:pos="8296"/>
      </w:tabs>
      <w:spacing w:line="360" w:lineRule="auto"/>
    </w:pPr>
  </w:style>
  <w:style w:type="paragraph" w:styleId="ab">
    <w:name w:val="footnote text"/>
    <w:basedOn w:val="a"/>
    <w:qFormat/>
    <w:rsid w:val="00AA7A32"/>
    <w:pPr>
      <w:snapToGrid w:val="0"/>
      <w:jc w:val="left"/>
    </w:pPr>
    <w:rPr>
      <w:sz w:val="18"/>
    </w:rPr>
  </w:style>
  <w:style w:type="paragraph" w:styleId="31">
    <w:name w:val="Body Text Indent 3"/>
    <w:basedOn w:val="a"/>
    <w:qFormat/>
    <w:rsid w:val="00AA7A32"/>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AA7A32"/>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AA7A32"/>
    <w:pPr>
      <w:spacing w:before="240" w:after="60"/>
      <w:jc w:val="center"/>
      <w:outlineLvl w:val="0"/>
    </w:pPr>
    <w:rPr>
      <w:rFonts w:ascii="Cambria" w:hAnsi="Cambria"/>
      <w:b/>
      <w:sz w:val="32"/>
      <w:lang w:val="zh-CN"/>
    </w:rPr>
  </w:style>
  <w:style w:type="paragraph" w:styleId="ae">
    <w:name w:val="annotation subject"/>
    <w:basedOn w:val="a5"/>
    <w:next w:val="a5"/>
    <w:qFormat/>
    <w:rsid w:val="00AA7A32"/>
    <w:rPr>
      <w:b/>
    </w:rPr>
  </w:style>
  <w:style w:type="character" w:styleId="af">
    <w:name w:val="page number"/>
    <w:basedOn w:val="a0"/>
    <w:rsid w:val="00AA7A32"/>
  </w:style>
  <w:style w:type="character" w:styleId="af0">
    <w:name w:val="Hyperlink"/>
    <w:qFormat/>
    <w:rsid w:val="00AA7A32"/>
    <w:rPr>
      <w:color w:val="0000FF"/>
      <w:u w:val="single"/>
    </w:rPr>
  </w:style>
  <w:style w:type="character" w:styleId="af1">
    <w:name w:val="annotation reference"/>
    <w:rsid w:val="00AA7A32"/>
    <w:rPr>
      <w:sz w:val="21"/>
    </w:rPr>
  </w:style>
  <w:style w:type="character" w:styleId="af2">
    <w:name w:val="footnote reference"/>
    <w:rsid w:val="00AA7A32"/>
    <w:rPr>
      <w:vertAlign w:val="superscript"/>
    </w:rPr>
  </w:style>
  <w:style w:type="character" w:customStyle="1" w:styleId="Char0">
    <w:name w:val="正文文本 Char"/>
    <w:link w:val="a6"/>
    <w:rsid w:val="00AA7A32"/>
    <w:rPr>
      <w:rFonts w:ascii="宋体"/>
      <w:lang w:val="zh-CN" w:eastAsia="zh-CN"/>
    </w:rPr>
  </w:style>
  <w:style w:type="character" w:customStyle="1" w:styleId="unnamed11">
    <w:name w:val="unnamed11"/>
    <w:rsid w:val="00AA7A32"/>
    <w:rPr>
      <w:rFonts w:ascii="宋体" w:eastAsia="宋体" w:hAnsi="宋体" w:hint="eastAsia"/>
      <w:sz w:val="18"/>
    </w:rPr>
  </w:style>
  <w:style w:type="character" w:customStyle="1" w:styleId="Char3">
    <w:name w:val="标题 Char"/>
    <w:link w:val="ad"/>
    <w:rsid w:val="00AA7A32"/>
    <w:rPr>
      <w:rFonts w:ascii="Cambria" w:hAnsi="Cambria"/>
      <w:b/>
      <w:kern w:val="2"/>
      <w:sz w:val="32"/>
      <w:lang w:val="zh-CN" w:eastAsia="zh-CN"/>
    </w:rPr>
  </w:style>
  <w:style w:type="character" w:customStyle="1" w:styleId="Char2">
    <w:name w:val="页眉 Char"/>
    <w:link w:val="aa"/>
    <w:uiPriority w:val="99"/>
    <w:qFormat/>
    <w:rsid w:val="00AA7A32"/>
    <w:rPr>
      <w:kern w:val="2"/>
      <w:sz w:val="18"/>
    </w:rPr>
  </w:style>
  <w:style w:type="character" w:customStyle="1" w:styleId="read">
    <w:name w:val="read"/>
    <w:basedOn w:val="a0"/>
    <w:qFormat/>
    <w:rsid w:val="00AA7A32"/>
  </w:style>
  <w:style w:type="paragraph" w:customStyle="1" w:styleId="CharChar">
    <w:name w:val="Char Char"/>
    <w:basedOn w:val="a"/>
    <w:qFormat/>
    <w:rsid w:val="00AA7A32"/>
  </w:style>
  <w:style w:type="paragraph" w:customStyle="1" w:styleId="Default">
    <w:name w:val="Default"/>
    <w:qFormat/>
    <w:rsid w:val="00AA7A32"/>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AA7A32"/>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AA7A32"/>
    <w:pPr>
      <w:widowControl/>
      <w:numPr>
        <w:numId w:val="1"/>
      </w:numPr>
      <w:jc w:val="left"/>
    </w:pPr>
    <w:rPr>
      <w:kern w:val="0"/>
      <w:sz w:val="24"/>
    </w:rPr>
  </w:style>
  <w:style w:type="paragraph" w:customStyle="1" w:styleId="msonormal1">
    <w:name w:val="msonormal1"/>
    <w:qFormat/>
    <w:rsid w:val="00AA7A32"/>
    <w:pPr>
      <w:widowControl w:val="0"/>
      <w:jc w:val="both"/>
    </w:pPr>
    <w:rPr>
      <w:kern w:val="2"/>
      <w:sz w:val="21"/>
      <w:lang w:eastAsia="zh-CN"/>
    </w:rPr>
  </w:style>
  <w:style w:type="paragraph" w:customStyle="1" w:styleId="af3">
    <w:name w:val="正文正文"/>
    <w:basedOn w:val="a"/>
    <w:qFormat/>
    <w:rsid w:val="00AA7A32"/>
    <w:pPr>
      <w:spacing w:afterLines="25" w:line="360" w:lineRule="auto"/>
      <w:ind w:firstLineChars="200" w:firstLine="200"/>
    </w:pPr>
    <w:rPr>
      <w:sz w:val="24"/>
    </w:rPr>
  </w:style>
  <w:style w:type="paragraph" w:customStyle="1" w:styleId="Char4">
    <w:name w:val="Char"/>
    <w:basedOn w:val="a"/>
    <w:qFormat/>
    <w:rsid w:val="00AA7A32"/>
  </w:style>
  <w:style w:type="paragraph" w:customStyle="1" w:styleId="Char10">
    <w:name w:val="Char1"/>
    <w:basedOn w:val="a"/>
    <w:qFormat/>
    <w:rsid w:val="00AA7A32"/>
  </w:style>
  <w:style w:type="paragraph" w:customStyle="1" w:styleId="CharCharChar">
    <w:name w:val="Char Char Char"/>
    <w:basedOn w:val="a"/>
    <w:qFormat/>
    <w:rsid w:val="00AA7A32"/>
  </w:style>
  <w:style w:type="paragraph" w:customStyle="1" w:styleId="InfoBlue">
    <w:name w:val="InfoBlue"/>
    <w:basedOn w:val="a"/>
    <w:next w:val="a6"/>
    <w:qFormat/>
    <w:rsid w:val="00AA7A32"/>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AA7A32"/>
    <w:pPr>
      <w:tabs>
        <w:tab w:val="left" w:pos="360"/>
      </w:tabs>
    </w:pPr>
  </w:style>
  <w:style w:type="paragraph" w:customStyle="1" w:styleId="CharChar1">
    <w:name w:val="Char Char1"/>
    <w:basedOn w:val="a"/>
    <w:qFormat/>
    <w:rsid w:val="00AA7A32"/>
  </w:style>
  <w:style w:type="paragraph" w:customStyle="1" w:styleId="af4">
    <w:name w:val="正文所"/>
    <w:basedOn w:val="a"/>
    <w:qFormat/>
    <w:rsid w:val="00AA7A32"/>
    <w:pPr>
      <w:spacing w:line="360" w:lineRule="auto"/>
      <w:ind w:firstLineChars="200" w:firstLine="420"/>
    </w:pPr>
    <w:rPr>
      <w:rFonts w:ascii="宋体"/>
    </w:rPr>
  </w:style>
  <w:style w:type="paragraph" w:customStyle="1" w:styleId="11">
    <w:name w:val="修订1"/>
    <w:hidden/>
    <w:uiPriority w:val="99"/>
    <w:semiHidden/>
    <w:qFormat/>
    <w:rsid w:val="00AA7A32"/>
    <w:rPr>
      <w:kern w:val="2"/>
      <w:sz w:val="21"/>
      <w:lang w:eastAsia="zh-CN"/>
    </w:rPr>
  </w:style>
  <w:style w:type="character" w:customStyle="1" w:styleId="1Char">
    <w:name w:val="标题 1 Char"/>
    <w:link w:val="1"/>
    <w:qFormat/>
    <w:rsid w:val="00AA7A32"/>
    <w:rPr>
      <w:rFonts w:ascii="宋体"/>
      <w:b/>
      <w:color w:val="000000"/>
      <w:sz w:val="24"/>
    </w:rPr>
  </w:style>
  <w:style w:type="character" w:customStyle="1" w:styleId="Char">
    <w:name w:val="批注文字 Char"/>
    <w:link w:val="a5"/>
    <w:qFormat/>
    <w:rsid w:val="00AA7A32"/>
    <w:rPr>
      <w:kern w:val="2"/>
      <w:sz w:val="21"/>
    </w:rPr>
  </w:style>
  <w:style w:type="paragraph" w:customStyle="1" w:styleId="CharChar2">
    <w:name w:val="Char Char2"/>
    <w:basedOn w:val="a"/>
    <w:qFormat/>
    <w:rsid w:val="00AA7A32"/>
  </w:style>
  <w:style w:type="paragraph" w:customStyle="1" w:styleId="CharChar3">
    <w:name w:val="Char Char3"/>
    <w:basedOn w:val="a"/>
    <w:qFormat/>
    <w:rsid w:val="00AA7A32"/>
  </w:style>
  <w:style w:type="paragraph" w:customStyle="1" w:styleId="Char20">
    <w:name w:val="Char2"/>
    <w:basedOn w:val="a"/>
    <w:qFormat/>
    <w:rsid w:val="00AA7A32"/>
  </w:style>
  <w:style w:type="paragraph" w:customStyle="1" w:styleId="CharCharChar1">
    <w:name w:val="Char Char Char1"/>
    <w:basedOn w:val="a"/>
    <w:qFormat/>
    <w:rsid w:val="00AA7A32"/>
  </w:style>
  <w:style w:type="paragraph" w:customStyle="1" w:styleId="CharCharCharChar1">
    <w:name w:val="Char Char Char Char1"/>
    <w:basedOn w:val="a"/>
    <w:qFormat/>
    <w:rsid w:val="00AA7A32"/>
    <w:pPr>
      <w:tabs>
        <w:tab w:val="left" w:pos="360"/>
      </w:tabs>
    </w:pPr>
  </w:style>
  <w:style w:type="paragraph" w:customStyle="1" w:styleId="CharChar11">
    <w:name w:val="Char Char11"/>
    <w:basedOn w:val="a"/>
    <w:qFormat/>
    <w:rsid w:val="00AA7A32"/>
  </w:style>
  <w:style w:type="paragraph" w:customStyle="1" w:styleId="CharChar4">
    <w:name w:val="Char Char4"/>
    <w:basedOn w:val="a"/>
    <w:qFormat/>
    <w:rsid w:val="00AA7A32"/>
  </w:style>
  <w:style w:type="paragraph" w:styleId="af5">
    <w:name w:val="List Paragraph"/>
    <w:basedOn w:val="a"/>
    <w:uiPriority w:val="34"/>
    <w:qFormat/>
    <w:rsid w:val="00AA7A32"/>
    <w:pPr>
      <w:ind w:firstLineChars="200" w:firstLine="420"/>
    </w:pPr>
  </w:style>
  <w:style w:type="paragraph" w:customStyle="1" w:styleId="CharChar12">
    <w:name w:val="Char Char12"/>
    <w:basedOn w:val="a"/>
    <w:qFormat/>
    <w:rsid w:val="00AA7A32"/>
  </w:style>
  <w:style w:type="paragraph" w:customStyle="1" w:styleId="Char30">
    <w:name w:val="Char3"/>
    <w:basedOn w:val="a"/>
    <w:qFormat/>
    <w:rsid w:val="00AA7A32"/>
  </w:style>
  <w:style w:type="paragraph" w:customStyle="1" w:styleId="CharChar13">
    <w:name w:val="Char Char13"/>
    <w:basedOn w:val="a"/>
    <w:qFormat/>
    <w:rsid w:val="00AA7A32"/>
  </w:style>
  <w:style w:type="paragraph" w:customStyle="1" w:styleId="Char40">
    <w:name w:val="Char4"/>
    <w:basedOn w:val="a"/>
    <w:qFormat/>
    <w:rsid w:val="00AA7A32"/>
  </w:style>
  <w:style w:type="paragraph" w:customStyle="1" w:styleId="CharChar14">
    <w:name w:val="Char Char14"/>
    <w:basedOn w:val="a"/>
    <w:qFormat/>
    <w:rsid w:val="00AA7A32"/>
  </w:style>
  <w:style w:type="paragraph" w:customStyle="1" w:styleId="Char5">
    <w:name w:val="Char5"/>
    <w:basedOn w:val="a"/>
    <w:qFormat/>
    <w:rsid w:val="00AA7A32"/>
  </w:style>
  <w:style w:type="paragraph" w:customStyle="1" w:styleId="CharChar5">
    <w:name w:val="Char Char5"/>
    <w:basedOn w:val="a"/>
    <w:qFormat/>
    <w:rsid w:val="00AA7A32"/>
  </w:style>
  <w:style w:type="character" w:customStyle="1" w:styleId="Char1">
    <w:name w:val="页脚 Char"/>
    <w:basedOn w:val="a0"/>
    <w:link w:val="a9"/>
    <w:uiPriority w:val="99"/>
    <w:qFormat/>
    <w:rsid w:val="00AA7A32"/>
    <w:rPr>
      <w:kern w:val="2"/>
      <w:sz w:val="18"/>
    </w:rPr>
  </w:style>
  <w:style w:type="paragraph" w:customStyle="1" w:styleId="div">
    <w:name w:val="div"/>
    <w:basedOn w:val="a"/>
    <w:rsid w:val="00AA7A32"/>
  </w:style>
  <w:style w:type="paragraph" w:customStyle="1" w:styleId="p">
    <w:name w:val="p"/>
    <w:basedOn w:val="a"/>
    <w:rsid w:val="00AA7A32"/>
  </w:style>
  <w:style w:type="table" w:customStyle="1" w:styleId="table">
    <w:name w:val="table"/>
    <w:basedOn w:val="a1"/>
    <w:rsid w:val="00AA7A32"/>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EA9F8-BBB4-481E-B435-D11E64BF45C2}">
  <ds:schemaRefs/>
</ds:datastoreItem>
</file>

<file path=customXml/itemProps2.xml><?xml version="1.0" encoding="utf-8"?>
<ds:datastoreItem xmlns:ds="http://schemas.openxmlformats.org/officeDocument/2006/customXml" ds:itemID="{C97B9085-2182-47DF-A818-30687072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1330</Characters>
  <Application>Microsoft Office Word</Application>
  <DocSecurity>4</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2024-01-04T16:01:00Z</dcterms:created>
  <dcterms:modified xsi:type="dcterms:W3CDTF">2024-01-04T16:01:00Z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