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18" w:rsidRDefault="009F00F6">
      <w:pPr>
        <w:spacing w:line="225" w:lineRule="atLeast"/>
        <w:jc w:val="center"/>
        <w:rPr>
          <w:rFonts w:ascii="宋体" w:eastAsia="宋体" w:hAnsi="宋体" w:cs="Times New Roman"/>
          <w:b/>
          <w:bCs/>
          <w:sz w:val="30"/>
          <w:szCs w:val="30"/>
        </w:rPr>
      </w:pPr>
      <w:r>
        <w:rPr>
          <w:rFonts w:ascii="宋体" w:eastAsia="宋体" w:hAnsi="宋体" w:cs="Times New Roman" w:hint="eastAsia"/>
          <w:b/>
          <w:bCs/>
          <w:sz w:val="30"/>
          <w:szCs w:val="30"/>
        </w:rPr>
        <w:t>关于博时裕昂纯债债券型证券投资基金变更基金份额净值小数点保留位数以及相应修改基金合同和托管协议的公告</w:t>
      </w:r>
    </w:p>
    <w:p w:rsidR="00141618" w:rsidRDefault="00141618">
      <w:pPr>
        <w:adjustRightInd w:val="0"/>
        <w:spacing w:line="360" w:lineRule="auto"/>
        <w:ind w:firstLineChars="200" w:firstLine="480"/>
        <w:rPr>
          <w:rFonts w:ascii="Arial" w:eastAsia="宋体" w:hAnsi="Arial" w:cs="Arial"/>
          <w:sz w:val="24"/>
          <w:szCs w:val="20"/>
        </w:rPr>
      </w:pPr>
    </w:p>
    <w:p w:rsidR="00141618" w:rsidRDefault="009F00F6">
      <w:pPr>
        <w:adjustRightIn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为了保护投资者的利益，避免巨额赎回引发净值大波动，根据《博时裕昂纯债债券型证券投资基金基金合同》（以下简称“《基金合同》”）的有关约定，博时基金管理有限公司（以下简称“基金管理人”或“本公司”）决定自</w:t>
      </w:r>
      <w:r>
        <w:rPr>
          <w:rFonts w:ascii="Arial" w:eastAsia="宋体" w:hAnsi="Arial" w:cs="Arial" w:hint="eastAsia"/>
          <w:sz w:val="24"/>
          <w:szCs w:val="24"/>
        </w:rPr>
        <w:t>2024</w:t>
      </w:r>
      <w:r>
        <w:rPr>
          <w:rFonts w:ascii="Arial" w:eastAsia="宋体" w:hAnsi="Arial" w:cs="Arial" w:hint="eastAsia"/>
          <w:sz w:val="24"/>
          <w:szCs w:val="24"/>
        </w:rPr>
        <w:t>年</w:t>
      </w:r>
      <w:r>
        <w:rPr>
          <w:rFonts w:ascii="Arial" w:eastAsia="宋体" w:hAnsi="Arial" w:cs="Arial" w:hint="eastAsia"/>
          <w:sz w:val="24"/>
          <w:szCs w:val="24"/>
        </w:rPr>
        <w:t>1</w:t>
      </w:r>
      <w:r>
        <w:rPr>
          <w:rFonts w:ascii="Arial" w:eastAsia="宋体" w:hAnsi="Arial" w:cs="Arial" w:hint="eastAsia"/>
          <w:sz w:val="24"/>
          <w:szCs w:val="24"/>
        </w:rPr>
        <w:t>月</w:t>
      </w:r>
      <w:r>
        <w:rPr>
          <w:rFonts w:ascii="Arial" w:eastAsia="宋体" w:hAnsi="Arial" w:cs="Arial" w:hint="eastAsia"/>
          <w:sz w:val="24"/>
          <w:szCs w:val="24"/>
        </w:rPr>
        <w:t>5</w:t>
      </w:r>
      <w:r>
        <w:rPr>
          <w:rFonts w:ascii="Arial" w:eastAsia="宋体" w:hAnsi="Arial" w:cs="Arial" w:hint="eastAsia"/>
          <w:sz w:val="24"/>
          <w:szCs w:val="24"/>
        </w:rPr>
        <w:t>日对博时裕昂纯债债券型证券投资基金（以下简称“本基金”）变更基金份额净值小数点保留位数，由基金份额净值小数点保留</w:t>
      </w:r>
      <w:r>
        <w:rPr>
          <w:rFonts w:ascii="Arial" w:eastAsia="宋体" w:hAnsi="Arial" w:cs="Arial" w:hint="eastAsia"/>
          <w:sz w:val="24"/>
          <w:szCs w:val="24"/>
        </w:rPr>
        <w:t>3</w:t>
      </w:r>
      <w:r>
        <w:rPr>
          <w:rFonts w:ascii="Arial" w:eastAsia="宋体" w:hAnsi="Arial" w:cs="Arial" w:hint="eastAsia"/>
          <w:sz w:val="24"/>
          <w:szCs w:val="24"/>
        </w:rPr>
        <w:t>位修改为基金份额净值小数点保留</w:t>
      </w:r>
      <w:r>
        <w:rPr>
          <w:rFonts w:ascii="Arial" w:eastAsia="宋体" w:hAnsi="Arial" w:cs="Arial" w:hint="eastAsia"/>
          <w:sz w:val="24"/>
          <w:szCs w:val="24"/>
        </w:rPr>
        <w:t>4</w:t>
      </w:r>
      <w:r>
        <w:rPr>
          <w:rFonts w:ascii="Arial" w:eastAsia="宋体" w:hAnsi="Arial" w:cs="Arial" w:hint="eastAsia"/>
          <w:sz w:val="24"/>
          <w:szCs w:val="24"/>
        </w:rPr>
        <w:t>位，并对《基金合同》和《博时裕昂纯债债券型证券投资基金托管协议》（以下简称“《托管协议》”）中涉及基金份额净值小数点保留位数的相关内容进行了修订。</w:t>
      </w:r>
    </w:p>
    <w:p w:rsidR="00141618" w:rsidRDefault="009F00F6">
      <w:pPr>
        <w:adjustRightIn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经与基金托管人中国民生银行股份有限公司协商一致，本公司对《基金合同》、《托管协议》中有关内容进行相应修订，现将本基金变更基金份额净值小数点保留位数相关内容说明如下：</w:t>
      </w:r>
    </w:p>
    <w:p w:rsidR="00141618" w:rsidRDefault="00141618">
      <w:pPr>
        <w:adjustRightInd w:val="0"/>
        <w:spacing w:line="360" w:lineRule="auto"/>
        <w:rPr>
          <w:rFonts w:ascii="Arial" w:eastAsia="宋体" w:hAnsi="Arial" w:cs="Arial"/>
          <w:sz w:val="24"/>
          <w:szCs w:val="24"/>
        </w:rPr>
      </w:pPr>
    </w:p>
    <w:p w:rsidR="00141618" w:rsidRDefault="009F00F6">
      <w:pPr>
        <w:adjustRightInd w:val="0"/>
        <w:spacing w:line="360" w:lineRule="auto"/>
        <w:rPr>
          <w:rFonts w:ascii="Arial" w:eastAsia="宋体" w:hAnsi="Arial" w:cs="Arial"/>
          <w:b/>
          <w:sz w:val="24"/>
          <w:szCs w:val="24"/>
        </w:rPr>
      </w:pPr>
      <w:r>
        <w:rPr>
          <w:rFonts w:ascii="Arial" w:eastAsia="宋体" w:hAnsi="Arial" w:cs="Arial" w:hint="eastAsia"/>
          <w:b/>
          <w:sz w:val="24"/>
          <w:szCs w:val="24"/>
        </w:rPr>
        <w:t>一、对《基金合同》与基金份额净值小数点保留位数有关</w:t>
      </w:r>
      <w:r>
        <w:rPr>
          <w:rFonts w:ascii="Arial" w:eastAsia="宋体" w:hAnsi="Arial" w:cs="Arial" w:hint="eastAsia"/>
          <w:b/>
          <w:sz w:val="24"/>
          <w:szCs w:val="24"/>
        </w:rPr>
        <w:t>的内容进行修改</w:t>
      </w:r>
    </w:p>
    <w:p w:rsidR="00141618" w:rsidRDefault="009F00F6">
      <w:pPr>
        <w:adjustRightInd w:val="0"/>
        <w:snapToGrid w:val="0"/>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（一）在“第六部分</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基金份额的申购与赎回”的“六、</w:t>
      </w:r>
      <w:r>
        <w:rPr>
          <w:bCs/>
          <w:sz w:val="24"/>
          <w:szCs w:val="24"/>
        </w:rPr>
        <w:t>申购和赎回的价格、费用及其用途</w:t>
      </w:r>
      <w:r>
        <w:rPr>
          <w:rFonts w:ascii="Times New Roman" w:eastAsia="宋体" w:hAnsi="Times New Roman" w:cs="Times New Roman" w:hint="eastAsia"/>
          <w:color w:val="000000"/>
          <w:sz w:val="24"/>
          <w:szCs w:val="24"/>
        </w:rPr>
        <w:t>”中将：</w:t>
      </w:r>
    </w:p>
    <w:p w:rsidR="00141618" w:rsidRDefault="009F00F6">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bCs/>
          <w:sz w:val="24"/>
          <w:szCs w:val="24"/>
        </w:rPr>
        <w:t>1</w:t>
      </w:r>
      <w:r>
        <w:rPr>
          <w:rFonts w:hint="eastAsia"/>
          <w:bCs/>
          <w:sz w:val="24"/>
          <w:szCs w:val="24"/>
        </w:rPr>
        <w:t>、</w:t>
      </w:r>
      <w:r>
        <w:rPr>
          <w:bCs/>
          <w:sz w:val="24"/>
          <w:szCs w:val="24"/>
        </w:rPr>
        <w:t>本基金</w:t>
      </w:r>
      <w:r>
        <w:rPr>
          <w:rFonts w:hint="eastAsia"/>
          <w:bCs/>
          <w:sz w:val="24"/>
          <w:szCs w:val="24"/>
        </w:rPr>
        <w:t>各类基金</w:t>
      </w:r>
      <w:r>
        <w:rPr>
          <w:bCs/>
          <w:sz w:val="24"/>
          <w:szCs w:val="24"/>
        </w:rPr>
        <w:t>份额净值的计算，</w:t>
      </w:r>
      <w:r>
        <w:rPr>
          <w:rFonts w:hint="eastAsia"/>
          <w:bCs/>
          <w:sz w:val="24"/>
          <w:szCs w:val="24"/>
        </w:rPr>
        <w:t>均</w:t>
      </w:r>
      <w:r>
        <w:rPr>
          <w:bCs/>
          <w:sz w:val="24"/>
          <w:szCs w:val="24"/>
        </w:rPr>
        <w:t>保留到小数点后</w:t>
      </w:r>
      <w:r>
        <w:rPr>
          <w:rFonts w:hint="eastAsia"/>
          <w:bCs/>
          <w:sz w:val="24"/>
          <w:szCs w:val="24"/>
        </w:rPr>
        <w:t>3</w:t>
      </w:r>
      <w:r>
        <w:rPr>
          <w:bCs/>
          <w:sz w:val="24"/>
          <w:szCs w:val="24"/>
        </w:rPr>
        <w:t>位，小数点后第</w:t>
      </w:r>
      <w:r>
        <w:rPr>
          <w:rFonts w:hint="eastAsia"/>
          <w:bCs/>
          <w:sz w:val="24"/>
          <w:szCs w:val="24"/>
        </w:rPr>
        <w:t>4</w:t>
      </w:r>
      <w:r>
        <w:rPr>
          <w:bCs/>
          <w:sz w:val="24"/>
          <w:szCs w:val="24"/>
        </w:rPr>
        <w:t>位四舍五入，由此产生的收益或损失由基金财产承担。</w:t>
      </w:r>
      <w:r>
        <w:rPr>
          <w:bCs/>
          <w:sz w:val="24"/>
          <w:szCs w:val="24"/>
        </w:rPr>
        <w:t>T</w:t>
      </w:r>
      <w:r>
        <w:rPr>
          <w:bCs/>
          <w:sz w:val="24"/>
          <w:szCs w:val="24"/>
        </w:rPr>
        <w:t>日的</w:t>
      </w:r>
      <w:r>
        <w:rPr>
          <w:rFonts w:hint="eastAsia"/>
          <w:bCs/>
          <w:sz w:val="24"/>
          <w:szCs w:val="24"/>
        </w:rPr>
        <w:t>各类</w:t>
      </w:r>
      <w:r>
        <w:rPr>
          <w:bCs/>
          <w:sz w:val="24"/>
          <w:szCs w:val="24"/>
        </w:rPr>
        <w:t>基金份额净值在当天收市后计算，并</w:t>
      </w:r>
      <w:r>
        <w:rPr>
          <w:rFonts w:hint="eastAsia"/>
          <w:bCs/>
          <w:sz w:val="24"/>
          <w:szCs w:val="24"/>
        </w:rPr>
        <w:t>按照基金合同约定</w:t>
      </w:r>
      <w:r>
        <w:rPr>
          <w:bCs/>
          <w:sz w:val="24"/>
          <w:szCs w:val="24"/>
        </w:rPr>
        <w:t>公告。遇特殊情况，经中国证监会同意，可以适当延迟计算或公告。</w:t>
      </w:r>
      <w:r>
        <w:rPr>
          <w:rFonts w:ascii="Times New Roman" w:eastAsia="宋体" w:hAnsi="Times New Roman" w:cs="Times New Roman" w:hint="eastAsia"/>
          <w:bCs/>
          <w:sz w:val="24"/>
          <w:szCs w:val="24"/>
        </w:rPr>
        <w:t>”</w:t>
      </w:r>
    </w:p>
    <w:p w:rsidR="00141618" w:rsidRDefault="009F00F6">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bCs/>
          <w:sz w:val="24"/>
          <w:szCs w:val="24"/>
        </w:rPr>
        <w:t>修改为：“</w:t>
      </w:r>
      <w:r>
        <w:rPr>
          <w:bCs/>
          <w:sz w:val="24"/>
          <w:szCs w:val="24"/>
        </w:rPr>
        <w:t>1</w:t>
      </w:r>
      <w:r>
        <w:rPr>
          <w:rFonts w:hint="eastAsia"/>
          <w:bCs/>
          <w:sz w:val="24"/>
          <w:szCs w:val="24"/>
        </w:rPr>
        <w:t>、</w:t>
      </w:r>
      <w:r>
        <w:rPr>
          <w:bCs/>
          <w:sz w:val="24"/>
          <w:szCs w:val="24"/>
        </w:rPr>
        <w:t>本基金</w:t>
      </w:r>
      <w:r>
        <w:rPr>
          <w:rFonts w:hint="eastAsia"/>
          <w:bCs/>
          <w:sz w:val="24"/>
          <w:szCs w:val="24"/>
        </w:rPr>
        <w:t>各类基金</w:t>
      </w:r>
      <w:r>
        <w:rPr>
          <w:bCs/>
          <w:sz w:val="24"/>
          <w:szCs w:val="24"/>
        </w:rPr>
        <w:t>份额净值的计算，</w:t>
      </w:r>
      <w:r>
        <w:rPr>
          <w:rFonts w:hint="eastAsia"/>
          <w:bCs/>
          <w:sz w:val="24"/>
          <w:szCs w:val="24"/>
        </w:rPr>
        <w:t>均</w:t>
      </w:r>
      <w:r>
        <w:rPr>
          <w:bCs/>
          <w:sz w:val="24"/>
          <w:szCs w:val="24"/>
        </w:rPr>
        <w:t>保留到小数点后</w:t>
      </w:r>
      <w:r>
        <w:rPr>
          <w:rFonts w:hint="eastAsia"/>
          <w:bCs/>
          <w:sz w:val="24"/>
          <w:szCs w:val="24"/>
        </w:rPr>
        <w:t>4</w:t>
      </w:r>
      <w:r>
        <w:rPr>
          <w:bCs/>
          <w:sz w:val="24"/>
          <w:szCs w:val="24"/>
        </w:rPr>
        <w:t>位，小数点后第</w:t>
      </w:r>
      <w:r>
        <w:rPr>
          <w:rFonts w:hint="eastAsia"/>
          <w:bCs/>
          <w:sz w:val="24"/>
          <w:szCs w:val="24"/>
        </w:rPr>
        <w:t>5</w:t>
      </w:r>
      <w:r>
        <w:rPr>
          <w:bCs/>
          <w:sz w:val="24"/>
          <w:szCs w:val="24"/>
        </w:rPr>
        <w:t>位四舍五入，由此产生的收益或损失由基金财产承担。</w:t>
      </w:r>
      <w:r>
        <w:rPr>
          <w:bCs/>
          <w:sz w:val="24"/>
          <w:szCs w:val="24"/>
        </w:rPr>
        <w:t>T</w:t>
      </w:r>
      <w:r>
        <w:rPr>
          <w:bCs/>
          <w:sz w:val="24"/>
          <w:szCs w:val="24"/>
        </w:rPr>
        <w:t>日的</w:t>
      </w:r>
      <w:r>
        <w:rPr>
          <w:rFonts w:hint="eastAsia"/>
          <w:bCs/>
          <w:sz w:val="24"/>
          <w:szCs w:val="24"/>
        </w:rPr>
        <w:t>各类</w:t>
      </w:r>
      <w:r>
        <w:rPr>
          <w:bCs/>
          <w:sz w:val="24"/>
          <w:szCs w:val="24"/>
        </w:rPr>
        <w:t>基金份额净值在当天收市后计算，并</w:t>
      </w:r>
      <w:r>
        <w:rPr>
          <w:rFonts w:hint="eastAsia"/>
          <w:bCs/>
          <w:sz w:val="24"/>
          <w:szCs w:val="24"/>
        </w:rPr>
        <w:t>按照基金合同约定</w:t>
      </w:r>
      <w:r>
        <w:rPr>
          <w:bCs/>
          <w:sz w:val="24"/>
          <w:szCs w:val="24"/>
        </w:rPr>
        <w:t>公告。遇特殊情况，经中国证监会同意，可以适当延迟计算或公告。</w:t>
      </w:r>
      <w:r>
        <w:rPr>
          <w:rFonts w:ascii="Times New Roman" w:eastAsia="宋体" w:hAnsi="Times New Roman" w:cs="Times New Roman" w:hint="eastAsia"/>
          <w:color w:val="000000"/>
          <w:sz w:val="24"/>
          <w:szCs w:val="24"/>
        </w:rPr>
        <w:t>”</w:t>
      </w:r>
    </w:p>
    <w:p w:rsidR="00141618" w:rsidRDefault="009F00F6">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（二）在“第十四部分</w:t>
      </w:r>
      <w:r>
        <w:rPr>
          <w:rFonts w:ascii="Times New Roman" w:eastAsia="宋体" w:hAnsi="Times New Roman" w:cs="Times New Roman" w:hint="eastAsia"/>
          <w:bCs/>
          <w:sz w:val="24"/>
          <w:szCs w:val="24"/>
        </w:rPr>
        <w:t xml:space="preserve">  </w:t>
      </w:r>
      <w:r>
        <w:rPr>
          <w:rFonts w:ascii="Times New Roman" w:eastAsia="宋体" w:hAnsi="Times New Roman" w:cs="Times New Roman" w:hint="eastAsia"/>
          <w:bCs/>
          <w:sz w:val="24"/>
          <w:szCs w:val="24"/>
        </w:rPr>
        <w:t>基金资产估值”的“</w:t>
      </w:r>
      <w:r>
        <w:rPr>
          <w:bCs/>
          <w:sz w:val="24"/>
          <w:szCs w:val="24"/>
        </w:rPr>
        <w:t>四、估值程序</w:t>
      </w:r>
      <w:r>
        <w:rPr>
          <w:rFonts w:ascii="Times New Roman" w:eastAsia="宋体" w:hAnsi="Times New Roman" w:cs="Times New Roman" w:hint="eastAsia"/>
          <w:bCs/>
          <w:sz w:val="24"/>
          <w:szCs w:val="24"/>
        </w:rPr>
        <w:t>”中将：</w:t>
      </w:r>
    </w:p>
    <w:p w:rsidR="00141618" w:rsidRDefault="009F00F6">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color w:val="000000"/>
          <w:sz w:val="24"/>
          <w:szCs w:val="24"/>
        </w:rPr>
        <w:t>“</w:t>
      </w:r>
      <w:r>
        <w:rPr>
          <w:bCs/>
          <w:sz w:val="24"/>
          <w:szCs w:val="24"/>
        </w:rPr>
        <w:t>1</w:t>
      </w:r>
      <w:r>
        <w:rPr>
          <w:bCs/>
          <w:sz w:val="24"/>
          <w:szCs w:val="24"/>
        </w:rPr>
        <w:t>、</w:t>
      </w:r>
      <w:r>
        <w:rPr>
          <w:rFonts w:hint="eastAsia"/>
          <w:bCs/>
          <w:sz w:val="24"/>
          <w:szCs w:val="24"/>
        </w:rPr>
        <w:t>各类</w:t>
      </w:r>
      <w:r>
        <w:rPr>
          <w:bCs/>
          <w:sz w:val="24"/>
          <w:szCs w:val="24"/>
        </w:rPr>
        <w:t>基金份额净值是按照每个工作日闭市后，</w:t>
      </w:r>
      <w:r>
        <w:rPr>
          <w:rFonts w:hint="eastAsia"/>
          <w:bCs/>
          <w:sz w:val="24"/>
          <w:szCs w:val="24"/>
        </w:rPr>
        <w:t>该类基金份额的</w:t>
      </w:r>
      <w:r>
        <w:rPr>
          <w:bCs/>
          <w:sz w:val="24"/>
          <w:szCs w:val="24"/>
        </w:rPr>
        <w:t>基金资产净值除以当日</w:t>
      </w:r>
      <w:r>
        <w:rPr>
          <w:rFonts w:hint="eastAsia"/>
          <w:bCs/>
          <w:sz w:val="24"/>
          <w:szCs w:val="24"/>
        </w:rPr>
        <w:t>该类</w:t>
      </w:r>
      <w:r>
        <w:rPr>
          <w:bCs/>
          <w:sz w:val="24"/>
          <w:szCs w:val="24"/>
        </w:rPr>
        <w:t>基金份额的余额数量计算，</w:t>
      </w:r>
      <w:r>
        <w:rPr>
          <w:rFonts w:hint="eastAsia"/>
          <w:bCs/>
          <w:sz w:val="24"/>
          <w:szCs w:val="24"/>
        </w:rPr>
        <w:t>均</w:t>
      </w:r>
      <w:r>
        <w:rPr>
          <w:bCs/>
          <w:sz w:val="24"/>
          <w:szCs w:val="24"/>
        </w:rPr>
        <w:t>精确到</w:t>
      </w:r>
      <w:r>
        <w:rPr>
          <w:rFonts w:hint="eastAsia"/>
          <w:bCs/>
          <w:sz w:val="24"/>
          <w:szCs w:val="24"/>
        </w:rPr>
        <w:t>0.001</w:t>
      </w:r>
      <w:r>
        <w:rPr>
          <w:bCs/>
          <w:sz w:val="24"/>
          <w:szCs w:val="24"/>
        </w:rPr>
        <w:t>元，小数点后第</w:t>
      </w:r>
      <w:r>
        <w:rPr>
          <w:rFonts w:hint="eastAsia"/>
          <w:bCs/>
          <w:sz w:val="24"/>
          <w:szCs w:val="24"/>
        </w:rPr>
        <w:lastRenderedPageBreak/>
        <w:t>4</w:t>
      </w:r>
      <w:r>
        <w:rPr>
          <w:bCs/>
          <w:sz w:val="24"/>
          <w:szCs w:val="24"/>
        </w:rPr>
        <w:t>位四舍五入。国家另有规定的，从其规定。</w:t>
      </w:r>
      <w:r>
        <w:rPr>
          <w:rFonts w:ascii="Times New Roman" w:eastAsia="宋体" w:hAnsi="Times New Roman" w:cs="Times New Roman" w:hint="eastAsia"/>
          <w:bCs/>
          <w:sz w:val="24"/>
          <w:szCs w:val="24"/>
        </w:rPr>
        <w:t>”</w:t>
      </w:r>
    </w:p>
    <w:p w:rsidR="00141618" w:rsidRDefault="009F00F6">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修改为：“</w:t>
      </w:r>
      <w:r>
        <w:rPr>
          <w:bCs/>
          <w:sz w:val="24"/>
          <w:szCs w:val="24"/>
        </w:rPr>
        <w:t>1</w:t>
      </w:r>
      <w:r>
        <w:rPr>
          <w:bCs/>
          <w:sz w:val="24"/>
          <w:szCs w:val="24"/>
        </w:rPr>
        <w:t>、</w:t>
      </w:r>
      <w:r>
        <w:rPr>
          <w:rFonts w:hint="eastAsia"/>
          <w:bCs/>
          <w:sz w:val="24"/>
          <w:szCs w:val="24"/>
        </w:rPr>
        <w:t>各类</w:t>
      </w:r>
      <w:r>
        <w:rPr>
          <w:bCs/>
          <w:sz w:val="24"/>
          <w:szCs w:val="24"/>
        </w:rPr>
        <w:t>基金份额净值是按照每个工作日闭市后，</w:t>
      </w:r>
      <w:r>
        <w:rPr>
          <w:rFonts w:hint="eastAsia"/>
          <w:bCs/>
          <w:sz w:val="24"/>
          <w:szCs w:val="24"/>
        </w:rPr>
        <w:t>该类基金份额的</w:t>
      </w:r>
      <w:r>
        <w:rPr>
          <w:bCs/>
          <w:sz w:val="24"/>
          <w:szCs w:val="24"/>
        </w:rPr>
        <w:t>基金资产净值除以当日</w:t>
      </w:r>
      <w:r>
        <w:rPr>
          <w:rFonts w:hint="eastAsia"/>
          <w:bCs/>
          <w:sz w:val="24"/>
          <w:szCs w:val="24"/>
        </w:rPr>
        <w:t>该类</w:t>
      </w:r>
      <w:r>
        <w:rPr>
          <w:bCs/>
          <w:sz w:val="24"/>
          <w:szCs w:val="24"/>
        </w:rPr>
        <w:t>基金份额的余额数量计算，</w:t>
      </w:r>
      <w:r>
        <w:rPr>
          <w:rFonts w:hint="eastAsia"/>
          <w:bCs/>
          <w:sz w:val="24"/>
          <w:szCs w:val="24"/>
        </w:rPr>
        <w:t>均</w:t>
      </w:r>
      <w:r>
        <w:rPr>
          <w:bCs/>
          <w:sz w:val="24"/>
          <w:szCs w:val="24"/>
        </w:rPr>
        <w:t>精确到</w:t>
      </w:r>
      <w:r>
        <w:rPr>
          <w:rFonts w:hint="eastAsia"/>
          <w:bCs/>
          <w:sz w:val="24"/>
          <w:szCs w:val="24"/>
        </w:rPr>
        <w:t>0.0001</w:t>
      </w:r>
      <w:r>
        <w:rPr>
          <w:bCs/>
          <w:sz w:val="24"/>
          <w:szCs w:val="24"/>
        </w:rPr>
        <w:t>元，小数点后第</w:t>
      </w:r>
      <w:r>
        <w:rPr>
          <w:rFonts w:hint="eastAsia"/>
          <w:bCs/>
          <w:sz w:val="24"/>
          <w:szCs w:val="24"/>
        </w:rPr>
        <w:t>5</w:t>
      </w:r>
      <w:r>
        <w:rPr>
          <w:bCs/>
          <w:sz w:val="24"/>
          <w:szCs w:val="24"/>
        </w:rPr>
        <w:t>位四舍五入。国家另有规定的，从其规定。</w:t>
      </w:r>
      <w:r>
        <w:rPr>
          <w:rFonts w:ascii="Times New Roman" w:eastAsia="宋体" w:hAnsi="Times New Roman" w:cs="Times New Roman" w:hint="eastAsia"/>
          <w:bCs/>
          <w:sz w:val="24"/>
          <w:szCs w:val="24"/>
        </w:rPr>
        <w:t>”</w:t>
      </w:r>
    </w:p>
    <w:p w:rsidR="00141618" w:rsidRDefault="009F00F6">
      <w:pPr>
        <w:numPr>
          <w:ilvl w:val="0"/>
          <w:numId w:val="1"/>
        </w:num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在“第十四部分</w:t>
      </w:r>
      <w:r>
        <w:rPr>
          <w:rFonts w:ascii="Times New Roman" w:eastAsia="宋体" w:hAnsi="Times New Roman" w:cs="Times New Roman" w:hint="eastAsia"/>
          <w:bCs/>
          <w:sz w:val="24"/>
          <w:szCs w:val="24"/>
        </w:rPr>
        <w:t xml:space="preserve">  </w:t>
      </w:r>
      <w:r>
        <w:rPr>
          <w:rFonts w:ascii="Times New Roman" w:eastAsia="宋体" w:hAnsi="Times New Roman" w:cs="Times New Roman" w:hint="eastAsia"/>
          <w:bCs/>
          <w:sz w:val="24"/>
          <w:szCs w:val="24"/>
        </w:rPr>
        <w:t>基金资产估值”的“</w:t>
      </w:r>
      <w:r>
        <w:rPr>
          <w:bCs/>
          <w:sz w:val="24"/>
          <w:szCs w:val="24"/>
        </w:rPr>
        <w:t>五、估值错误的处理</w:t>
      </w:r>
      <w:r>
        <w:rPr>
          <w:rFonts w:ascii="Times New Roman" w:eastAsia="宋体" w:hAnsi="Times New Roman" w:cs="Times New Roman" w:hint="eastAsia"/>
          <w:bCs/>
          <w:sz w:val="24"/>
          <w:szCs w:val="24"/>
        </w:rPr>
        <w:t>”中将：</w:t>
      </w:r>
    </w:p>
    <w:p w:rsidR="00141618" w:rsidRDefault="009F00F6">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bCs/>
          <w:sz w:val="24"/>
          <w:szCs w:val="24"/>
        </w:rPr>
        <w:t>基金管理人和基金托管人将采取必要、适当、合理的措施确保基金资产估值的准确性、及时性。当</w:t>
      </w:r>
      <w:r>
        <w:rPr>
          <w:rFonts w:hint="eastAsia"/>
          <w:bCs/>
          <w:sz w:val="24"/>
          <w:szCs w:val="24"/>
        </w:rPr>
        <w:t>任何一类</w:t>
      </w:r>
      <w:r>
        <w:rPr>
          <w:bCs/>
          <w:sz w:val="24"/>
          <w:szCs w:val="24"/>
        </w:rPr>
        <w:t>基金份额净值小数点后</w:t>
      </w:r>
      <w:r>
        <w:rPr>
          <w:rFonts w:hint="eastAsia"/>
          <w:bCs/>
          <w:sz w:val="24"/>
          <w:szCs w:val="24"/>
        </w:rPr>
        <w:t>3</w:t>
      </w:r>
      <w:r>
        <w:rPr>
          <w:bCs/>
          <w:sz w:val="24"/>
          <w:szCs w:val="24"/>
        </w:rPr>
        <w:t>位以内</w:t>
      </w:r>
      <w:r>
        <w:rPr>
          <w:bCs/>
          <w:sz w:val="24"/>
          <w:szCs w:val="24"/>
        </w:rPr>
        <w:t>(</w:t>
      </w:r>
      <w:r>
        <w:rPr>
          <w:bCs/>
          <w:sz w:val="24"/>
          <w:szCs w:val="24"/>
        </w:rPr>
        <w:t>含第</w:t>
      </w:r>
      <w:r>
        <w:rPr>
          <w:rFonts w:hint="eastAsia"/>
          <w:bCs/>
          <w:sz w:val="24"/>
          <w:szCs w:val="24"/>
        </w:rPr>
        <w:t>3</w:t>
      </w:r>
      <w:r>
        <w:rPr>
          <w:bCs/>
          <w:sz w:val="24"/>
          <w:szCs w:val="24"/>
        </w:rPr>
        <w:t>位</w:t>
      </w:r>
      <w:r>
        <w:rPr>
          <w:bCs/>
          <w:sz w:val="24"/>
          <w:szCs w:val="24"/>
        </w:rPr>
        <w:t>)</w:t>
      </w:r>
      <w:r>
        <w:rPr>
          <w:bCs/>
          <w:sz w:val="24"/>
          <w:szCs w:val="24"/>
        </w:rPr>
        <w:t>发生估值错误时，视为</w:t>
      </w:r>
      <w:r>
        <w:rPr>
          <w:rFonts w:hint="eastAsia"/>
          <w:bCs/>
          <w:sz w:val="24"/>
          <w:szCs w:val="24"/>
        </w:rPr>
        <w:t>该类</w:t>
      </w:r>
      <w:r>
        <w:rPr>
          <w:bCs/>
          <w:sz w:val="24"/>
          <w:szCs w:val="24"/>
        </w:rPr>
        <w:t>基金份额净值错误。</w:t>
      </w:r>
      <w:r>
        <w:rPr>
          <w:rFonts w:ascii="Times New Roman" w:eastAsia="宋体" w:hAnsi="Times New Roman" w:cs="Times New Roman" w:hint="eastAsia"/>
          <w:bCs/>
          <w:sz w:val="24"/>
          <w:szCs w:val="24"/>
        </w:rPr>
        <w:t>”</w:t>
      </w:r>
    </w:p>
    <w:p w:rsidR="00141618" w:rsidRDefault="009F00F6">
      <w:pPr>
        <w:spacing w:line="360" w:lineRule="auto"/>
        <w:ind w:firstLineChars="200" w:firstLine="480"/>
        <w:rPr>
          <w:rFonts w:ascii="Arial" w:eastAsia="宋体" w:hAnsi="Arial" w:cs="Arial"/>
          <w:sz w:val="24"/>
          <w:szCs w:val="24"/>
        </w:rPr>
      </w:pPr>
      <w:r>
        <w:rPr>
          <w:rFonts w:ascii="Times New Roman" w:eastAsia="宋体" w:hAnsi="Times New Roman" w:cs="Times New Roman" w:hint="eastAsia"/>
          <w:bCs/>
          <w:sz w:val="24"/>
          <w:szCs w:val="24"/>
        </w:rPr>
        <w:t>修改为：“</w:t>
      </w:r>
      <w:r>
        <w:rPr>
          <w:bCs/>
          <w:sz w:val="24"/>
          <w:szCs w:val="24"/>
        </w:rPr>
        <w:t>基金管理人和基金托管人将采取必要、适当、合理的措施确保基金资产估值的准确性、及时性。当</w:t>
      </w:r>
      <w:r>
        <w:rPr>
          <w:rFonts w:hint="eastAsia"/>
          <w:bCs/>
          <w:sz w:val="24"/>
          <w:szCs w:val="24"/>
        </w:rPr>
        <w:t>任何一类</w:t>
      </w:r>
      <w:r>
        <w:rPr>
          <w:bCs/>
          <w:sz w:val="24"/>
          <w:szCs w:val="24"/>
        </w:rPr>
        <w:t>基金份额净值小数点后</w:t>
      </w:r>
      <w:r>
        <w:rPr>
          <w:rFonts w:hint="eastAsia"/>
          <w:bCs/>
          <w:sz w:val="24"/>
          <w:szCs w:val="24"/>
        </w:rPr>
        <w:t>4</w:t>
      </w:r>
      <w:r>
        <w:rPr>
          <w:bCs/>
          <w:sz w:val="24"/>
          <w:szCs w:val="24"/>
        </w:rPr>
        <w:t>位以内</w:t>
      </w:r>
      <w:r>
        <w:rPr>
          <w:bCs/>
          <w:sz w:val="24"/>
          <w:szCs w:val="24"/>
        </w:rPr>
        <w:t>(</w:t>
      </w:r>
      <w:r>
        <w:rPr>
          <w:bCs/>
          <w:sz w:val="24"/>
          <w:szCs w:val="24"/>
        </w:rPr>
        <w:t>含第</w:t>
      </w:r>
      <w:r>
        <w:rPr>
          <w:rFonts w:hint="eastAsia"/>
          <w:bCs/>
          <w:sz w:val="24"/>
          <w:szCs w:val="24"/>
        </w:rPr>
        <w:t>4</w:t>
      </w:r>
      <w:r>
        <w:rPr>
          <w:bCs/>
          <w:sz w:val="24"/>
          <w:szCs w:val="24"/>
        </w:rPr>
        <w:t>位</w:t>
      </w:r>
      <w:r>
        <w:rPr>
          <w:bCs/>
          <w:sz w:val="24"/>
          <w:szCs w:val="24"/>
        </w:rPr>
        <w:t>)</w:t>
      </w:r>
      <w:r>
        <w:rPr>
          <w:bCs/>
          <w:sz w:val="24"/>
          <w:szCs w:val="24"/>
        </w:rPr>
        <w:t>发生估值错误时，视为</w:t>
      </w:r>
      <w:r>
        <w:rPr>
          <w:rFonts w:hint="eastAsia"/>
          <w:bCs/>
          <w:sz w:val="24"/>
          <w:szCs w:val="24"/>
        </w:rPr>
        <w:t>该类</w:t>
      </w:r>
      <w:r>
        <w:rPr>
          <w:bCs/>
          <w:sz w:val="24"/>
          <w:szCs w:val="24"/>
        </w:rPr>
        <w:t>基金份额净值错误。</w:t>
      </w:r>
      <w:r>
        <w:rPr>
          <w:rFonts w:ascii="Times New Roman" w:eastAsia="宋体" w:hAnsi="Times New Roman" w:cs="Times New Roman" w:hint="eastAsia"/>
          <w:bCs/>
          <w:sz w:val="24"/>
          <w:szCs w:val="24"/>
        </w:rPr>
        <w:t>”</w:t>
      </w:r>
    </w:p>
    <w:p w:rsidR="00141618" w:rsidRDefault="009F00F6">
      <w:pPr>
        <w:adjustRightInd w:val="0"/>
        <w:spacing w:line="360" w:lineRule="auto"/>
        <w:rPr>
          <w:rFonts w:ascii="Arial" w:eastAsia="宋体" w:hAnsi="Arial" w:cs="Arial"/>
          <w:b/>
          <w:sz w:val="24"/>
          <w:szCs w:val="24"/>
        </w:rPr>
      </w:pPr>
      <w:r>
        <w:rPr>
          <w:rFonts w:ascii="Arial" w:eastAsia="宋体" w:hAnsi="Arial" w:cs="Arial" w:hint="eastAsia"/>
          <w:b/>
          <w:sz w:val="24"/>
          <w:szCs w:val="24"/>
        </w:rPr>
        <w:t>二、对《托管协议》与基金份额净值小</w:t>
      </w:r>
      <w:r>
        <w:rPr>
          <w:rFonts w:ascii="Arial" w:eastAsia="宋体" w:hAnsi="Arial" w:cs="Arial" w:hint="eastAsia"/>
          <w:b/>
          <w:sz w:val="24"/>
          <w:szCs w:val="24"/>
        </w:rPr>
        <w:t>数点保留位数有关的内容进行修改</w:t>
      </w:r>
    </w:p>
    <w:p w:rsidR="00141618" w:rsidRDefault="009F00F6">
      <w:pPr>
        <w:adjustRightInd w:val="0"/>
        <w:snapToGrid w:val="0"/>
        <w:spacing w:line="360" w:lineRule="auto"/>
        <w:ind w:firstLine="480"/>
        <w:rPr>
          <w:rFonts w:ascii="Times New Roman" w:eastAsia="宋体" w:hAnsi="Times New Roman" w:cs="Times New Roman"/>
          <w:b/>
          <w:bCs/>
          <w:color w:val="000000"/>
          <w:sz w:val="24"/>
          <w:szCs w:val="24"/>
        </w:rPr>
      </w:pPr>
      <w:r>
        <w:rPr>
          <w:rFonts w:ascii="Times New Roman" w:eastAsia="宋体" w:hAnsi="Times New Roman" w:cs="Times New Roman" w:hint="eastAsia"/>
          <w:color w:val="000000"/>
          <w:sz w:val="24"/>
          <w:szCs w:val="24"/>
        </w:rPr>
        <w:t>（一）在“八、基金资产净值计算和会计核算”的“</w:t>
      </w:r>
      <w:r>
        <w:rPr>
          <w:rFonts w:ascii="宋体" w:hAnsi="宋体" w:cs="Arial" w:hint="eastAsia"/>
          <w:sz w:val="24"/>
          <w:szCs w:val="24"/>
        </w:rPr>
        <w:t>（一）基金资产净值的计算、复核与完成的时间及程序</w:t>
      </w:r>
      <w:r>
        <w:rPr>
          <w:rFonts w:ascii="Times New Roman" w:eastAsia="宋体" w:hAnsi="Times New Roman" w:cs="Times New Roman" w:hint="eastAsia"/>
          <w:color w:val="000000"/>
          <w:sz w:val="24"/>
          <w:szCs w:val="24"/>
        </w:rPr>
        <w:t>”中将：</w:t>
      </w:r>
    </w:p>
    <w:p w:rsidR="00141618" w:rsidRDefault="009F00F6">
      <w:pPr>
        <w:numPr>
          <w:ilvl w:val="255"/>
          <w:numId w:val="0"/>
        </w:numPr>
        <w:adjustRightInd w:val="0"/>
        <w:snapToGrid w:val="0"/>
        <w:spacing w:line="360" w:lineRule="auto"/>
        <w:ind w:left="480"/>
        <w:rPr>
          <w:rFonts w:ascii="宋体" w:hAnsi="宋体" w:cs="Arial"/>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宋体" w:hAnsi="宋体" w:cs="Arial" w:hint="eastAsia"/>
          <w:sz w:val="24"/>
          <w:szCs w:val="24"/>
        </w:rPr>
        <w:t>基金资产净值</w:t>
      </w:r>
    </w:p>
    <w:p w:rsidR="00141618" w:rsidRDefault="009F00F6">
      <w:pPr>
        <w:adjustRightInd w:val="0"/>
        <w:snapToGrid w:val="0"/>
        <w:spacing w:line="360" w:lineRule="auto"/>
        <w:ind w:firstLineChars="200" w:firstLine="480"/>
        <w:rPr>
          <w:rFonts w:ascii="宋体" w:hAnsi="宋体" w:cs="Arial"/>
          <w:sz w:val="24"/>
          <w:szCs w:val="24"/>
        </w:rPr>
      </w:pPr>
      <w:r>
        <w:rPr>
          <w:rFonts w:ascii="宋体" w:hAnsi="宋体" w:cs="Arial" w:hint="eastAsia"/>
          <w:sz w:val="24"/>
          <w:szCs w:val="24"/>
        </w:rPr>
        <w:t>基金资产净值是指基金资产总值减去负债后的金额。</w:t>
      </w:r>
    </w:p>
    <w:p w:rsidR="00141618" w:rsidRDefault="009F00F6">
      <w:pPr>
        <w:adjustRightInd w:val="0"/>
        <w:snapToGrid w:val="0"/>
        <w:spacing w:line="360" w:lineRule="auto"/>
        <w:ind w:firstLineChars="200" w:firstLine="480"/>
        <w:rPr>
          <w:rFonts w:ascii="宋体" w:hAnsi="宋体" w:cs="Arial"/>
          <w:sz w:val="24"/>
          <w:szCs w:val="24"/>
        </w:rPr>
      </w:pPr>
      <w:r>
        <w:rPr>
          <w:rFonts w:ascii="宋体" w:hAnsi="宋体" w:cs="Arial" w:hint="eastAsia"/>
          <w:sz w:val="24"/>
          <w:szCs w:val="24"/>
        </w:rPr>
        <w:t>基金份额净值是指基金资产净值除以基金份额总数，各类基金份额净值的计算，均精确到</w:t>
      </w:r>
      <w:r>
        <w:rPr>
          <w:rFonts w:ascii="宋体" w:hAnsi="宋体" w:cs="Arial" w:hint="eastAsia"/>
          <w:sz w:val="24"/>
          <w:szCs w:val="24"/>
        </w:rPr>
        <w:t>0.001</w:t>
      </w:r>
      <w:r>
        <w:rPr>
          <w:rFonts w:ascii="宋体" w:hAnsi="宋体" w:cs="Arial" w:hint="eastAsia"/>
          <w:sz w:val="24"/>
          <w:szCs w:val="24"/>
        </w:rPr>
        <w:t>元，小数点后第</w:t>
      </w:r>
      <w:r>
        <w:rPr>
          <w:rFonts w:ascii="宋体" w:hAnsi="宋体" w:cs="Arial" w:hint="eastAsia"/>
          <w:sz w:val="24"/>
          <w:szCs w:val="24"/>
        </w:rPr>
        <w:t>4</w:t>
      </w:r>
      <w:r>
        <w:rPr>
          <w:rFonts w:ascii="宋体" w:hAnsi="宋体" w:cs="Arial" w:hint="eastAsia"/>
          <w:sz w:val="24"/>
          <w:szCs w:val="24"/>
        </w:rPr>
        <w:t>位四舍五入，国家另有规定的，从其规定。</w:t>
      </w:r>
    </w:p>
    <w:p w:rsidR="00141618" w:rsidRDefault="009F00F6">
      <w:pPr>
        <w:adjustRightInd w:val="0"/>
        <w:snapToGrid w:val="0"/>
        <w:spacing w:line="360" w:lineRule="auto"/>
        <w:ind w:firstLineChars="200" w:firstLine="480"/>
        <w:rPr>
          <w:rFonts w:ascii="Times New Roman" w:eastAsia="宋体" w:hAnsi="Times New Roman" w:cs="Times New Roman"/>
          <w:color w:val="000000"/>
          <w:sz w:val="24"/>
          <w:szCs w:val="24"/>
        </w:rPr>
      </w:pPr>
      <w:r>
        <w:rPr>
          <w:rFonts w:ascii="宋体" w:hAnsi="宋体" w:cs="Arial" w:hint="eastAsia"/>
          <w:sz w:val="24"/>
          <w:szCs w:val="24"/>
        </w:rPr>
        <w:t>基金管理人每个工作日计算基金资产净值及各类基金份额净值，经基金托管人复核，按规定公告。</w:t>
      </w:r>
      <w:r>
        <w:rPr>
          <w:rFonts w:ascii="宋体" w:hAnsi="宋体" w:cs="Arial"/>
          <w:bCs/>
          <w:sz w:val="24"/>
          <w:szCs w:val="24"/>
        </w:rPr>
        <w:t>但基金管理人根据法律法规或基金合同的规定暂停估值时除外。</w:t>
      </w:r>
      <w:r>
        <w:rPr>
          <w:rFonts w:ascii="Times New Roman" w:eastAsia="宋体" w:hAnsi="Times New Roman" w:cs="Times New Roman" w:hint="eastAsia"/>
          <w:color w:val="000000"/>
          <w:sz w:val="24"/>
          <w:szCs w:val="24"/>
        </w:rPr>
        <w:t>”</w:t>
      </w:r>
    </w:p>
    <w:p w:rsidR="00141618" w:rsidRDefault="009F00F6">
      <w:pPr>
        <w:numPr>
          <w:ilvl w:val="255"/>
          <w:numId w:val="0"/>
        </w:numPr>
        <w:adjustRightInd w:val="0"/>
        <w:snapToGrid w:val="0"/>
        <w:spacing w:line="360" w:lineRule="auto"/>
        <w:ind w:left="210" w:firstLineChars="100" w:firstLine="240"/>
        <w:rPr>
          <w:rFonts w:ascii="宋体" w:hAnsi="宋体" w:cs="Arial"/>
          <w:sz w:val="24"/>
          <w:szCs w:val="24"/>
        </w:rPr>
      </w:pPr>
      <w:r>
        <w:rPr>
          <w:rFonts w:ascii="Times New Roman" w:eastAsia="宋体" w:hAnsi="Times New Roman" w:cs="Times New Roman" w:hint="eastAsia"/>
          <w:color w:val="000000"/>
          <w:sz w:val="24"/>
          <w:szCs w:val="24"/>
        </w:rPr>
        <w:t>修改为：“</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Pr>
          <w:rFonts w:ascii="宋体" w:hAnsi="宋体" w:cs="Arial" w:hint="eastAsia"/>
          <w:sz w:val="24"/>
          <w:szCs w:val="24"/>
        </w:rPr>
        <w:t>基金资产净值</w:t>
      </w:r>
    </w:p>
    <w:p w:rsidR="00141618" w:rsidRDefault="009F00F6">
      <w:pPr>
        <w:adjustRightInd w:val="0"/>
        <w:snapToGrid w:val="0"/>
        <w:spacing w:line="360" w:lineRule="auto"/>
        <w:ind w:firstLineChars="200" w:firstLine="480"/>
        <w:rPr>
          <w:rFonts w:ascii="宋体" w:hAnsi="宋体" w:cs="Arial"/>
          <w:sz w:val="24"/>
          <w:szCs w:val="24"/>
        </w:rPr>
      </w:pPr>
      <w:r>
        <w:rPr>
          <w:rFonts w:ascii="宋体" w:hAnsi="宋体" w:cs="Arial" w:hint="eastAsia"/>
          <w:sz w:val="24"/>
          <w:szCs w:val="24"/>
        </w:rPr>
        <w:t>基金资产净值是指基金资产总值减去负债后的金额。</w:t>
      </w:r>
    </w:p>
    <w:p w:rsidR="00141618" w:rsidRDefault="009F00F6">
      <w:pPr>
        <w:adjustRightInd w:val="0"/>
        <w:snapToGrid w:val="0"/>
        <w:spacing w:line="360" w:lineRule="auto"/>
        <w:ind w:firstLineChars="200" w:firstLine="480"/>
        <w:rPr>
          <w:rFonts w:ascii="宋体" w:hAnsi="宋体" w:cs="Arial"/>
          <w:sz w:val="24"/>
          <w:szCs w:val="24"/>
        </w:rPr>
      </w:pPr>
      <w:r>
        <w:rPr>
          <w:rFonts w:ascii="宋体" w:hAnsi="宋体" w:cs="Arial" w:hint="eastAsia"/>
          <w:sz w:val="24"/>
          <w:szCs w:val="24"/>
        </w:rPr>
        <w:t>基金份额净值是指基金资产净值除以基金份额总数，各类基金份额净值的计算，均精确到</w:t>
      </w:r>
      <w:r>
        <w:rPr>
          <w:rFonts w:ascii="宋体" w:hAnsi="宋体" w:cs="Arial" w:hint="eastAsia"/>
          <w:sz w:val="24"/>
          <w:szCs w:val="24"/>
        </w:rPr>
        <w:t>0.0001</w:t>
      </w:r>
      <w:r>
        <w:rPr>
          <w:rFonts w:ascii="宋体" w:hAnsi="宋体" w:cs="Arial" w:hint="eastAsia"/>
          <w:sz w:val="24"/>
          <w:szCs w:val="24"/>
        </w:rPr>
        <w:t>元，小数点后第</w:t>
      </w:r>
      <w:r>
        <w:rPr>
          <w:rFonts w:ascii="宋体" w:hAnsi="宋体" w:cs="Arial" w:hint="eastAsia"/>
          <w:sz w:val="24"/>
          <w:szCs w:val="24"/>
        </w:rPr>
        <w:t>5</w:t>
      </w:r>
      <w:r>
        <w:rPr>
          <w:rFonts w:ascii="宋体" w:hAnsi="宋体" w:cs="Arial" w:hint="eastAsia"/>
          <w:sz w:val="24"/>
          <w:szCs w:val="24"/>
        </w:rPr>
        <w:t>位四舍五入，国家另有规定的，从其规定。</w:t>
      </w:r>
    </w:p>
    <w:p w:rsidR="00141618" w:rsidRDefault="009F00F6">
      <w:pPr>
        <w:adjustRightInd w:val="0"/>
        <w:snapToGrid w:val="0"/>
        <w:spacing w:line="360" w:lineRule="auto"/>
        <w:ind w:firstLineChars="200" w:firstLine="480"/>
        <w:rPr>
          <w:rFonts w:ascii="Times New Roman" w:eastAsia="宋体" w:hAnsi="Times New Roman" w:cs="Times New Roman"/>
          <w:color w:val="000000"/>
          <w:sz w:val="24"/>
          <w:szCs w:val="24"/>
        </w:rPr>
      </w:pPr>
      <w:r>
        <w:rPr>
          <w:rFonts w:ascii="宋体" w:hAnsi="宋体" w:cs="Arial" w:hint="eastAsia"/>
          <w:sz w:val="24"/>
          <w:szCs w:val="24"/>
        </w:rPr>
        <w:t>基金管理人每个工作日计算基金资产净值及各类基金份额净值，经基金托管人复核，按规定公告。</w:t>
      </w:r>
      <w:r>
        <w:rPr>
          <w:rFonts w:ascii="宋体" w:hAnsi="宋体" w:cs="Arial"/>
          <w:bCs/>
          <w:sz w:val="24"/>
          <w:szCs w:val="24"/>
        </w:rPr>
        <w:t>但基金管理人根据法律法规或基金合同的规定暂停估值时除外。</w:t>
      </w:r>
      <w:r>
        <w:rPr>
          <w:rFonts w:ascii="Times New Roman" w:eastAsia="宋体" w:hAnsi="Times New Roman" w:cs="Times New Roman" w:hint="eastAsia"/>
          <w:color w:val="000000"/>
          <w:sz w:val="24"/>
          <w:szCs w:val="24"/>
        </w:rPr>
        <w:t>”</w:t>
      </w:r>
    </w:p>
    <w:p w:rsidR="00141618" w:rsidRDefault="009F00F6">
      <w:pPr>
        <w:numPr>
          <w:ilvl w:val="0"/>
          <w:numId w:val="2"/>
        </w:numPr>
        <w:adjustRightInd w:val="0"/>
        <w:snapToGrid w:val="0"/>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在“八、基金资产净值计算和会计核算”的“</w:t>
      </w:r>
      <w:r>
        <w:rPr>
          <w:rStyle w:val="read"/>
          <w:rFonts w:ascii="宋体" w:hAnsi="宋体" w:hint="eastAsia"/>
          <w:sz w:val="24"/>
          <w:szCs w:val="24"/>
        </w:rPr>
        <w:t>（三）基金份额净值错</w:t>
      </w:r>
      <w:r>
        <w:rPr>
          <w:rStyle w:val="read"/>
          <w:rFonts w:ascii="宋体" w:hAnsi="宋体" w:hint="eastAsia"/>
          <w:sz w:val="24"/>
          <w:szCs w:val="24"/>
        </w:rPr>
        <w:lastRenderedPageBreak/>
        <w:t>误的处理方式</w:t>
      </w:r>
      <w:r>
        <w:rPr>
          <w:rFonts w:ascii="Times New Roman" w:eastAsia="宋体" w:hAnsi="Times New Roman" w:cs="Times New Roman" w:hint="eastAsia"/>
          <w:color w:val="000000"/>
          <w:sz w:val="24"/>
          <w:szCs w:val="24"/>
        </w:rPr>
        <w:t>”中将：</w:t>
      </w:r>
    </w:p>
    <w:p w:rsidR="00141618" w:rsidRDefault="009F00F6">
      <w:pPr>
        <w:numPr>
          <w:ilvl w:val="255"/>
          <w:numId w:val="0"/>
        </w:numPr>
        <w:adjustRightInd w:val="0"/>
        <w:snapToGrid w:val="0"/>
        <w:spacing w:line="360" w:lineRule="auto"/>
        <w:ind w:firstLineChars="200" w:firstLine="480"/>
        <w:rPr>
          <w:rStyle w:val="read"/>
          <w:rFonts w:ascii="宋体" w:hAnsi="宋体" w:cs="Arial"/>
          <w:sz w:val="24"/>
          <w:szCs w:val="24"/>
        </w:rPr>
      </w:pPr>
      <w:r>
        <w:rPr>
          <w:rStyle w:val="read"/>
          <w:rFonts w:ascii="宋体" w:hAnsi="宋体" w:cs="Arial" w:hint="eastAsia"/>
          <w:sz w:val="24"/>
          <w:szCs w:val="24"/>
        </w:rPr>
        <w:t>“</w:t>
      </w:r>
      <w:r>
        <w:rPr>
          <w:rStyle w:val="read"/>
          <w:rFonts w:ascii="宋体" w:hAnsi="宋体" w:cs="Arial" w:hint="eastAsia"/>
          <w:sz w:val="24"/>
          <w:szCs w:val="24"/>
        </w:rPr>
        <w:t>1.</w:t>
      </w:r>
      <w:r>
        <w:rPr>
          <w:rStyle w:val="read"/>
          <w:rFonts w:ascii="宋体" w:hAnsi="宋体" w:cs="Arial" w:hint="eastAsia"/>
          <w:sz w:val="24"/>
          <w:szCs w:val="24"/>
        </w:rPr>
        <w:t>当任何一类基金份额净值小数点后</w:t>
      </w:r>
      <w:r>
        <w:rPr>
          <w:rFonts w:hint="eastAsia"/>
          <w:bCs/>
          <w:sz w:val="24"/>
          <w:szCs w:val="24"/>
        </w:rPr>
        <w:t>3</w:t>
      </w:r>
      <w:r>
        <w:rPr>
          <w:rStyle w:val="read"/>
          <w:rFonts w:ascii="宋体" w:hAnsi="宋体" w:cs="Arial" w:hint="eastAsia"/>
          <w:sz w:val="24"/>
          <w:szCs w:val="24"/>
        </w:rPr>
        <w:t>位以内</w:t>
      </w:r>
      <w:r>
        <w:rPr>
          <w:rStyle w:val="read"/>
          <w:rFonts w:ascii="宋体" w:hAnsi="宋体" w:cs="Arial" w:hint="eastAsia"/>
          <w:sz w:val="24"/>
          <w:szCs w:val="24"/>
        </w:rPr>
        <w:t>(</w:t>
      </w:r>
      <w:r>
        <w:rPr>
          <w:rStyle w:val="read"/>
          <w:rFonts w:ascii="宋体" w:hAnsi="宋体" w:cs="Arial" w:hint="eastAsia"/>
          <w:sz w:val="24"/>
          <w:szCs w:val="24"/>
        </w:rPr>
        <w:t>含第</w:t>
      </w:r>
      <w:r>
        <w:rPr>
          <w:rFonts w:hint="eastAsia"/>
          <w:bCs/>
          <w:sz w:val="24"/>
          <w:szCs w:val="24"/>
        </w:rPr>
        <w:t>3</w:t>
      </w:r>
      <w:r>
        <w:rPr>
          <w:rStyle w:val="read"/>
          <w:rFonts w:ascii="宋体" w:hAnsi="宋体" w:cs="Arial" w:hint="eastAsia"/>
          <w:sz w:val="24"/>
          <w:szCs w:val="24"/>
        </w:rPr>
        <w:t>位</w:t>
      </w:r>
      <w:r>
        <w:rPr>
          <w:rStyle w:val="read"/>
          <w:rFonts w:ascii="宋体" w:hAnsi="宋体" w:cs="Arial" w:hint="eastAsia"/>
          <w:sz w:val="24"/>
          <w:szCs w:val="24"/>
        </w:rPr>
        <w:t>)</w:t>
      </w:r>
      <w:r>
        <w:rPr>
          <w:rStyle w:val="read"/>
          <w:rFonts w:ascii="宋体" w:hAnsi="宋体" w:cs="Arial" w:hint="eastAsia"/>
          <w:sz w:val="24"/>
          <w:szCs w:val="24"/>
        </w:rPr>
        <w:t>发生差错时，视为该类</w:t>
      </w:r>
      <w:r>
        <w:rPr>
          <w:rStyle w:val="read"/>
          <w:rFonts w:ascii="宋体" w:hAnsi="宋体" w:cs="Arial" w:hint="eastAsia"/>
          <w:sz w:val="24"/>
          <w:szCs w:val="24"/>
        </w:rPr>
        <w:t>基金份额净值错误；当任何一类基金份额净值出现错误时，基金管理人应当立即予以纠正，通报基金托管人，并采取合理的措施防止损失进一步扩大；错误偏差达到该类基金份额净值的</w:t>
      </w:r>
      <w:r>
        <w:rPr>
          <w:rStyle w:val="read"/>
          <w:rFonts w:ascii="宋体" w:hAnsi="宋体" w:cs="Arial" w:hint="eastAsia"/>
          <w:sz w:val="24"/>
          <w:szCs w:val="24"/>
        </w:rPr>
        <w:t>0.25%</w:t>
      </w:r>
      <w:r>
        <w:rPr>
          <w:rStyle w:val="read"/>
          <w:rFonts w:ascii="宋体" w:hAnsi="宋体" w:cs="Arial" w:hint="eastAsia"/>
          <w:sz w:val="24"/>
          <w:szCs w:val="24"/>
        </w:rPr>
        <w:t>时，基金管理人应当通报基金托管人并报中国证监会备案</w:t>
      </w:r>
      <w:r>
        <w:rPr>
          <w:rStyle w:val="read"/>
          <w:rFonts w:ascii="宋体" w:hAnsi="宋体" w:hint="eastAsia"/>
          <w:sz w:val="24"/>
          <w:szCs w:val="24"/>
        </w:rPr>
        <w:t>；错误偏差达到该类基金份额净值的</w:t>
      </w:r>
      <w:r>
        <w:rPr>
          <w:rStyle w:val="read"/>
          <w:rFonts w:ascii="宋体" w:hAnsi="宋体" w:cs="Arial" w:hint="eastAsia"/>
          <w:sz w:val="24"/>
          <w:szCs w:val="24"/>
        </w:rPr>
        <w:t>0.5%</w:t>
      </w:r>
      <w:r>
        <w:rPr>
          <w:rStyle w:val="read"/>
          <w:rFonts w:ascii="宋体" w:hAnsi="宋体" w:cs="Arial" w:hint="eastAsia"/>
          <w:sz w:val="24"/>
          <w:szCs w:val="24"/>
        </w:rPr>
        <w:t>时，基金管理人应当公告；当发生净值计算错误时，由基金管理人负责处理，由此给基金份额持有人和基金造成损失的，应由基金管理人先行赔付，基金管理人按差错情形，有权向其他当事人追偿。”</w:t>
      </w:r>
    </w:p>
    <w:p w:rsidR="00141618" w:rsidRDefault="009F00F6">
      <w:pPr>
        <w:numPr>
          <w:ilvl w:val="255"/>
          <w:numId w:val="0"/>
        </w:numPr>
        <w:adjustRightInd w:val="0"/>
        <w:snapToGrid w:val="0"/>
        <w:spacing w:line="360" w:lineRule="auto"/>
        <w:ind w:firstLineChars="200" w:firstLine="480"/>
        <w:rPr>
          <w:rStyle w:val="read"/>
          <w:rFonts w:ascii="宋体" w:hAnsi="宋体" w:cs="Arial"/>
          <w:sz w:val="24"/>
          <w:szCs w:val="24"/>
        </w:rPr>
      </w:pPr>
      <w:r>
        <w:rPr>
          <w:rStyle w:val="read"/>
          <w:rFonts w:ascii="宋体" w:hAnsi="宋体" w:cs="Arial" w:hint="eastAsia"/>
          <w:sz w:val="24"/>
          <w:szCs w:val="24"/>
        </w:rPr>
        <w:t>修改为：“</w:t>
      </w:r>
      <w:r>
        <w:rPr>
          <w:rStyle w:val="read"/>
          <w:rFonts w:ascii="宋体" w:hAnsi="宋体" w:cs="Arial" w:hint="eastAsia"/>
          <w:sz w:val="24"/>
          <w:szCs w:val="24"/>
        </w:rPr>
        <w:t>1.</w:t>
      </w:r>
      <w:r>
        <w:rPr>
          <w:rStyle w:val="read"/>
          <w:rFonts w:ascii="宋体" w:hAnsi="宋体" w:cs="Arial" w:hint="eastAsia"/>
          <w:sz w:val="24"/>
          <w:szCs w:val="24"/>
        </w:rPr>
        <w:t>当任何一类基金份额净值小数点后</w:t>
      </w:r>
      <w:r>
        <w:rPr>
          <w:rStyle w:val="read"/>
          <w:rFonts w:ascii="宋体" w:hAnsi="宋体" w:cs="Arial" w:hint="eastAsia"/>
          <w:sz w:val="24"/>
          <w:szCs w:val="24"/>
        </w:rPr>
        <w:t>4</w:t>
      </w:r>
      <w:r>
        <w:rPr>
          <w:rStyle w:val="read"/>
          <w:rFonts w:ascii="宋体" w:hAnsi="宋体" w:cs="Arial" w:hint="eastAsia"/>
          <w:sz w:val="24"/>
          <w:szCs w:val="24"/>
        </w:rPr>
        <w:t>位以内</w:t>
      </w:r>
      <w:r>
        <w:rPr>
          <w:rStyle w:val="read"/>
          <w:rFonts w:ascii="宋体" w:hAnsi="宋体" w:cs="Arial" w:hint="eastAsia"/>
          <w:sz w:val="24"/>
          <w:szCs w:val="24"/>
        </w:rPr>
        <w:t>(</w:t>
      </w:r>
      <w:r>
        <w:rPr>
          <w:rStyle w:val="read"/>
          <w:rFonts w:ascii="宋体" w:hAnsi="宋体" w:cs="Arial" w:hint="eastAsia"/>
          <w:sz w:val="24"/>
          <w:szCs w:val="24"/>
        </w:rPr>
        <w:t>含第</w:t>
      </w:r>
      <w:r>
        <w:rPr>
          <w:rStyle w:val="read"/>
          <w:rFonts w:ascii="宋体" w:hAnsi="宋体" w:cs="Arial" w:hint="eastAsia"/>
          <w:sz w:val="24"/>
          <w:szCs w:val="24"/>
        </w:rPr>
        <w:t>4</w:t>
      </w:r>
      <w:r>
        <w:rPr>
          <w:rStyle w:val="read"/>
          <w:rFonts w:ascii="宋体" w:hAnsi="宋体" w:cs="Arial" w:hint="eastAsia"/>
          <w:sz w:val="24"/>
          <w:szCs w:val="24"/>
        </w:rPr>
        <w:t>位</w:t>
      </w:r>
      <w:r>
        <w:rPr>
          <w:rStyle w:val="read"/>
          <w:rFonts w:ascii="宋体" w:hAnsi="宋体" w:cs="Arial" w:hint="eastAsia"/>
          <w:sz w:val="24"/>
          <w:szCs w:val="24"/>
        </w:rPr>
        <w:t>)</w:t>
      </w:r>
      <w:r>
        <w:rPr>
          <w:rStyle w:val="read"/>
          <w:rFonts w:ascii="宋体" w:hAnsi="宋体" w:cs="Arial" w:hint="eastAsia"/>
          <w:sz w:val="24"/>
          <w:szCs w:val="24"/>
        </w:rPr>
        <w:t>发生差错</w:t>
      </w:r>
      <w:r>
        <w:rPr>
          <w:rStyle w:val="read"/>
          <w:rFonts w:ascii="宋体" w:hAnsi="宋体" w:cs="Arial" w:hint="eastAsia"/>
          <w:sz w:val="24"/>
          <w:szCs w:val="24"/>
        </w:rPr>
        <w:t>时，视为该类基金份额净值错误；当任何一类基金份额净值出现错误时，基金管理人应当立即予以纠正，通报基金托管人，并采取合理的措施防止损失进一步扩大；错误偏差达到该类基金份额净值的</w:t>
      </w:r>
      <w:r>
        <w:rPr>
          <w:rStyle w:val="read"/>
          <w:rFonts w:ascii="宋体" w:hAnsi="宋体" w:cs="Arial" w:hint="eastAsia"/>
          <w:sz w:val="24"/>
          <w:szCs w:val="24"/>
        </w:rPr>
        <w:t>0.25%</w:t>
      </w:r>
      <w:r>
        <w:rPr>
          <w:rStyle w:val="read"/>
          <w:rFonts w:ascii="宋体" w:hAnsi="宋体" w:cs="Arial" w:hint="eastAsia"/>
          <w:sz w:val="24"/>
          <w:szCs w:val="24"/>
        </w:rPr>
        <w:t>时，基金管理人应当通报基金托管人并报中国证监会备案</w:t>
      </w:r>
      <w:r>
        <w:rPr>
          <w:rStyle w:val="read"/>
          <w:rFonts w:ascii="宋体" w:hAnsi="宋体" w:hint="eastAsia"/>
          <w:sz w:val="24"/>
          <w:szCs w:val="24"/>
        </w:rPr>
        <w:t>；错误偏差达到该类基金份额净值的</w:t>
      </w:r>
      <w:r>
        <w:rPr>
          <w:rStyle w:val="read"/>
          <w:rFonts w:ascii="宋体" w:hAnsi="宋体" w:cs="Arial" w:hint="eastAsia"/>
          <w:sz w:val="24"/>
          <w:szCs w:val="24"/>
        </w:rPr>
        <w:t>0.5%</w:t>
      </w:r>
      <w:r>
        <w:rPr>
          <w:rStyle w:val="read"/>
          <w:rFonts w:ascii="宋体" w:hAnsi="宋体" w:cs="Arial" w:hint="eastAsia"/>
          <w:sz w:val="24"/>
          <w:szCs w:val="24"/>
        </w:rPr>
        <w:t>时，基金管理人应当公告；当发生净值计算错误时，由基金管理人负责处理，由此给基金份额持有人和基金造成损失的，应由基金管理人先行赔付，基金管理人按差错情形，有权向其他当事人追偿。”</w:t>
      </w:r>
    </w:p>
    <w:p w:rsidR="00141618" w:rsidRDefault="00141618">
      <w:pPr>
        <w:rPr>
          <w:sz w:val="24"/>
          <w:szCs w:val="24"/>
        </w:rPr>
      </w:pPr>
    </w:p>
    <w:p w:rsidR="00141618" w:rsidRDefault="009F00F6">
      <w:pPr>
        <w:spacing w:line="360" w:lineRule="auto"/>
        <w:ind w:firstLine="420"/>
        <w:jc w:val="left"/>
        <w:rPr>
          <w:rFonts w:ascii="宋体" w:eastAsia="宋体" w:hAnsi="宋体" w:cs="Times New Roman"/>
          <w:sz w:val="24"/>
          <w:szCs w:val="24"/>
        </w:rPr>
      </w:pPr>
      <w:r>
        <w:rPr>
          <w:rFonts w:ascii="宋体" w:eastAsia="宋体" w:hAnsi="宋体" w:cs="Times New Roman" w:hint="eastAsia"/>
          <w:sz w:val="24"/>
          <w:szCs w:val="24"/>
        </w:rPr>
        <w:t>上述修改，对基金份额持有人利益无实质性不利影响，无需经基金</w:t>
      </w:r>
      <w:r>
        <w:rPr>
          <w:rFonts w:ascii="宋体" w:eastAsia="宋体" w:hAnsi="宋体" w:cs="Times New Roman" w:hint="eastAsia"/>
          <w:sz w:val="24"/>
          <w:szCs w:val="24"/>
        </w:rPr>
        <w:t>份额持有人大会表决。本基金《基金合同》和《托管协议》的修改自</w:t>
      </w:r>
      <w:r>
        <w:rPr>
          <w:rFonts w:ascii="宋体" w:eastAsia="宋体" w:hAnsi="宋体" w:cs="Times New Roman" w:hint="eastAsia"/>
          <w:sz w:val="24"/>
          <w:szCs w:val="24"/>
        </w:rPr>
        <w:t>2024</w:t>
      </w:r>
      <w:r>
        <w:rPr>
          <w:rFonts w:ascii="宋体" w:eastAsia="宋体" w:hAnsi="宋体" w:cs="Times New Roman" w:hint="eastAsia"/>
          <w:sz w:val="24"/>
          <w:szCs w:val="24"/>
        </w:rPr>
        <w:t>年</w:t>
      </w:r>
      <w:r>
        <w:rPr>
          <w:rFonts w:ascii="宋体" w:eastAsia="宋体" w:hAnsi="宋体" w:cs="Times New Roman" w:hint="eastAsia"/>
          <w:sz w:val="24"/>
          <w:szCs w:val="24"/>
        </w:rPr>
        <w:t>1</w:t>
      </w:r>
      <w:r>
        <w:rPr>
          <w:rFonts w:ascii="宋体" w:eastAsia="宋体" w:hAnsi="宋体" w:cs="Times New Roman" w:hint="eastAsia"/>
          <w:sz w:val="24"/>
          <w:szCs w:val="24"/>
        </w:rPr>
        <w:t>月</w:t>
      </w:r>
      <w:r>
        <w:rPr>
          <w:rFonts w:ascii="宋体" w:eastAsia="宋体" w:hAnsi="宋体" w:cs="Times New Roman" w:hint="eastAsia"/>
          <w:sz w:val="24"/>
          <w:szCs w:val="24"/>
        </w:rPr>
        <w:t>5</w:t>
      </w:r>
      <w:r>
        <w:rPr>
          <w:rFonts w:ascii="宋体" w:eastAsia="宋体" w:hAnsi="宋体" w:cs="Times New Roman" w:hint="eastAsia"/>
          <w:sz w:val="24"/>
          <w:szCs w:val="24"/>
        </w:rPr>
        <w:t>日起生效。自当日起，本基金登记机构将按新的净值计算方法处理投资者的申购、赎回和转换等业务申请。</w:t>
      </w:r>
      <w:r>
        <w:rPr>
          <w:rFonts w:ascii="宋体" w:eastAsia="宋体" w:hAnsi="宋体" w:cs="Times New Roman"/>
          <w:sz w:val="24"/>
          <w:szCs w:val="24"/>
        </w:rPr>
        <w:t xml:space="preserve"> </w:t>
      </w:r>
    </w:p>
    <w:p w:rsidR="00141618" w:rsidRDefault="009F00F6">
      <w:pPr>
        <w:spacing w:line="360" w:lineRule="auto"/>
        <w:ind w:right="480" w:firstLineChars="200" w:firstLine="480"/>
        <w:rPr>
          <w:rFonts w:ascii="宋体" w:eastAsia="宋体" w:hAnsi="宋体" w:cs="Times New Roman"/>
          <w:sz w:val="24"/>
          <w:szCs w:val="24"/>
        </w:rPr>
      </w:pPr>
      <w:r>
        <w:rPr>
          <w:rFonts w:ascii="宋体" w:eastAsia="宋体" w:hAnsi="宋体" w:cs="Times New Roman" w:hint="eastAsia"/>
          <w:sz w:val="24"/>
          <w:szCs w:val="24"/>
        </w:rPr>
        <w:t>投资者可拨打博时一线通：</w:t>
      </w:r>
      <w:r>
        <w:rPr>
          <w:rFonts w:ascii="宋体" w:eastAsia="宋体" w:hAnsi="宋体" w:cs="Times New Roman" w:hint="eastAsia"/>
          <w:sz w:val="24"/>
          <w:szCs w:val="24"/>
        </w:rPr>
        <w:t>95105568</w:t>
      </w:r>
      <w:r>
        <w:rPr>
          <w:rFonts w:ascii="宋体" w:eastAsia="宋体" w:hAnsi="宋体" w:cs="Times New Roman" w:hint="eastAsia"/>
          <w:sz w:val="24"/>
          <w:szCs w:val="24"/>
        </w:rPr>
        <w:t>（免长途费）或可登录本公司网站</w:t>
      </w:r>
      <w:r>
        <w:rPr>
          <w:rFonts w:ascii="宋体" w:eastAsia="宋体" w:hAnsi="宋体" w:cs="Times New Roman" w:hint="eastAsia"/>
          <w:sz w:val="24"/>
          <w:szCs w:val="24"/>
        </w:rPr>
        <w:t>www.bosera.com</w:t>
      </w:r>
      <w:r>
        <w:rPr>
          <w:rFonts w:ascii="宋体" w:eastAsia="宋体" w:hAnsi="宋体" w:cs="Times New Roman" w:hint="eastAsia"/>
          <w:sz w:val="24"/>
          <w:szCs w:val="24"/>
        </w:rPr>
        <w:t>了解相关情况。</w:t>
      </w:r>
    </w:p>
    <w:p w:rsidR="00141618" w:rsidRDefault="009F00F6">
      <w:pPr>
        <w:spacing w:line="360" w:lineRule="auto"/>
        <w:jc w:val="right"/>
        <w:rPr>
          <w:rFonts w:ascii="宋体" w:eastAsia="宋体" w:hAnsi="宋体" w:cs="Times New Roman"/>
          <w:sz w:val="24"/>
          <w:szCs w:val="24"/>
        </w:rPr>
      </w:pPr>
      <w:r>
        <w:rPr>
          <w:rFonts w:ascii="宋体" w:eastAsia="宋体" w:hAnsi="宋体" w:cs="Times New Roman"/>
          <w:sz w:val="24"/>
          <w:szCs w:val="24"/>
        </w:rPr>
        <w:t xml:space="preserve"> </w:t>
      </w:r>
    </w:p>
    <w:p w:rsidR="00141618" w:rsidRDefault="009F00F6">
      <w:pPr>
        <w:spacing w:line="360" w:lineRule="auto"/>
        <w:ind w:firstLine="420"/>
        <w:jc w:val="left"/>
        <w:rPr>
          <w:rFonts w:ascii="宋体" w:eastAsia="宋体" w:hAnsi="宋体" w:cs="Times New Roman"/>
          <w:sz w:val="24"/>
          <w:szCs w:val="24"/>
        </w:rPr>
      </w:pPr>
      <w:r>
        <w:rPr>
          <w:rFonts w:ascii="宋体" w:eastAsia="宋体" w:hAnsi="宋体" w:cs="Times New Roman" w:hint="eastAsia"/>
          <w:sz w:val="24"/>
          <w:szCs w:val="24"/>
        </w:rPr>
        <w:t>特此公告。</w:t>
      </w:r>
    </w:p>
    <w:p w:rsidR="00141618" w:rsidRDefault="009F00F6">
      <w:pPr>
        <w:spacing w:line="360" w:lineRule="auto"/>
        <w:jc w:val="right"/>
        <w:rPr>
          <w:rFonts w:ascii="宋体" w:eastAsia="宋体" w:hAnsi="宋体" w:cs="Times New Roman"/>
          <w:sz w:val="24"/>
          <w:szCs w:val="24"/>
        </w:rPr>
      </w:pPr>
      <w:bookmarkStart w:id="0" w:name="_GoBack"/>
      <w:bookmarkEnd w:id="0"/>
      <w:r>
        <w:rPr>
          <w:rFonts w:ascii="宋体" w:eastAsia="宋体" w:hAnsi="宋体" w:cs="Times New Roman"/>
          <w:sz w:val="24"/>
          <w:szCs w:val="24"/>
        </w:rPr>
        <w:t xml:space="preserve"> </w:t>
      </w:r>
    </w:p>
    <w:p w:rsidR="00141618" w:rsidRDefault="009F00F6">
      <w:pPr>
        <w:spacing w:line="360" w:lineRule="auto"/>
        <w:jc w:val="right"/>
        <w:rPr>
          <w:rFonts w:ascii="宋体" w:eastAsia="宋体" w:hAnsi="宋体" w:cs="Times New Roman"/>
          <w:sz w:val="24"/>
          <w:szCs w:val="24"/>
        </w:rPr>
      </w:pPr>
      <w:r>
        <w:rPr>
          <w:rFonts w:ascii="宋体" w:eastAsia="宋体" w:hAnsi="宋体" w:cs="Times New Roman" w:hint="eastAsia"/>
          <w:sz w:val="24"/>
          <w:szCs w:val="24"/>
        </w:rPr>
        <w:t>博时基金管理有限公司</w:t>
      </w:r>
    </w:p>
    <w:p w:rsidR="00141618" w:rsidRDefault="009F00F6">
      <w:pPr>
        <w:wordWrap w:val="0"/>
        <w:spacing w:line="360" w:lineRule="auto"/>
        <w:jc w:val="right"/>
        <w:rPr>
          <w:sz w:val="24"/>
          <w:szCs w:val="24"/>
        </w:rPr>
      </w:pPr>
      <w:r>
        <w:rPr>
          <w:rFonts w:ascii="宋体" w:eastAsia="宋体" w:hAnsi="宋体" w:cs="Times New Roman" w:hint="eastAsia"/>
          <w:sz w:val="24"/>
          <w:szCs w:val="24"/>
        </w:rPr>
        <w:t>2024</w:t>
      </w:r>
      <w:r>
        <w:rPr>
          <w:rFonts w:ascii="宋体" w:eastAsia="宋体" w:hAnsi="宋体" w:cs="Times New Roman" w:hint="eastAsia"/>
          <w:sz w:val="24"/>
          <w:szCs w:val="24"/>
        </w:rPr>
        <w:t>年</w:t>
      </w:r>
      <w:r>
        <w:rPr>
          <w:rFonts w:ascii="宋体" w:eastAsia="宋体" w:hAnsi="宋体" w:cs="Times New Roman" w:hint="eastAsia"/>
          <w:sz w:val="24"/>
          <w:szCs w:val="24"/>
        </w:rPr>
        <w:t>1</w:t>
      </w:r>
      <w:r>
        <w:rPr>
          <w:rFonts w:ascii="宋体" w:eastAsia="宋体" w:hAnsi="宋体" w:cs="Times New Roman" w:hint="eastAsia"/>
          <w:sz w:val="24"/>
          <w:szCs w:val="24"/>
        </w:rPr>
        <w:t>月</w:t>
      </w:r>
      <w:r>
        <w:rPr>
          <w:rFonts w:ascii="宋体" w:eastAsia="宋体" w:hAnsi="宋体" w:cs="Times New Roman" w:hint="eastAsia"/>
          <w:sz w:val="24"/>
          <w:szCs w:val="24"/>
        </w:rPr>
        <w:t>5</w:t>
      </w:r>
      <w:r>
        <w:rPr>
          <w:rFonts w:ascii="宋体" w:eastAsia="宋体" w:hAnsi="宋体" w:cs="Times New Roman" w:hint="eastAsia"/>
          <w:sz w:val="24"/>
          <w:szCs w:val="24"/>
        </w:rPr>
        <w:t>日</w:t>
      </w:r>
    </w:p>
    <w:p w:rsidR="00141618" w:rsidRDefault="00141618"/>
    <w:sectPr w:rsidR="00141618" w:rsidSect="001416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18" w:rsidRDefault="00141618" w:rsidP="00141618">
      <w:r>
        <w:separator/>
      </w:r>
    </w:p>
  </w:endnote>
  <w:endnote w:type="continuationSeparator" w:id="0">
    <w:p w:rsidR="00141618" w:rsidRDefault="00141618" w:rsidP="00141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24037"/>
    </w:sdtPr>
    <w:sdtContent>
      <w:p w:rsidR="00141618" w:rsidRDefault="00141618">
        <w:pPr>
          <w:pStyle w:val="a5"/>
          <w:jc w:val="center"/>
        </w:pPr>
        <w:r>
          <w:fldChar w:fldCharType="begin"/>
        </w:r>
        <w:r w:rsidR="009F00F6">
          <w:instrText>PAGE   \* MERGEFORMAT</w:instrText>
        </w:r>
        <w:r>
          <w:fldChar w:fldCharType="separate"/>
        </w:r>
        <w:r w:rsidR="009F00F6" w:rsidRPr="009F00F6">
          <w:rPr>
            <w:noProof/>
            <w:lang w:val="zh-CN"/>
          </w:rPr>
          <w:t>1</w:t>
        </w:r>
        <w:r>
          <w:fldChar w:fldCharType="end"/>
        </w:r>
      </w:p>
    </w:sdtContent>
  </w:sdt>
  <w:p w:rsidR="00141618" w:rsidRDefault="001416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18" w:rsidRDefault="00141618" w:rsidP="00141618">
      <w:r>
        <w:separator/>
      </w:r>
    </w:p>
  </w:footnote>
  <w:footnote w:type="continuationSeparator" w:id="0">
    <w:p w:rsidR="00141618" w:rsidRDefault="00141618" w:rsidP="00141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73BF1"/>
    <w:multiLevelType w:val="singleLevel"/>
    <w:tmpl w:val="94173BF1"/>
    <w:lvl w:ilvl="0">
      <w:start w:val="2"/>
      <w:numFmt w:val="chineseCounting"/>
      <w:suff w:val="nothing"/>
      <w:lvlText w:val="（%1）"/>
      <w:lvlJc w:val="left"/>
      <w:rPr>
        <w:rFonts w:hint="eastAsia"/>
      </w:rPr>
    </w:lvl>
  </w:abstractNum>
  <w:abstractNum w:abstractNumId="1">
    <w:nsid w:val="4832701D"/>
    <w:multiLevelType w:val="singleLevel"/>
    <w:tmpl w:val="4832701D"/>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9CA"/>
    <w:rsid w:val="00006E94"/>
    <w:rsid w:val="00007FF2"/>
    <w:rsid w:val="000510F1"/>
    <w:rsid w:val="00054062"/>
    <w:rsid w:val="00056089"/>
    <w:rsid w:val="000808DB"/>
    <w:rsid w:val="000936A8"/>
    <w:rsid w:val="000A06B7"/>
    <w:rsid w:val="000A5828"/>
    <w:rsid w:val="000C09CA"/>
    <w:rsid w:val="001015C4"/>
    <w:rsid w:val="001016D9"/>
    <w:rsid w:val="00106B19"/>
    <w:rsid w:val="00135F9A"/>
    <w:rsid w:val="00141618"/>
    <w:rsid w:val="00184CAE"/>
    <w:rsid w:val="001F5150"/>
    <w:rsid w:val="00211EBB"/>
    <w:rsid w:val="00291135"/>
    <w:rsid w:val="002912CB"/>
    <w:rsid w:val="0029321D"/>
    <w:rsid w:val="002A2ED7"/>
    <w:rsid w:val="002B7DEF"/>
    <w:rsid w:val="002F0F10"/>
    <w:rsid w:val="002F6248"/>
    <w:rsid w:val="003347DB"/>
    <w:rsid w:val="00347900"/>
    <w:rsid w:val="00391360"/>
    <w:rsid w:val="003A175C"/>
    <w:rsid w:val="003D72B7"/>
    <w:rsid w:val="003F208E"/>
    <w:rsid w:val="00427C7B"/>
    <w:rsid w:val="00433113"/>
    <w:rsid w:val="004829FE"/>
    <w:rsid w:val="0049317E"/>
    <w:rsid w:val="004977F4"/>
    <w:rsid w:val="004A70FC"/>
    <w:rsid w:val="004D10E3"/>
    <w:rsid w:val="004D3CBC"/>
    <w:rsid w:val="004E41B0"/>
    <w:rsid w:val="00521186"/>
    <w:rsid w:val="00543B20"/>
    <w:rsid w:val="00543EAC"/>
    <w:rsid w:val="00596F4E"/>
    <w:rsid w:val="005A01DE"/>
    <w:rsid w:val="005B7EC1"/>
    <w:rsid w:val="005C4A9F"/>
    <w:rsid w:val="005E62D1"/>
    <w:rsid w:val="005F6272"/>
    <w:rsid w:val="005F7A5F"/>
    <w:rsid w:val="00603E9C"/>
    <w:rsid w:val="00614B1C"/>
    <w:rsid w:val="00647E05"/>
    <w:rsid w:val="00714FDC"/>
    <w:rsid w:val="00725DBE"/>
    <w:rsid w:val="007400E9"/>
    <w:rsid w:val="00741670"/>
    <w:rsid w:val="00780767"/>
    <w:rsid w:val="00783D16"/>
    <w:rsid w:val="007942CA"/>
    <w:rsid w:val="007A6B2A"/>
    <w:rsid w:val="007C6266"/>
    <w:rsid w:val="007C704F"/>
    <w:rsid w:val="00800230"/>
    <w:rsid w:val="008505ED"/>
    <w:rsid w:val="00856DCC"/>
    <w:rsid w:val="008F6508"/>
    <w:rsid w:val="00941977"/>
    <w:rsid w:val="0097230D"/>
    <w:rsid w:val="00985C4C"/>
    <w:rsid w:val="00990CB6"/>
    <w:rsid w:val="009B4FC8"/>
    <w:rsid w:val="009D6F22"/>
    <w:rsid w:val="009F00F6"/>
    <w:rsid w:val="009F7689"/>
    <w:rsid w:val="00A073F0"/>
    <w:rsid w:val="00A22FA2"/>
    <w:rsid w:val="00A27B28"/>
    <w:rsid w:val="00A33E90"/>
    <w:rsid w:val="00A508F2"/>
    <w:rsid w:val="00A573BA"/>
    <w:rsid w:val="00A600A1"/>
    <w:rsid w:val="00A960C8"/>
    <w:rsid w:val="00B1194B"/>
    <w:rsid w:val="00B27377"/>
    <w:rsid w:val="00B3465E"/>
    <w:rsid w:val="00B52790"/>
    <w:rsid w:val="00B647E5"/>
    <w:rsid w:val="00B85540"/>
    <w:rsid w:val="00C111B4"/>
    <w:rsid w:val="00C11661"/>
    <w:rsid w:val="00C11885"/>
    <w:rsid w:val="00C1485B"/>
    <w:rsid w:val="00C54BB7"/>
    <w:rsid w:val="00C76A6F"/>
    <w:rsid w:val="00C85BD4"/>
    <w:rsid w:val="00C868FA"/>
    <w:rsid w:val="00CC6F86"/>
    <w:rsid w:val="00CD4F74"/>
    <w:rsid w:val="00CE7732"/>
    <w:rsid w:val="00D019D0"/>
    <w:rsid w:val="00D34009"/>
    <w:rsid w:val="00D8377B"/>
    <w:rsid w:val="00D84269"/>
    <w:rsid w:val="00DC41E1"/>
    <w:rsid w:val="00DD0FF0"/>
    <w:rsid w:val="00E00719"/>
    <w:rsid w:val="00E160A6"/>
    <w:rsid w:val="00E306EB"/>
    <w:rsid w:val="00E348E2"/>
    <w:rsid w:val="00ED2B2E"/>
    <w:rsid w:val="00F047EB"/>
    <w:rsid w:val="00F14AE7"/>
    <w:rsid w:val="00F1560A"/>
    <w:rsid w:val="00F53330"/>
    <w:rsid w:val="00F8241E"/>
    <w:rsid w:val="00F91729"/>
    <w:rsid w:val="00FA1EA6"/>
    <w:rsid w:val="22AB3619"/>
    <w:rsid w:val="2AEC3D1E"/>
    <w:rsid w:val="3FF75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41618"/>
    <w:pPr>
      <w:jc w:val="left"/>
    </w:pPr>
  </w:style>
  <w:style w:type="paragraph" w:styleId="a4">
    <w:name w:val="Balloon Text"/>
    <w:basedOn w:val="a"/>
    <w:link w:val="Char0"/>
    <w:uiPriority w:val="99"/>
    <w:semiHidden/>
    <w:unhideWhenUsed/>
    <w:qFormat/>
    <w:rsid w:val="00141618"/>
    <w:rPr>
      <w:sz w:val="18"/>
      <w:szCs w:val="18"/>
    </w:rPr>
  </w:style>
  <w:style w:type="paragraph" w:styleId="a5">
    <w:name w:val="footer"/>
    <w:basedOn w:val="a"/>
    <w:link w:val="Char1"/>
    <w:uiPriority w:val="99"/>
    <w:unhideWhenUsed/>
    <w:rsid w:val="00141618"/>
    <w:pPr>
      <w:tabs>
        <w:tab w:val="center" w:pos="4153"/>
        <w:tab w:val="right" w:pos="8306"/>
      </w:tabs>
      <w:snapToGrid w:val="0"/>
      <w:jc w:val="left"/>
    </w:pPr>
    <w:rPr>
      <w:sz w:val="18"/>
      <w:szCs w:val="18"/>
    </w:rPr>
  </w:style>
  <w:style w:type="paragraph" w:styleId="a6">
    <w:name w:val="header"/>
    <w:basedOn w:val="a"/>
    <w:link w:val="Char2"/>
    <w:uiPriority w:val="99"/>
    <w:unhideWhenUsed/>
    <w:rsid w:val="0014161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141618"/>
    <w:rPr>
      <w:b/>
      <w:bCs/>
    </w:rPr>
  </w:style>
  <w:style w:type="character" w:styleId="a8">
    <w:name w:val="annotation reference"/>
    <w:basedOn w:val="a0"/>
    <w:uiPriority w:val="99"/>
    <w:semiHidden/>
    <w:unhideWhenUsed/>
    <w:rsid w:val="00141618"/>
    <w:rPr>
      <w:sz w:val="21"/>
      <w:szCs w:val="21"/>
    </w:rPr>
  </w:style>
  <w:style w:type="character" w:customStyle="1" w:styleId="Char2">
    <w:name w:val="页眉 Char"/>
    <w:basedOn w:val="a0"/>
    <w:link w:val="a6"/>
    <w:uiPriority w:val="99"/>
    <w:rsid w:val="00141618"/>
    <w:rPr>
      <w:sz w:val="18"/>
      <w:szCs w:val="18"/>
    </w:rPr>
  </w:style>
  <w:style w:type="character" w:customStyle="1" w:styleId="Char1">
    <w:name w:val="页脚 Char"/>
    <w:basedOn w:val="a0"/>
    <w:link w:val="a5"/>
    <w:uiPriority w:val="99"/>
    <w:qFormat/>
    <w:rsid w:val="00141618"/>
    <w:rPr>
      <w:sz w:val="18"/>
      <w:szCs w:val="18"/>
    </w:rPr>
  </w:style>
  <w:style w:type="character" w:customStyle="1" w:styleId="Char0">
    <w:name w:val="批注框文本 Char"/>
    <w:basedOn w:val="a0"/>
    <w:link w:val="a4"/>
    <w:uiPriority w:val="99"/>
    <w:semiHidden/>
    <w:qFormat/>
    <w:rsid w:val="00141618"/>
    <w:rPr>
      <w:sz w:val="18"/>
      <w:szCs w:val="18"/>
    </w:rPr>
  </w:style>
  <w:style w:type="character" w:customStyle="1" w:styleId="Char">
    <w:name w:val="批注文字 Char"/>
    <w:basedOn w:val="a0"/>
    <w:link w:val="a3"/>
    <w:uiPriority w:val="99"/>
    <w:semiHidden/>
    <w:qFormat/>
    <w:rsid w:val="00141618"/>
  </w:style>
  <w:style w:type="character" w:customStyle="1" w:styleId="Char3">
    <w:name w:val="批注主题 Char"/>
    <w:basedOn w:val="Char"/>
    <w:link w:val="a7"/>
    <w:uiPriority w:val="99"/>
    <w:semiHidden/>
    <w:qFormat/>
    <w:rsid w:val="00141618"/>
    <w:rPr>
      <w:b/>
      <w:bCs/>
    </w:rPr>
  </w:style>
  <w:style w:type="character" w:customStyle="1" w:styleId="read">
    <w:name w:val="read"/>
    <w:basedOn w:val="a0"/>
    <w:qFormat/>
    <w:rsid w:val="0014161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Office Word</Application>
  <DocSecurity>4</DocSecurity>
  <Lines>16</Lines>
  <Paragraphs>4</Paragraphs>
  <ScaleCrop>false</ScaleCrop>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ZHONGM</cp:lastModifiedBy>
  <cp:revision>2</cp:revision>
  <dcterms:created xsi:type="dcterms:W3CDTF">2024-01-04T16:03:00Z</dcterms:created>
  <dcterms:modified xsi:type="dcterms:W3CDTF">2024-01-04T16:03:00Z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4B60F278408445CFAD8E5E7DE780792B</vt:lpwstr>
  </property>
</Properties>
</file>