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F" w:rsidRDefault="00A17C8F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17C8F" w:rsidRDefault="0015544D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国寿安保基金管理有限公司关于旗下</w:t>
      </w:r>
      <w:r>
        <w:rPr>
          <w:rFonts w:ascii="Times New Roman" w:eastAsia="宋体" w:hAnsi="Times New Roman" w:hint="eastAsia"/>
          <w:b/>
          <w:color w:val="000000"/>
          <w:kern w:val="0"/>
          <w:sz w:val="24"/>
          <w:szCs w:val="24"/>
        </w:rPr>
        <w:t>国寿安保尊益信用纯债债券型证券投资基金</w:t>
      </w: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变更基金经理的公告</w:t>
      </w:r>
    </w:p>
    <w:p w:rsidR="00A17C8F" w:rsidRDefault="00A17C8F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7"/>
          <w:szCs w:val="7"/>
        </w:rPr>
      </w:pPr>
    </w:p>
    <w:p w:rsidR="00A17C8F" w:rsidRDefault="0015544D">
      <w:pPr>
        <w:autoSpaceDE w:val="0"/>
        <w:autoSpaceDN w:val="0"/>
        <w:adjustRightInd w:val="0"/>
        <w:spacing w:before="29" w:line="288" w:lineRule="auto"/>
        <w:ind w:left="15"/>
        <w:jc w:val="center"/>
        <w:outlineLvl w:val="0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公告送出日期：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2024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日</w:t>
      </w:r>
    </w:p>
    <w:p w:rsidR="00A17C8F" w:rsidRDefault="0015544D">
      <w:pPr>
        <w:autoSpaceDE w:val="0"/>
        <w:autoSpaceDN w:val="0"/>
        <w:adjustRightInd w:val="0"/>
        <w:spacing w:before="29" w:line="288" w:lineRule="auto"/>
        <w:ind w:left="15"/>
        <w:jc w:val="left"/>
        <w:outlineLvl w:val="0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、公告基本信息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4819"/>
      </w:tblGrid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国寿安保尊益信用纯债债券型证券投资基金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国寿安保尊益信用纯债债券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0931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基金管理人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国寿安保基金管理有限公司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公开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募集证券投资基金信息披露管理办法》、《基金管理公司投资管理人员管理指导意见》及相关法律法规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 w:rightChars="294" w:right="617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解聘基金经理</w:t>
            </w:r>
          </w:p>
        </w:tc>
      </w:tr>
      <w:tr w:rsidR="00A17C8F">
        <w:trPr>
          <w:trHeight w:val="32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丁宇佳</w:t>
            </w:r>
          </w:p>
        </w:tc>
      </w:tr>
      <w:tr w:rsidR="00A17C8F">
        <w:trPr>
          <w:trHeight w:val="32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陶尹斌</w:t>
            </w:r>
          </w:p>
        </w:tc>
      </w:tr>
    </w:tbl>
    <w:p w:rsidR="00A17C8F" w:rsidRDefault="00A17C8F">
      <w:pPr>
        <w:autoSpaceDE w:val="0"/>
        <w:autoSpaceDN w:val="0"/>
        <w:adjustRightInd w:val="0"/>
        <w:spacing w:line="288" w:lineRule="auto"/>
        <w:ind w:right="460"/>
        <w:rPr>
          <w:rFonts w:ascii="Times New Roman" w:eastAsia="宋体" w:hAnsi="Times New Roman"/>
          <w:color w:val="000000"/>
          <w:kern w:val="0"/>
          <w:sz w:val="23"/>
          <w:szCs w:val="23"/>
        </w:rPr>
      </w:pPr>
    </w:p>
    <w:p w:rsidR="00A17C8F" w:rsidRDefault="0015544D">
      <w:pPr>
        <w:autoSpaceDE w:val="0"/>
        <w:autoSpaceDN w:val="0"/>
        <w:adjustRightInd w:val="0"/>
        <w:spacing w:before="29" w:line="288" w:lineRule="auto"/>
        <w:ind w:left="15"/>
        <w:jc w:val="left"/>
        <w:outlineLvl w:val="0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、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4"/>
          <w:szCs w:val="24"/>
        </w:rPr>
        <w:t>离任</w:t>
      </w:r>
      <w:r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  <w:t>基金经理的相关信息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4820"/>
      </w:tblGrid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陶尹斌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根据公司工作需要和人员配置状况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是否转任本公司其他工作岗位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陶尹斌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继续担任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国寿安保尊裕优化回报债券型证券投资基金、国寿安保中债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1-3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年国开行债券指数型证券投资基金、国寿安保泰恒纯债债券型证券投资基金、国寿安保泰弘纯债债券型证券投资基金、国寿安保泰瑞纯债一年定期开放债券型发起式证券投资基金、国寿安保泰祥纯债一年定期开放债券型发起式证券投资基金和</w:t>
            </w:r>
            <w:r w:rsidRPr="006F39C9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国寿安保泰悦</w:t>
            </w:r>
            <w:r w:rsidRPr="006F39C9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6F39C9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个月滚动持有债券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基金经理。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是否已按规定在中国基金业协会办理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变更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手续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17C8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C8F" w:rsidRDefault="0015544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A17C8F" w:rsidRDefault="00A17C8F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</w:p>
    <w:p w:rsidR="00A17C8F" w:rsidRDefault="0015544D">
      <w:pPr>
        <w:autoSpaceDE w:val="0"/>
        <w:autoSpaceDN w:val="0"/>
        <w:adjustRightInd w:val="0"/>
        <w:spacing w:before="29" w:line="288" w:lineRule="auto"/>
        <w:ind w:left="15"/>
        <w:jc w:val="left"/>
        <w:outlineLvl w:val="0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4"/>
          <w:szCs w:val="24"/>
        </w:rPr>
        <w:t>、其他需要说明的事项</w:t>
      </w:r>
    </w:p>
    <w:p w:rsidR="00A17C8F" w:rsidRDefault="0015544D">
      <w:pPr>
        <w:autoSpaceDE w:val="0"/>
        <w:autoSpaceDN w:val="0"/>
        <w:adjustRightInd w:val="0"/>
        <w:spacing w:before="29" w:line="288" w:lineRule="auto"/>
        <w:ind w:left="15"/>
        <w:jc w:val="left"/>
        <w:outlineLvl w:val="0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lastRenderedPageBreak/>
        <w:t>上述事项已按规定在中国证券投资基金业协会办理变更手续。</w:t>
      </w:r>
    </w:p>
    <w:p w:rsidR="00A17C8F" w:rsidRDefault="00A17C8F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/>
          <w:kern w:val="0"/>
          <w:sz w:val="24"/>
          <w:szCs w:val="24"/>
        </w:rPr>
      </w:pPr>
    </w:p>
    <w:p w:rsidR="00A17C8F" w:rsidRDefault="00A17C8F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</w:p>
    <w:p w:rsidR="00A17C8F" w:rsidRDefault="00A17C8F">
      <w:pPr>
        <w:autoSpaceDE w:val="0"/>
        <w:autoSpaceDN w:val="0"/>
        <w:adjustRightInd w:val="0"/>
        <w:spacing w:line="288" w:lineRule="auto"/>
        <w:ind w:right="345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</w:p>
    <w:p w:rsidR="00A17C8F" w:rsidRDefault="0015544D">
      <w:pPr>
        <w:autoSpaceDE w:val="0"/>
        <w:autoSpaceDN w:val="0"/>
        <w:adjustRightInd w:val="0"/>
        <w:spacing w:before="29" w:line="288" w:lineRule="auto"/>
        <w:ind w:left="15"/>
        <w:jc w:val="right"/>
        <w:outlineLvl w:val="0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/>
          <w:color w:val="000000"/>
          <w:kern w:val="0"/>
          <w:sz w:val="23"/>
          <w:szCs w:val="23"/>
        </w:rPr>
        <w:t xml:space="preserve">                               </w:t>
      </w:r>
      <w:bookmarkStart w:id="0" w:name="_GoBack"/>
      <w:bookmarkEnd w:id="0"/>
      <w:r>
        <w:rPr>
          <w:rFonts w:ascii="Times New Roman" w:eastAsia="宋体" w:hAnsi="Times New Roman"/>
          <w:color w:val="000000"/>
          <w:kern w:val="0"/>
          <w:sz w:val="23"/>
          <w:szCs w:val="23"/>
        </w:rPr>
        <w:t xml:space="preserve">                    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国寿安保基金管理有限公司</w:t>
      </w:r>
    </w:p>
    <w:p w:rsidR="00A17C8F" w:rsidRDefault="0015544D">
      <w:pPr>
        <w:autoSpaceDE w:val="0"/>
        <w:autoSpaceDN w:val="0"/>
        <w:adjustRightInd w:val="0"/>
        <w:spacing w:before="29" w:line="288" w:lineRule="auto"/>
        <w:ind w:left="15"/>
        <w:jc w:val="right"/>
        <w:outlineLvl w:val="0"/>
        <w:rPr>
          <w:rFonts w:ascii="Times New Roman" w:eastAsia="宋体" w:hAnsi="Times New Roman"/>
          <w:color w:val="000000"/>
          <w:kern w:val="0"/>
          <w:sz w:val="24"/>
          <w:szCs w:val="24"/>
          <w:highlight w:val="yellow"/>
        </w:rPr>
      </w:pP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 xml:space="preserve">                                                         2024</w:t>
      </w:r>
      <w:r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日</w:t>
      </w:r>
    </w:p>
    <w:sectPr w:rsidR="00A17C8F" w:rsidSect="00D12F33">
      <w:headerReference w:type="default" r:id="rId6"/>
      <w:footerReference w:type="default" r:id="rId7"/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4D" w:rsidRDefault="0015544D">
      <w:r>
        <w:separator/>
      </w:r>
    </w:p>
  </w:endnote>
  <w:endnote w:type="continuationSeparator" w:id="0">
    <w:p w:rsidR="0015544D" w:rsidRDefault="0015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F" w:rsidRDefault="00A17C8F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4D" w:rsidRDefault="0015544D">
      <w:r>
        <w:separator/>
      </w:r>
    </w:p>
  </w:footnote>
  <w:footnote w:type="continuationSeparator" w:id="0">
    <w:p w:rsidR="0015544D" w:rsidRDefault="0015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F" w:rsidRDefault="00A17C8F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  <w:tbl>
    <w:tblPr>
      <w:tblW w:w="0" w:type="auto"/>
      <w:tblInd w:w="108" w:type="dxa"/>
      <w:tblLayout w:type="fixed"/>
      <w:tblLook w:val="04A0"/>
    </w:tblPr>
    <w:tblGrid>
      <w:gridCol w:w="9030"/>
    </w:tblGrid>
    <w:tr w:rsidR="00A17C8F">
      <w:tc>
        <w:tcPr>
          <w:tcW w:w="9030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A17C8F" w:rsidRDefault="00A17C8F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color w:val="000000"/>
              <w:kern w:val="0"/>
              <w:sz w:val="23"/>
              <w:szCs w:val="23"/>
            </w:rPr>
          </w:pPr>
        </w:p>
      </w:tc>
    </w:tr>
  </w:tbl>
  <w:p w:rsidR="00A17C8F" w:rsidRDefault="00A17C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711C"/>
    <w:rsid w:val="00033FFC"/>
    <w:rsid w:val="00044FED"/>
    <w:rsid w:val="00061442"/>
    <w:rsid w:val="000665C6"/>
    <w:rsid w:val="000910A6"/>
    <w:rsid w:val="000918C4"/>
    <w:rsid w:val="000950D0"/>
    <w:rsid w:val="000A2848"/>
    <w:rsid w:val="0010241F"/>
    <w:rsid w:val="00106233"/>
    <w:rsid w:val="00110D29"/>
    <w:rsid w:val="00134AAA"/>
    <w:rsid w:val="00142F52"/>
    <w:rsid w:val="00147D07"/>
    <w:rsid w:val="0015544D"/>
    <w:rsid w:val="001802BB"/>
    <w:rsid w:val="001A0196"/>
    <w:rsid w:val="001C3F51"/>
    <w:rsid w:val="001D112D"/>
    <w:rsid w:val="001E4F6E"/>
    <w:rsid w:val="0020641D"/>
    <w:rsid w:val="002105BF"/>
    <w:rsid w:val="00226359"/>
    <w:rsid w:val="0023170F"/>
    <w:rsid w:val="00280E90"/>
    <w:rsid w:val="0028488D"/>
    <w:rsid w:val="002919AF"/>
    <w:rsid w:val="002B7F88"/>
    <w:rsid w:val="002C3AFF"/>
    <w:rsid w:val="002C7A34"/>
    <w:rsid w:val="002D7953"/>
    <w:rsid w:val="00324CE2"/>
    <w:rsid w:val="0032591E"/>
    <w:rsid w:val="00353DC9"/>
    <w:rsid w:val="0039151E"/>
    <w:rsid w:val="003A79F5"/>
    <w:rsid w:val="003B1211"/>
    <w:rsid w:val="003C29AE"/>
    <w:rsid w:val="003E1514"/>
    <w:rsid w:val="003E4587"/>
    <w:rsid w:val="00432ECD"/>
    <w:rsid w:val="00445F94"/>
    <w:rsid w:val="0044773A"/>
    <w:rsid w:val="0047407D"/>
    <w:rsid w:val="00480139"/>
    <w:rsid w:val="004857DC"/>
    <w:rsid w:val="00486061"/>
    <w:rsid w:val="004A0521"/>
    <w:rsid w:val="004B673C"/>
    <w:rsid w:val="004F5DC3"/>
    <w:rsid w:val="004F6E7C"/>
    <w:rsid w:val="005037D5"/>
    <w:rsid w:val="00503F96"/>
    <w:rsid w:val="0050714B"/>
    <w:rsid w:val="00521B90"/>
    <w:rsid w:val="0056021A"/>
    <w:rsid w:val="005815C7"/>
    <w:rsid w:val="005B784D"/>
    <w:rsid w:val="005D01A6"/>
    <w:rsid w:val="005E3F9E"/>
    <w:rsid w:val="006068D0"/>
    <w:rsid w:val="00607FDC"/>
    <w:rsid w:val="0062203A"/>
    <w:rsid w:val="006400C9"/>
    <w:rsid w:val="00645719"/>
    <w:rsid w:val="00664228"/>
    <w:rsid w:val="0068754E"/>
    <w:rsid w:val="006A3A57"/>
    <w:rsid w:val="006C7156"/>
    <w:rsid w:val="006D7A85"/>
    <w:rsid w:val="006F39C9"/>
    <w:rsid w:val="006F3D85"/>
    <w:rsid w:val="007000C3"/>
    <w:rsid w:val="0072387E"/>
    <w:rsid w:val="00744F38"/>
    <w:rsid w:val="007626E6"/>
    <w:rsid w:val="00771A97"/>
    <w:rsid w:val="00797B7E"/>
    <w:rsid w:val="007A00FD"/>
    <w:rsid w:val="007B14FF"/>
    <w:rsid w:val="007B3DA9"/>
    <w:rsid w:val="007D02C2"/>
    <w:rsid w:val="007E155B"/>
    <w:rsid w:val="007E1EC9"/>
    <w:rsid w:val="007F5F89"/>
    <w:rsid w:val="00801B0A"/>
    <w:rsid w:val="00803CA8"/>
    <w:rsid w:val="00813073"/>
    <w:rsid w:val="00815792"/>
    <w:rsid w:val="00834665"/>
    <w:rsid w:val="0083589C"/>
    <w:rsid w:val="008458D3"/>
    <w:rsid w:val="008519C5"/>
    <w:rsid w:val="008924A8"/>
    <w:rsid w:val="008A395B"/>
    <w:rsid w:val="008C1528"/>
    <w:rsid w:val="008C3BD3"/>
    <w:rsid w:val="008D5CBE"/>
    <w:rsid w:val="008F711C"/>
    <w:rsid w:val="00911631"/>
    <w:rsid w:val="00965BC8"/>
    <w:rsid w:val="00966840"/>
    <w:rsid w:val="00987254"/>
    <w:rsid w:val="00997CB4"/>
    <w:rsid w:val="009A6E2B"/>
    <w:rsid w:val="009B6DD2"/>
    <w:rsid w:val="009D7A2B"/>
    <w:rsid w:val="009F3E70"/>
    <w:rsid w:val="009F785C"/>
    <w:rsid w:val="00A12BA2"/>
    <w:rsid w:val="00A17C8F"/>
    <w:rsid w:val="00A21232"/>
    <w:rsid w:val="00A231B3"/>
    <w:rsid w:val="00A260C3"/>
    <w:rsid w:val="00A3261D"/>
    <w:rsid w:val="00A61842"/>
    <w:rsid w:val="00A7031D"/>
    <w:rsid w:val="00A7699B"/>
    <w:rsid w:val="00A80D86"/>
    <w:rsid w:val="00AB5482"/>
    <w:rsid w:val="00AD5631"/>
    <w:rsid w:val="00AE2092"/>
    <w:rsid w:val="00AE237A"/>
    <w:rsid w:val="00AE2E50"/>
    <w:rsid w:val="00B1087E"/>
    <w:rsid w:val="00B1412A"/>
    <w:rsid w:val="00B15A95"/>
    <w:rsid w:val="00B22386"/>
    <w:rsid w:val="00B5055F"/>
    <w:rsid w:val="00B724D5"/>
    <w:rsid w:val="00B82EA2"/>
    <w:rsid w:val="00B8480A"/>
    <w:rsid w:val="00BA25BE"/>
    <w:rsid w:val="00BE018A"/>
    <w:rsid w:val="00C01CDA"/>
    <w:rsid w:val="00C05AA6"/>
    <w:rsid w:val="00C1480A"/>
    <w:rsid w:val="00C170FA"/>
    <w:rsid w:val="00C17253"/>
    <w:rsid w:val="00C35B1A"/>
    <w:rsid w:val="00CC79DD"/>
    <w:rsid w:val="00D12F33"/>
    <w:rsid w:val="00D14E3B"/>
    <w:rsid w:val="00D206A0"/>
    <w:rsid w:val="00D23BBE"/>
    <w:rsid w:val="00D41C48"/>
    <w:rsid w:val="00D45667"/>
    <w:rsid w:val="00D46982"/>
    <w:rsid w:val="00D55F97"/>
    <w:rsid w:val="00D674D9"/>
    <w:rsid w:val="00DA5879"/>
    <w:rsid w:val="00DB1E54"/>
    <w:rsid w:val="00DD6E39"/>
    <w:rsid w:val="00DF35C6"/>
    <w:rsid w:val="00E362B3"/>
    <w:rsid w:val="00E530CD"/>
    <w:rsid w:val="00E5597C"/>
    <w:rsid w:val="00E71FF5"/>
    <w:rsid w:val="00E77920"/>
    <w:rsid w:val="00E82BE6"/>
    <w:rsid w:val="00EA222C"/>
    <w:rsid w:val="00ED328A"/>
    <w:rsid w:val="00EE238B"/>
    <w:rsid w:val="00EF62A7"/>
    <w:rsid w:val="00F0040B"/>
    <w:rsid w:val="00F0089D"/>
    <w:rsid w:val="00F37784"/>
    <w:rsid w:val="00F6185B"/>
    <w:rsid w:val="00F6739D"/>
    <w:rsid w:val="00F72DCB"/>
    <w:rsid w:val="00F741EB"/>
    <w:rsid w:val="00F7488C"/>
    <w:rsid w:val="00F75AD2"/>
    <w:rsid w:val="00F9610E"/>
    <w:rsid w:val="00FD2C61"/>
    <w:rsid w:val="13344F4A"/>
    <w:rsid w:val="15637002"/>
    <w:rsid w:val="1BDA3957"/>
    <w:rsid w:val="279D24A4"/>
    <w:rsid w:val="29AC74CF"/>
    <w:rsid w:val="2D8E37C0"/>
    <w:rsid w:val="30D50D94"/>
    <w:rsid w:val="38072478"/>
    <w:rsid w:val="4C876783"/>
    <w:rsid w:val="5D253CFE"/>
    <w:rsid w:val="65391BC5"/>
    <w:rsid w:val="66F57C32"/>
    <w:rsid w:val="69EA7606"/>
    <w:rsid w:val="734A65D0"/>
    <w:rsid w:val="744E2D6B"/>
    <w:rsid w:val="7AE0299A"/>
    <w:rsid w:val="7CA7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33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12F3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12F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12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12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D12F33"/>
    <w:rPr>
      <w:b/>
      <w:bCs/>
    </w:rPr>
  </w:style>
  <w:style w:type="character" w:styleId="a8">
    <w:name w:val="Hyperlink"/>
    <w:basedOn w:val="a0"/>
    <w:uiPriority w:val="99"/>
    <w:unhideWhenUsed/>
    <w:qFormat/>
    <w:rsid w:val="00D12F33"/>
    <w:rPr>
      <w:rFonts w:cs="Times New Roman"/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D12F3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locked/>
    <w:rsid w:val="00D12F33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D12F33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12F3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12F33"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12F33"/>
    <w:rPr>
      <w:b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4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ZHONGM</cp:lastModifiedBy>
  <cp:revision>2</cp:revision>
  <dcterms:created xsi:type="dcterms:W3CDTF">2024-01-03T16:02:00Z</dcterms:created>
  <dcterms:modified xsi:type="dcterms:W3CDTF">2024-01-03T16:02:00Z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344E6E2705214FB9857C22F40E3FF73F</vt:lpwstr>
  </property>
</Properties>
</file>