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D6" w:rsidRPr="003A1310" w:rsidRDefault="005712D6" w:rsidP="003A1310">
      <w:pPr>
        <w:spacing w:line="360" w:lineRule="auto"/>
        <w:jc w:val="center"/>
        <w:rPr>
          <w:rFonts w:ascii="宋体" w:hAnsi="宋体" w:cs="宋体"/>
          <w:b/>
          <w:sz w:val="30"/>
          <w:szCs w:val="30"/>
          <w:lang w:val="en-US" w:bidi="ar-SA"/>
        </w:rPr>
      </w:pPr>
      <w:r w:rsidRPr="00EB70ED">
        <w:rPr>
          <w:rFonts w:ascii="宋体" w:hAnsi="宋体" w:cs="宋体"/>
          <w:b/>
          <w:sz w:val="30"/>
          <w:szCs w:val="30"/>
          <w:lang w:val="en-US" w:eastAsia="zh-CN" w:bidi="ar-SA"/>
        </w:rPr>
        <w:t>关于</w:t>
      </w:r>
      <w:r w:rsidR="003A1310">
        <w:rPr>
          <w:rFonts w:ascii="宋体" w:hAnsi="宋体" w:cs="宋体" w:hint="eastAsia"/>
          <w:b/>
          <w:sz w:val="30"/>
          <w:szCs w:val="30"/>
          <w:lang w:val="en-US" w:bidi="ar-SA"/>
        </w:rPr>
        <w:t>新增</w:t>
      </w:r>
      <w:r w:rsidR="003A1310" w:rsidRPr="003A1310">
        <w:rPr>
          <w:rFonts w:ascii="宋体" w:hAnsi="宋体" w:cs="宋体" w:hint="eastAsia"/>
          <w:b/>
          <w:sz w:val="30"/>
          <w:szCs w:val="30"/>
          <w:lang w:val="en-US" w:bidi="ar-SA"/>
        </w:rPr>
        <w:t>广发证券股份有限公司</w:t>
      </w:r>
      <w:r w:rsidR="003A1310">
        <w:rPr>
          <w:rFonts w:ascii="宋体" w:hAnsi="宋体" w:cs="宋体" w:hint="eastAsia"/>
          <w:b/>
          <w:sz w:val="30"/>
          <w:szCs w:val="30"/>
          <w:lang w:val="en-US" w:bidi="ar-SA"/>
        </w:rPr>
        <w:t>为</w:t>
      </w:r>
      <w:r w:rsidR="003A1310">
        <w:rPr>
          <w:rFonts w:ascii="宋体" w:hAnsi="宋体" w:cs="宋体"/>
          <w:b/>
          <w:sz w:val="30"/>
          <w:szCs w:val="30"/>
          <w:lang w:val="en-US" w:bidi="ar-SA"/>
        </w:rPr>
        <w:t>部分基金</w:t>
      </w:r>
      <w:r w:rsidRPr="00EB70ED">
        <w:rPr>
          <w:rFonts w:ascii="宋体" w:hAnsi="宋体" w:cs="宋体"/>
          <w:b/>
          <w:sz w:val="30"/>
          <w:szCs w:val="30"/>
          <w:lang w:val="en-US" w:eastAsia="zh-CN" w:bidi="ar-SA"/>
        </w:rPr>
        <w:t>流动性服务商的公告</w:t>
      </w:r>
    </w:p>
    <w:p w:rsidR="005712D6" w:rsidRDefault="005712D6">
      <w:pPr>
        <w:spacing w:line="440" w:lineRule="atLeast"/>
        <w:ind w:firstLine="600"/>
        <w:jc w:val="center"/>
        <w:rPr>
          <w:rFonts w:eastAsia="Times New Roman"/>
          <w:lang w:val="en-US" w:eastAsia="zh-CN" w:bidi="ar-SA"/>
        </w:rPr>
      </w:pPr>
    </w:p>
    <w:p w:rsidR="005712D6" w:rsidRPr="0077761C" w:rsidRDefault="005712D6" w:rsidP="0077761C">
      <w:pPr>
        <w:widowControl w:val="0"/>
        <w:spacing w:line="360" w:lineRule="auto"/>
        <w:ind w:firstLine="420"/>
        <w:jc w:val="both"/>
        <w:rPr>
          <w:rFonts w:ascii="宋体" w:hAnsi="宋体" w:cs="宋体"/>
          <w:lang w:val="en-US" w:eastAsia="zh-CN" w:bidi="ar-SA"/>
        </w:rPr>
      </w:pPr>
      <w:r w:rsidRPr="0077761C">
        <w:rPr>
          <w:rFonts w:ascii="宋体" w:hAnsi="宋体" w:cs="宋体"/>
          <w:lang w:val="en-US" w:eastAsia="zh-CN" w:bidi="ar-SA"/>
        </w:rPr>
        <w:t>为促进</w:t>
      </w:r>
      <w:r w:rsidR="0077761C" w:rsidRPr="0077761C">
        <w:rPr>
          <w:rFonts w:ascii="宋体" w:hAnsi="宋体" w:cs="宋体" w:hint="eastAsia"/>
          <w:lang w:val="en-US" w:eastAsia="zh-CN" w:bidi="ar-SA"/>
        </w:rPr>
        <w:t>鹏华中证中药交易型开放式指数证券投资基金（代码159647）、鹏华国证疫苗与生物科技交易型开放式指数证券投资基金（代码159657）、鹏华沪深300交易型开放式指数证券投资基金（代码159673）、鹏华国证石油天然气交易型开放式指数证券投资基金（代码159697）、鹏华国证ESG300交易型开放式指数证券投资基金（代码159717）、鹏华中证云计算与大数据主题交易型开放式指数证券投资基金（代码159739）、鹏华中证工业互联网主题交易型开放式指数证券投资基金（代码159778）、鹏华中证传媒交易型开放式指数证券投资基金（代码159805）、鹏华中证光伏产业交易型开放式指数证券投资基金（代码159863）、鹏华中证畜牧养殖交易型开放式指数证券投资基金（代码159867）、鹏华中证车联网主题交易型开放式指数证券投资基金（代码159872）、鹏华国证有色金属行业交易型开放式指数证券投资基金（代码159880）、鹏华中证内地低碳经济主题交易型开放式指数证券投资基金（代码159885）、鹏华国证证券龙头交易型开放式指数证券投资基金（代码159993）</w:t>
      </w:r>
      <w:r w:rsidRPr="0077761C">
        <w:rPr>
          <w:rFonts w:ascii="宋体" w:hAnsi="宋体" w:cs="宋体"/>
          <w:lang w:val="en-US" w:eastAsia="zh-CN" w:bidi="ar-SA"/>
        </w:rPr>
        <w:t>的市场流动性和平稳运行，根据《深圳证券交易所证券投资基金业务指引第2号——流动性服务》等有关规定，自</w:t>
      </w:r>
      <w:r w:rsidR="0077761C">
        <w:rPr>
          <w:rFonts w:ascii="宋体" w:hAnsi="宋体" w:cs="宋体"/>
          <w:lang w:val="en-US" w:eastAsia="zh-CN" w:bidi="ar-SA"/>
        </w:rPr>
        <w:t>2024</w:t>
      </w:r>
      <w:r w:rsidRPr="0077761C">
        <w:rPr>
          <w:rFonts w:ascii="宋体" w:hAnsi="宋体" w:cs="宋体"/>
          <w:lang w:val="en-US" w:eastAsia="zh-CN" w:bidi="ar-SA"/>
        </w:rPr>
        <w:t>年</w:t>
      </w:r>
      <w:r w:rsidR="0077761C">
        <w:rPr>
          <w:rFonts w:ascii="宋体" w:hAnsi="宋体" w:cs="宋体" w:hint="eastAsia"/>
          <w:lang w:val="en-US" w:eastAsia="zh-CN" w:bidi="ar-SA"/>
        </w:rPr>
        <w:t>1</w:t>
      </w:r>
      <w:r w:rsidRPr="0077761C">
        <w:rPr>
          <w:rFonts w:ascii="宋体" w:hAnsi="宋体" w:cs="宋体"/>
          <w:lang w:val="en-US" w:eastAsia="zh-CN" w:bidi="ar-SA"/>
        </w:rPr>
        <w:t>月</w:t>
      </w:r>
      <w:r w:rsidR="0077761C">
        <w:rPr>
          <w:rFonts w:ascii="宋体" w:hAnsi="宋体" w:cs="宋体" w:hint="eastAsia"/>
          <w:lang w:val="en-US" w:eastAsia="zh-CN" w:bidi="ar-SA"/>
        </w:rPr>
        <w:t>2</w:t>
      </w:r>
      <w:r w:rsidRPr="0077761C">
        <w:rPr>
          <w:rFonts w:ascii="宋体" w:hAnsi="宋体" w:cs="宋体"/>
          <w:lang w:val="en-US" w:eastAsia="zh-CN" w:bidi="ar-SA"/>
        </w:rPr>
        <w:t>日</w:t>
      </w:r>
      <w:r w:rsidR="00C90E96" w:rsidRPr="0077761C">
        <w:rPr>
          <w:rFonts w:ascii="宋体" w:hAnsi="宋体" w:cs="宋体"/>
          <w:lang w:val="en-US" w:eastAsia="zh-CN" w:bidi="ar-SA"/>
        </w:rPr>
        <w:t>起，本公司</w:t>
      </w:r>
      <w:r w:rsidR="00846879" w:rsidRPr="0077761C">
        <w:rPr>
          <w:rFonts w:ascii="宋体" w:hAnsi="宋体" w:cs="宋体" w:hint="eastAsia"/>
          <w:lang w:val="en-US" w:eastAsia="zh-CN" w:bidi="ar-SA"/>
        </w:rPr>
        <w:t>新增</w:t>
      </w:r>
      <w:r w:rsidR="00870F28" w:rsidRPr="0077761C">
        <w:rPr>
          <w:rFonts w:ascii="宋体" w:hAnsi="宋体" w:cs="宋体" w:hint="eastAsia"/>
          <w:lang w:val="en-US" w:eastAsia="zh-CN" w:bidi="ar-SA"/>
        </w:rPr>
        <w:t>广发证券股份有限公司</w:t>
      </w:r>
      <w:r w:rsidRPr="0077761C">
        <w:rPr>
          <w:rFonts w:ascii="宋体" w:hAnsi="宋体" w:cs="宋体"/>
          <w:lang w:val="en-US" w:eastAsia="zh-CN" w:bidi="ar-SA"/>
        </w:rPr>
        <w:t>为</w:t>
      </w:r>
      <w:r w:rsidR="0077761C">
        <w:rPr>
          <w:rFonts w:ascii="宋体" w:hAnsi="宋体" w:cs="宋体" w:hint="eastAsia"/>
          <w:lang w:val="en-US" w:bidi="ar-SA"/>
        </w:rPr>
        <w:t>上述</w:t>
      </w:r>
      <w:r w:rsidR="0077761C">
        <w:rPr>
          <w:rFonts w:ascii="宋体" w:hAnsi="宋体" w:cs="宋体"/>
          <w:lang w:val="en-US" w:bidi="ar-SA"/>
        </w:rPr>
        <w:t>基金的</w:t>
      </w:r>
      <w:r w:rsidRPr="0077761C">
        <w:rPr>
          <w:rFonts w:ascii="宋体" w:hAnsi="宋体" w:cs="宋体"/>
          <w:lang w:val="en-US" w:eastAsia="zh-CN" w:bidi="ar-SA"/>
        </w:rPr>
        <w:t>流动性服务商。</w:t>
      </w:r>
    </w:p>
    <w:p w:rsidR="005712D6" w:rsidRPr="0077761C" w:rsidRDefault="005712D6" w:rsidP="0077761C">
      <w:pPr>
        <w:widowControl w:val="0"/>
        <w:spacing w:line="360" w:lineRule="auto"/>
        <w:ind w:firstLine="420"/>
        <w:jc w:val="both"/>
        <w:rPr>
          <w:rFonts w:ascii="宋体" w:hAnsi="宋体" w:cs="宋体"/>
          <w:lang w:val="en-US" w:eastAsia="zh-CN" w:bidi="ar-SA"/>
        </w:rPr>
      </w:pPr>
      <w:r w:rsidRPr="0077761C">
        <w:rPr>
          <w:rFonts w:ascii="宋体" w:hAnsi="宋体" w:cs="宋体"/>
          <w:lang w:val="en-US" w:eastAsia="zh-CN" w:bidi="ar-SA"/>
        </w:rPr>
        <w:t>特此公告。</w:t>
      </w:r>
    </w:p>
    <w:p w:rsidR="00B451CB" w:rsidRPr="001D00AE" w:rsidRDefault="00B451CB" w:rsidP="00EB70ED">
      <w:pPr>
        <w:widowControl w:val="0"/>
        <w:spacing w:line="360" w:lineRule="auto"/>
        <w:ind w:firstLine="420"/>
        <w:jc w:val="both"/>
        <w:rPr>
          <w:rFonts w:ascii="宋体" w:hAnsi="宋体" w:cs="宋体"/>
          <w:sz w:val="21"/>
          <w:szCs w:val="21"/>
          <w:lang w:val="en-US" w:eastAsia="zh-CN" w:bidi="ar-SA"/>
        </w:rPr>
      </w:pPr>
    </w:p>
    <w:p w:rsidR="005712D6" w:rsidRPr="001D00AE" w:rsidRDefault="005712D6" w:rsidP="00EB70ED">
      <w:pPr>
        <w:widowControl w:val="0"/>
        <w:spacing w:line="360" w:lineRule="auto"/>
        <w:ind w:firstLine="420"/>
        <w:jc w:val="right"/>
        <w:rPr>
          <w:rFonts w:ascii="宋体" w:hAnsi="宋体" w:cs="宋体"/>
          <w:sz w:val="21"/>
          <w:szCs w:val="21"/>
          <w:lang w:val="en-US" w:eastAsia="zh-CN" w:bidi="ar-SA"/>
        </w:rPr>
      </w:pPr>
      <w:r w:rsidRPr="009C3291">
        <w:rPr>
          <w:rFonts w:ascii="宋体" w:hAnsi="宋体" w:cs="宋体"/>
          <w:sz w:val="21"/>
          <w:szCs w:val="21"/>
          <w:lang w:val="en-US" w:eastAsia="zh-CN" w:bidi="ar-SA"/>
        </w:rPr>
        <w:t> </w:t>
      </w:r>
    </w:p>
    <w:p w:rsidR="005712D6" w:rsidRPr="0077761C" w:rsidRDefault="005712D6" w:rsidP="00EB70ED">
      <w:pPr>
        <w:widowControl w:val="0"/>
        <w:spacing w:line="360" w:lineRule="auto"/>
        <w:ind w:firstLine="420"/>
        <w:jc w:val="right"/>
        <w:rPr>
          <w:rFonts w:ascii="宋体" w:hAnsi="宋体" w:cs="宋体"/>
          <w:lang w:val="en-US" w:eastAsia="zh-CN" w:bidi="ar-SA"/>
        </w:rPr>
      </w:pPr>
      <w:r w:rsidRPr="0077761C">
        <w:rPr>
          <w:rFonts w:ascii="宋体" w:hAnsi="宋体" w:cs="宋体"/>
          <w:lang w:val="en-US" w:eastAsia="zh-CN" w:bidi="ar-SA"/>
        </w:rPr>
        <w:t>鹏华基金管理有限公司</w:t>
      </w:r>
    </w:p>
    <w:p w:rsidR="005712D6" w:rsidRPr="0077761C" w:rsidRDefault="00B63E52" w:rsidP="00EB70ED">
      <w:pPr>
        <w:widowControl w:val="0"/>
        <w:spacing w:line="360" w:lineRule="auto"/>
        <w:ind w:firstLine="420"/>
        <w:jc w:val="right"/>
        <w:rPr>
          <w:rFonts w:ascii="宋体" w:hAnsi="宋体" w:cs="宋体"/>
          <w:lang w:val="en-US" w:eastAsia="zh-CN" w:bidi="ar-SA"/>
        </w:rPr>
      </w:pPr>
      <w:r>
        <w:rPr>
          <w:rFonts w:ascii="宋体" w:hAnsi="宋体" w:cs="宋体"/>
          <w:lang w:val="en-US" w:eastAsia="zh-CN" w:bidi="ar-SA"/>
        </w:rPr>
        <w:t>202</w:t>
      </w:r>
      <w:r>
        <w:rPr>
          <w:rFonts w:ascii="宋体" w:hAnsi="宋体" w:cs="宋体" w:hint="eastAsia"/>
          <w:lang w:val="en-US" w:bidi="ar-SA"/>
        </w:rPr>
        <w:t>4</w:t>
      </w:r>
      <w:r w:rsidR="005712D6" w:rsidRPr="0077761C">
        <w:rPr>
          <w:rFonts w:ascii="宋体" w:hAnsi="宋体" w:cs="宋体"/>
          <w:lang w:val="en-US" w:eastAsia="zh-CN" w:bidi="ar-SA"/>
        </w:rPr>
        <w:t>年</w:t>
      </w:r>
      <w:r w:rsidR="008D22EC" w:rsidRPr="0077761C">
        <w:rPr>
          <w:rFonts w:ascii="宋体" w:hAnsi="宋体" w:cs="宋体"/>
          <w:lang w:val="en-US" w:eastAsia="zh-CN" w:bidi="ar-SA"/>
        </w:rPr>
        <w:t>1</w:t>
      </w:r>
      <w:r w:rsidR="005712D6" w:rsidRPr="0077761C">
        <w:rPr>
          <w:rFonts w:ascii="宋体" w:hAnsi="宋体" w:cs="宋体"/>
          <w:lang w:val="en-US" w:eastAsia="zh-CN" w:bidi="ar-SA"/>
        </w:rPr>
        <w:t>月</w:t>
      </w:r>
      <w:r w:rsidR="0077761C" w:rsidRPr="0077761C">
        <w:rPr>
          <w:rFonts w:ascii="宋体" w:hAnsi="宋体" w:cs="宋体" w:hint="eastAsia"/>
          <w:lang w:val="en-US" w:eastAsia="zh-CN" w:bidi="ar-SA"/>
        </w:rPr>
        <w:t>2</w:t>
      </w:r>
      <w:r w:rsidR="005712D6" w:rsidRPr="0077761C">
        <w:rPr>
          <w:rFonts w:ascii="宋体" w:hAnsi="宋体" w:cs="宋体"/>
          <w:lang w:val="en-US" w:eastAsia="zh-CN" w:bidi="ar-SA"/>
        </w:rPr>
        <w:t>日</w:t>
      </w:r>
    </w:p>
    <w:p w:rsidR="005712D6" w:rsidRDefault="005712D6" w:rsidP="00EB70ED">
      <w:pPr>
        <w:spacing w:before="240" w:after="240" w:line="360" w:lineRule="auto"/>
        <w:rPr>
          <w:rFonts w:eastAsia="Times New Roman"/>
          <w:lang w:val="en-US" w:eastAsia="zh-CN" w:bidi="ar-SA"/>
        </w:rPr>
      </w:pPr>
      <w:r>
        <w:rPr>
          <w:rFonts w:eastAsia="Times New Roman"/>
          <w:lang w:val="en-US" w:eastAsia="zh-CN" w:bidi="ar-SA"/>
        </w:rPr>
        <w:t> </w:t>
      </w:r>
    </w:p>
    <w:p w:rsidR="00A77B3E" w:rsidRDefault="00A77B3E"/>
    <w:sectPr w:rsidR="00A77B3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880" w:rsidRDefault="00407880">
      <w:r>
        <w:separator/>
      </w:r>
    </w:p>
  </w:endnote>
  <w:endnote w:type="continuationSeparator" w:id="0">
    <w:p w:rsidR="00407880" w:rsidRDefault="00407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2D6" w:rsidRDefault="005712D6">
    <w:pPr>
      <w:jc w:val="center"/>
    </w:pPr>
    <w:r>
      <w:rPr>
        <w:rFonts w:ascii="宋体" w:hAnsi="宋体" w:cs="宋体"/>
        <w:sz w:val="18"/>
      </w:rPr>
      <w:fldChar w:fldCharType="begin"/>
    </w:r>
    <w:r>
      <w:rPr>
        <w:rFonts w:ascii="宋体" w:hAnsi="宋体" w:cs="宋体"/>
        <w:sz w:val="18"/>
      </w:rPr>
      <w:instrText xml:space="preserve"> PAGE </w:instrText>
    </w:r>
    <w:r>
      <w:rPr>
        <w:rFonts w:ascii="宋体" w:hAnsi="宋体" w:cs="宋体"/>
        <w:sz w:val="18"/>
      </w:rPr>
      <w:fldChar w:fldCharType="separate"/>
    </w:r>
    <w:r w:rsidR="001B49B5">
      <w:rPr>
        <w:rFonts w:ascii="宋体" w:hAnsi="宋体" w:cs="宋体"/>
        <w:noProof/>
        <w:sz w:val="18"/>
      </w:rPr>
      <w:t>1</w:t>
    </w:r>
    <w:r>
      <w:rPr>
        <w:rFonts w:ascii="宋体" w:hAnsi="宋体" w:cs="宋体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880" w:rsidRDefault="00407880">
      <w:r>
        <w:separator/>
      </w:r>
    </w:p>
  </w:footnote>
  <w:footnote w:type="continuationSeparator" w:id="0">
    <w:p w:rsidR="00407880" w:rsidRDefault="00407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B49B5"/>
    <w:rsid w:val="001D00AE"/>
    <w:rsid w:val="001E4893"/>
    <w:rsid w:val="00333482"/>
    <w:rsid w:val="00347B8C"/>
    <w:rsid w:val="003A1310"/>
    <w:rsid w:val="00407880"/>
    <w:rsid w:val="00475E9E"/>
    <w:rsid w:val="00560506"/>
    <w:rsid w:val="005712D6"/>
    <w:rsid w:val="00713CA0"/>
    <w:rsid w:val="0077761C"/>
    <w:rsid w:val="007903FD"/>
    <w:rsid w:val="007B0882"/>
    <w:rsid w:val="00837D08"/>
    <w:rsid w:val="00846879"/>
    <w:rsid w:val="00870F28"/>
    <w:rsid w:val="008A3769"/>
    <w:rsid w:val="008D22EC"/>
    <w:rsid w:val="00900011"/>
    <w:rsid w:val="009C3291"/>
    <w:rsid w:val="00A44C69"/>
    <w:rsid w:val="00A77B3E"/>
    <w:rsid w:val="00B451CB"/>
    <w:rsid w:val="00B63E52"/>
    <w:rsid w:val="00C90E96"/>
    <w:rsid w:val="00CA2A55"/>
    <w:rsid w:val="00E722F2"/>
    <w:rsid w:val="00EB70ED"/>
    <w:rsid w:val="00F01CC9"/>
    <w:rsid w:val="00F42461"/>
    <w:rsid w:val="00FF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toc 1"/>
    <w:basedOn w:val="a"/>
    <w:next w:val="a"/>
    <w:autoRedefine/>
    <w:rsid w:val="00805BCE"/>
    <w:pPr>
      <w:spacing w:line="360" w:lineRule="auto"/>
    </w:pPr>
    <w:rPr>
      <w:rFonts w:ascii="宋体" w:hAnsi="宋体" w:cs="宋体"/>
      <w:b/>
      <w:sz w:val="21"/>
    </w:rPr>
  </w:style>
  <w:style w:type="paragraph" w:styleId="a3">
    <w:name w:val="header"/>
    <w:basedOn w:val="a"/>
    <w:link w:val="Char"/>
    <w:rsid w:val="00B63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B63E52"/>
    <w:rPr>
      <w:sz w:val="18"/>
      <w:szCs w:val="18"/>
    </w:rPr>
  </w:style>
  <w:style w:type="paragraph" w:styleId="a4">
    <w:name w:val="footer"/>
    <w:basedOn w:val="a"/>
    <w:link w:val="Char0"/>
    <w:rsid w:val="00B63E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rsid w:val="00B63E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ZHONGM</dc:creator>
  <cp:keywords/>
  <cp:lastModifiedBy>ZHONGM</cp:lastModifiedBy>
  <cp:revision>2</cp:revision>
  <cp:lastPrinted>1601-01-01T00:00:00Z</cp:lastPrinted>
  <dcterms:created xsi:type="dcterms:W3CDTF">2023-12-31T16:01:00Z</dcterms:created>
  <dcterms:modified xsi:type="dcterms:W3CDTF">2023-12-31T16:01:00Z</dcterms:modified>
</cp:coreProperties>
</file>