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18" w:rsidRDefault="008E0718">
      <w:pPr>
        <w:jc w:val="center"/>
        <w:rPr>
          <w:rFonts w:ascii="宋体" w:hAnsi="宋体"/>
          <w:b/>
          <w:kern w:val="0"/>
          <w:sz w:val="32"/>
          <w:szCs w:val="32"/>
        </w:rPr>
      </w:pPr>
      <w:r>
        <w:rPr>
          <w:rFonts w:ascii="宋体" w:hAnsi="宋体" w:hint="eastAsia"/>
          <w:b/>
          <w:kern w:val="0"/>
          <w:sz w:val="32"/>
          <w:szCs w:val="32"/>
        </w:rPr>
        <w:t>富国基金管理有限公司关于旗下部分基金2024年非港股通交易日暂停申购、赎回等业务的公告</w:t>
      </w:r>
    </w:p>
    <w:p w:rsidR="008E0718" w:rsidRDefault="008E0718">
      <w:pPr>
        <w:jc w:val="center"/>
        <w:rPr>
          <w:rFonts w:ascii="宋体" w:hAnsi="宋体" w:hint="eastAsia"/>
          <w:b/>
          <w:kern w:val="0"/>
          <w:sz w:val="32"/>
          <w:szCs w:val="32"/>
        </w:rPr>
      </w:pPr>
    </w:p>
    <w:p w:rsidR="008E0718" w:rsidRDefault="008E0718">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为了保障基金平稳运作，保护持有人利益，根据上海证券交易所《关于2023年岁末及2024年沪港通下港股通交易日安排的通知》和深圳证券交易所《关于2023年底及2024年深港通下的港股通交易日有关安排的通知》，富国基金管理有限公司（以下简称“本公司”）决定，对于基金合同、招募说明书规定基金申购和赎回的开放日为上海证券交易所和深圳证券交易所的交易日，且若该工作日为非港股通交易日，则基金不开放申购和赎回的基金（详见附件），在上海证券交易所和深圳证券交易所交易日的下列</w:t>
      </w:r>
      <w:r>
        <w:rPr>
          <w:rFonts w:ascii="宋体" w:hAnsi="宋体" w:cs="宋体"/>
          <w:color w:val="000000"/>
          <w:kern w:val="0"/>
          <w:sz w:val="24"/>
        </w:rPr>
        <w:t>2024</w:t>
      </w:r>
      <w:r>
        <w:rPr>
          <w:rFonts w:ascii="宋体" w:hAnsi="宋体" w:cs="宋体" w:hint="eastAsia"/>
          <w:color w:val="000000"/>
          <w:kern w:val="0"/>
          <w:sz w:val="24"/>
        </w:rPr>
        <w:t>年非港股通交易日，暂停前述基金的申购、赎回、定期定额申购、基金转换（如已开通）等交易类业务，并自下列非港股通交易日结束后的首个开放日恢复上述基金在非港股通交易日暂停的日常申购、赎回、定期定额申购、基金转换（如已开通）等业务，届时不再另行公告。</w:t>
      </w:r>
    </w:p>
    <w:tbl>
      <w:tblPr>
        <w:tblW w:w="8222" w:type="dxa"/>
        <w:tblInd w:w="108" w:type="dxa"/>
        <w:tblLook w:val="0000"/>
      </w:tblPr>
      <w:tblGrid>
        <w:gridCol w:w="3402"/>
        <w:gridCol w:w="4820"/>
      </w:tblGrid>
      <w:tr w:rsidR="008E0718">
        <w:trPr>
          <w:trHeight w:val="300"/>
        </w:trPr>
        <w:tc>
          <w:tcPr>
            <w:tcW w:w="3402" w:type="dxa"/>
            <w:vMerge w:val="restart"/>
            <w:tcBorders>
              <w:top w:val="single" w:sz="8" w:space="0" w:color="auto"/>
              <w:left w:val="single" w:sz="8" w:space="0" w:color="auto"/>
              <w:right w:val="single" w:sz="8" w:space="0" w:color="auto"/>
            </w:tcBorders>
            <w:noWrap/>
            <w:vAlign w:val="center"/>
          </w:tcPr>
          <w:p w:rsidR="008E0718" w:rsidRDefault="008E0718">
            <w:pPr>
              <w:jc w:val="center"/>
              <w:rPr>
                <w:rFonts w:ascii="宋体" w:hAnsi="宋体" w:cs="宋体"/>
                <w:color w:val="000000"/>
                <w:kern w:val="0"/>
                <w:sz w:val="22"/>
                <w:szCs w:val="22"/>
              </w:rPr>
            </w:pPr>
            <w:r>
              <w:rPr>
                <w:rFonts w:ascii="宋体" w:hAnsi="宋体" w:cs="宋体" w:hint="eastAsia"/>
                <w:color w:val="000000"/>
                <w:kern w:val="0"/>
                <w:sz w:val="22"/>
                <w:szCs w:val="22"/>
              </w:rPr>
              <w:t>2024年非港股通交易日</w:t>
            </w:r>
          </w:p>
        </w:tc>
        <w:tc>
          <w:tcPr>
            <w:tcW w:w="4820" w:type="dxa"/>
            <w:tcBorders>
              <w:top w:val="single" w:sz="8" w:space="0" w:color="auto"/>
              <w:left w:val="nil"/>
              <w:bottom w:val="single" w:sz="8" w:space="0" w:color="auto"/>
              <w:right w:val="single" w:sz="8" w:space="0" w:color="auto"/>
            </w:tcBorders>
            <w:vAlign w:val="center"/>
          </w:tcPr>
          <w:p w:rsidR="008E0718" w:rsidRDefault="008E0718">
            <w:pPr>
              <w:widowControl/>
              <w:jc w:val="center"/>
              <w:rPr>
                <w:rFonts w:ascii="宋体" w:hAnsi="宋体" w:cs="宋体" w:hint="eastAsia"/>
                <w:color w:val="000000"/>
                <w:kern w:val="0"/>
                <w:sz w:val="24"/>
              </w:rPr>
            </w:pPr>
            <w:r>
              <w:rPr>
                <w:rFonts w:ascii="宋体" w:hAnsi="宋体" w:cs="宋体" w:hint="eastAsia"/>
                <w:color w:val="000000"/>
                <w:kern w:val="0"/>
                <w:sz w:val="24"/>
              </w:rPr>
              <w:t>日期</w:t>
            </w:r>
          </w:p>
        </w:tc>
      </w:tr>
      <w:tr w:rsidR="008E0718">
        <w:trPr>
          <w:trHeight w:val="285"/>
        </w:trPr>
        <w:tc>
          <w:tcPr>
            <w:tcW w:w="3402" w:type="dxa"/>
            <w:vMerge/>
            <w:tcBorders>
              <w:left w:val="single" w:sz="8" w:space="0" w:color="auto"/>
              <w:right w:val="single" w:sz="8" w:space="0" w:color="auto"/>
            </w:tcBorders>
            <w:noWrap/>
            <w:vAlign w:val="center"/>
          </w:tcPr>
          <w:p w:rsidR="008E0718" w:rsidRDefault="008E0718">
            <w:pPr>
              <w:widowControl/>
              <w:jc w:val="center"/>
              <w:rPr>
                <w:rFonts w:ascii="宋体" w:hAnsi="宋体" w:cs="宋体"/>
                <w:color w:val="000000"/>
                <w:kern w:val="0"/>
                <w:sz w:val="22"/>
                <w:szCs w:val="22"/>
              </w:rPr>
            </w:pPr>
          </w:p>
        </w:tc>
        <w:tc>
          <w:tcPr>
            <w:tcW w:w="4820" w:type="dxa"/>
            <w:tcBorders>
              <w:top w:val="nil"/>
              <w:left w:val="nil"/>
              <w:bottom w:val="single" w:sz="8" w:space="0" w:color="auto"/>
              <w:right w:val="single" w:sz="8" w:space="0" w:color="auto"/>
            </w:tcBorders>
            <w:vAlign w:val="center"/>
          </w:tcPr>
          <w:p w:rsidR="008E0718" w:rsidRDefault="008E0718">
            <w:pPr>
              <w:widowControl/>
              <w:rPr>
                <w:rFonts w:hint="eastAsia"/>
                <w:color w:val="000000"/>
                <w:kern w:val="0"/>
                <w:szCs w:val="21"/>
              </w:rPr>
            </w:pPr>
            <w:r>
              <w:rPr>
                <w:color w:val="000000"/>
                <w:kern w:val="0"/>
                <w:szCs w:val="21"/>
              </w:rPr>
              <w:t>2024</w:t>
            </w:r>
            <w:r>
              <w:rPr>
                <w:color w:val="000000"/>
                <w:kern w:val="0"/>
                <w:szCs w:val="21"/>
              </w:rPr>
              <w:t>年</w:t>
            </w:r>
            <w:r>
              <w:rPr>
                <w:color w:val="000000"/>
                <w:kern w:val="0"/>
                <w:szCs w:val="21"/>
              </w:rPr>
              <w:t>3</w:t>
            </w:r>
            <w:r>
              <w:rPr>
                <w:color w:val="000000"/>
                <w:kern w:val="0"/>
                <w:szCs w:val="21"/>
              </w:rPr>
              <w:t>月</w:t>
            </w:r>
            <w:r>
              <w:rPr>
                <w:color w:val="000000"/>
                <w:kern w:val="0"/>
                <w:szCs w:val="21"/>
              </w:rPr>
              <w:t>29</w:t>
            </w:r>
            <w:r>
              <w:rPr>
                <w:color w:val="000000"/>
                <w:kern w:val="0"/>
                <w:szCs w:val="21"/>
              </w:rPr>
              <w:t>日</w:t>
            </w:r>
          </w:p>
        </w:tc>
      </w:tr>
      <w:tr w:rsidR="008E0718">
        <w:trPr>
          <w:trHeight w:val="285"/>
        </w:trPr>
        <w:tc>
          <w:tcPr>
            <w:tcW w:w="3402" w:type="dxa"/>
            <w:vMerge/>
            <w:tcBorders>
              <w:left w:val="single" w:sz="8" w:space="0" w:color="auto"/>
              <w:right w:val="single" w:sz="8" w:space="0" w:color="auto"/>
            </w:tcBorders>
            <w:noWrap/>
            <w:vAlign w:val="center"/>
          </w:tcPr>
          <w:p w:rsidR="008E0718" w:rsidRDefault="008E0718">
            <w:pPr>
              <w:widowControl/>
              <w:jc w:val="center"/>
              <w:rPr>
                <w:rFonts w:ascii="宋体" w:hAnsi="宋体" w:cs="宋体" w:hint="eastAsia"/>
                <w:color w:val="000000"/>
                <w:kern w:val="0"/>
                <w:sz w:val="22"/>
                <w:szCs w:val="22"/>
              </w:rPr>
            </w:pPr>
          </w:p>
        </w:tc>
        <w:tc>
          <w:tcPr>
            <w:tcW w:w="4820" w:type="dxa"/>
            <w:tcBorders>
              <w:top w:val="nil"/>
              <w:left w:val="nil"/>
              <w:bottom w:val="single" w:sz="8" w:space="0" w:color="auto"/>
              <w:right w:val="single" w:sz="8" w:space="0" w:color="auto"/>
            </w:tcBorders>
            <w:vAlign w:val="center"/>
          </w:tcPr>
          <w:p w:rsidR="008E0718" w:rsidRDefault="008E0718">
            <w:pPr>
              <w:widowControl/>
              <w:rPr>
                <w:color w:val="000000"/>
                <w:kern w:val="0"/>
                <w:szCs w:val="21"/>
              </w:rPr>
            </w:pPr>
            <w:r>
              <w:rPr>
                <w:color w:val="000000"/>
                <w:kern w:val="0"/>
                <w:szCs w:val="21"/>
              </w:rPr>
              <w:t>2024</w:t>
            </w:r>
            <w:r>
              <w:rPr>
                <w:color w:val="000000"/>
                <w:kern w:val="0"/>
                <w:szCs w:val="21"/>
              </w:rPr>
              <w:t>年</w:t>
            </w:r>
            <w:r>
              <w:rPr>
                <w:color w:val="000000"/>
                <w:kern w:val="0"/>
                <w:szCs w:val="21"/>
              </w:rPr>
              <w:t>4</w:t>
            </w:r>
            <w:r>
              <w:rPr>
                <w:color w:val="000000"/>
                <w:kern w:val="0"/>
                <w:szCs w:val="21"/>
              </w:rPr>
              <w:t>月</w:t>
            </w:r>
            <w:r>
              <w:rPr>
                <w:color w:val="000000"/>
                <w:kern w:val="0"/>
                <w:szCs w:val="21"/>
              </w:rPr>
              <w:t>1</w:t>
            </w:r>
            <w:r>
              <w:rPr>
                <w:color w:val="000000"/>
                <w:kern w:val="0"/>
                <w:szCs w:val="21"/>
              </w:rPr>
              <w:t>日</w:t>
            </w:r>
          </w:p>
        </w:tc>
      </w:tr>
      <w:tr w:rsidR="008E0718">
        <w:trPr>
          <w:trHeight w:val="285"/>
        </w:trPr>
        <w:tc>
          <w:tcPr>
            <w:tcW w:w="3402" w:type="dxa"/>
            <w:vMerge/>
            <w:tcBorders>
              <w:left w:val="single" w:sz="8" w:space="0" w:color="auto"/>
              <w:right w:val="single" w:sz="8" w:space="0" w:color="auto"/>
            </w:tcBorders>
            <w:noWrap/>
            <w:vAlign w:val="center"/>
          </w:tcPr>
          <w:p w:rsidR="008E0718" w:rsidRDefault="008E0718">
            <w:pPr>
              <w:widowControl/>
              <w:jc w:val="center"/>
              <w:rPr>
                <w:rFonts w:ascii="宋体" w:hAnsi="宋体" w:cs="宋体" w:hint="eastAsia"/>
                <w:color w:val="000000"/>
                <w:kern w:val="0"/>
                <w:sz w:val="22"/>
                <w:szCs w:val="22"/>
              </w:rPr>
            </w:pPr>
          </w:p>
        </w:tc>
        <w:tc>
          <w:tcPr>
            <w:tcW w:w="4820" w:type="dxa"/>
            <w:tcBorders>
              <w:top w:val="nil"/>
              <w:left w:val="nil"/>
              <w:bottom w:val="single" w:sz="8" w:space="0" w:color="auto"/>
              <w:right w:val="single" w:sz="8" w:space="0" w:color="auto"/>
            </w:tcBorders>
            <w:vAlign w:val="center"/>
          </w:tcPr>
          <w:p w:rsidR="008E0718" w:rsidRDefault="008E0718">
            <w:pPr>
              <w:widowControl/>
              <w:rPr>
                <w:color w:val="000000"/>
                <w:kern w:val="0"/>
                <w:szCs w:val="21"/>
              </w:rPr>
            </w:pPr>
            <w:r>
              <w:rPr>
                <w:color w:val="000000"/>
                <w:kern w:val="0"/>
                <w:szCs w:val="21"/>
              </w:rPr>
              <w:t>2024</w:t>
            </w:r>
            <w:r>
              <w:rPr>
                <w:color w:val="000000"/>
                <w:kern w:val="0"/>
                <w:szCs w:val="21"/>
              </w:rPr>
              <w:t>年</w:t>
            </w:r>
            <w:r>
              <w:rPr>
                <w:color w:val="000000"/>
                <w:kern w:val="0"/>
                <w:szCs w:val="21"/>
              </w:rPr>
              <w:t>5</w:t>
            </w:r>
            <w:r>
              <w:rPr>
                <w:color w:val="000000"/>
                <w:kern w:val="0"/>
                <w:szCs w:val="21"/>
              </w:rPr>
              <w:t>月</w:t>
            </w:r>
            <w:r>
              <w:rPr>
                <w:color w:val="000000"/>
                <w:kern w:val="0"/>
                <w:szCs w:val="21"/>
              </w:rPr>
              <w:t>15</w:t>
            </w:r>
            <w:r>
              <w:rPr>
                <w:color w:val="000000"/>
                <w:kern w:val="0"/>
                <w:szCs w:val="21"/>
              </w:rPr>
              <w:t>日</w:t>
            </w:r>
          </w:p>
        </w:tc>
      </w:tr>
      <w:tr w:rsidR="008E0718">
        <w:trPr>
          <w:trHeight w:val="285"/>
        </w:trPr>
        <w:tc>
          <w:tcPr>
            <w:tcW w:w="3402" w:type="dxa"/>
            <w:vMerge/>
            <w:tcBorders>
              <w:left w:val="single" w:sz="8" w:space="0" w:color="auto"/>
              <w:right w:val="single" w:sz="8" w:space="0" w:color="auto"/>
            </w:tcBorders>
            <w:vAlign w:val="center"/>
          </w:tcPr>
          <w:p w:rsidR="008E0718" w:rsidRDefault="008E0718">
            <w:pPr>
              <w:widowControl/>
              <w:jc w:val="left"/>
              <w:rPr>
                <w:rFonts w:ascii="宋体" w:hAnsi="宋体" w:cs="宋体"/>
                <w:color w:val="000000"/>
                <w:kern w:val="0"/>
                <w:sz w:val="22"/>
                <w:szCs w:val="22"/>
              </w:rPr>
            </w:pPr>
          </w:p>
        </w:tc>
        <w:tc>
          <w:tcPr>
            <w:tcW w:w="4820" w:type="dxa"/>
            <w:tcBorders>
              <w:top w:val="nil"/>
              <w:left w:val="nil"/>
              <w:bottom w:val="single" w:sz="8" w:space="0" w:color="auto"/>
              <w:right w:val="single" w:sz="8" w:space="0" w:color="auto"/>
            </w:tcBorders>
            <w:vAlign w:val="center"/>
          </w:tcPr>
          <w:p w:rsidR="008E0718" w:rsidRDefault="008E0718">
            <w:pPr>
              <w:widowControl/>
              <w:rPr>
                <w:color w:val="000000"/>
                <w:kern w:val="0"/>
                <w:szCs w:val="21"/>
              </w:rPr>
            </w:pPr>
            <w:r>
              <w:rPr>
                <w:color w:val="000000"/>
                <w:kern w:val="0"/>
                <w:szCs w:val="21"/>
              </w:rPr>
              <w:t>2024</w:t>
            </w:r>
            <w:r>
              <w:rPr>
                <w:color w:val="000000"/>
                <w:kern w:val="0"/>
                <w:szCs w:val="21"/>
              </w:rPr>
              <w:t>年</w:t>
            </w:r>
            <w:r>
              <w:rPr>
                <w:color w:val="000000"/>
                <w:kern w:val="0"/>
                <w:szCs w:val="21"/>
              </w:rPr>
              <w:t>7</w:t>
            </w:r>
            <w:r>
              <w:rPr>
                <w:color w:val="000000"/>
                <w:kern w:val="0"/>
                <w:szCs w:val="21"/>
              </w:rPr>
              <w:t>月</w:t>
            </w:r>
            <w:r>
              <w:rPr>
                <w:color w:val="000000"/>
                <w:kern w:val="0"/>
                <w:szCs w:val="21"/>
              </w:rPr>
              <w:t>1</w:t>
            </w:r>
            <w:r>
              <w:rPr>
                <w:color w:val="000000"/>
                <w:kern w:val="0"/>
                <w:szCs w:val="21"/>
              </w:rPr>
              <w:t>日</w:t>
            </w:r>
          </w:p>
        </w:tc>
      </w:tr>
      <w:tr w:rsidR="008E0718">
        <w:trPr>
          <w:trHeight w:val="285"/>
        </w:trPr>
        <w:tc>
          <w:tcPr>
            <w:tcW w:w="3402" w:type="dxa"/>
            <w:vMerge/>
            <w:tcBorders>
              <w:left w:val="single" w:sz="8" w:space="0" w:color="auto"/>
              <w:right w:val="single" w:sz="8" w:space="0" w:color="auto"/>
            </w:tcBorders>
            <w:vAlign w:val="center"/>
          </w:tcPr>
          <w:p w:rsidR="008E0718" w:rsidRDefault="008E0718">
            <w:pPr>
              <w:widowControl/>
              <w:jc w:val="left"/>
              <w:rPr>
                <w:rFonts w:ascii="宋体" w:hAnsi="宋体" w:cs="宋体"/>
                <w:color w:val="000000"/>
                <w:kern w:val="0"/>
                <w:sz w:val="22"/>
                <w:szCs w:val="22"/>
              </w:rPr>
            </w:pPr>
          </w:p>
        </w:tc>
        <w:tc>
          <w:tcPr>
            <w:tcW w:w="4820" w:type="dxa"/>
            <w:tcBorders>
              <w:top w:val="nil"/>
              <w:left w:val="nil"/>
              <w:bottom w:val="single" w:sz="8" w:space="0" w:color="auto"/>
              <w:right w:val="single" w:sz="8" w:space="0" w:color="auto"/>
            </w:tcBorders>
            <w:vAlign w:val="center"/>
          </w:tcPr>
          <w:p w:rsidR="008E0718" w:rsidRDefault="008E0718">
            <w:pPr>
              <w:widowControl/>
              <w:rPr>
                <w:color w:val="000000"/>
                <w:kern w:val="0"/>
                <w:szCs w:val="21"/>
              </w:rPr>
            </w:pPr>
            <w:r>
              <w:rPr>
                <w:color w:val="000000"/>
                <w:kern w:val="0"/>
                <w:szCs w:val="21"/>
              </w:rPr>
              <w:t>2024</w:t>
            </w:r>
            <w:r>
              <w:rPr>
                <w:color w:val="000000"/>
                <w:kern w:val="0"/>
                <w:szCs w:val="21"/>
              </w:rPr>
              <w:t>年</w:t>
            </w:r>
            <w:r>
              <w:rPr>
                <w:color w:val="000000"/>
                <w:kern w:val="0"/>
                <w:szCs w:val="21"/>
              </w:rPr>
              <w:t>9</w:t>
            </w:r>
            <w:r>
              <w:rPr>
                <w:color w:val="000000"/>
                <w:kern w:val="0"/>
                <w:szCs w:val="21"/>
              </w:rPr>
              <w:t>月</w:t>
            </w:r>
            <w:r>
              <w:rPr>
                <w:color w:val="000000"/>
                <w:kern w:val="0"/>
                <w:szCs w:val="21"/>
              </w:rPr>
              <w:t>18</w:t>
            </w:r>
            <w:r>
              <w:rPr>
                <w:color w:val="000000"/>
                <w:kern w:val="0"/>
                <w:szCs w:val="21"/>
              </w:rPr>
              <w:t>日</w:t>
            </w:r>
          </w:p>
        </w:tc>
      </w:tr>
      <w:tr w:rsidR="008E0718">
        <w:trPr>
          <w:trHeight w:val="285"/>
        </w:trPr>
        <w:tc>
          <w:tcPr>
            <w:tcW w:w="3402" w:type="dxa"/>
            <w:vMerge/>
            <w:tcBorders>
              <w:left w:val="single" w:sz="8" w:space="0" w:color="auto"/>
              <w:right w:val="single" w:sz="8" w:space="0" w:color="auto"/>
            </w:tcBorders>
            <w:vAlign w:val="center"/>
          </w:tcPr>
          <w:p w:rsidR="008E0718" w:rsidRDefault="008E0718">
            <w:pPr>
              <w:widowControl/>
              <w:jc w:val="left"/>
              <w:rPr>
                <w:rFonts w:ascii="宋体" w:hAnsi="宋体" w:cs="宋体"/>
                <w:color w:val="000000"/>
                <w:kern w:val="0"/>
                <w:sz w:val="22"/>
                <w:szCs w:val="22"/>
              </w:rPr>
            </w:pPr>
          </w:p>
        </w:tc>
        <w:tc>
          <w:tcPr>
            <w:tcW w:w="4820" w:type="dxa"/>
            <w:tcBorders>
              <w:top w:val="nil"/>
              <w:left w:val="nil"/>
              <w:bottom w:val="single" w:sz="8" w:space="0" w:color="auto"/>
              <w:right w:val="single" w:sz="8" w:space="0" w:color="auto"/>
            </w:tcBorders>
            <w:vAlign w:val="center"/>
          </w:tcPr>
          <w:p w:rsidR="008E0718" w:rsidRDefault="008E0718">
            <w:pPr>
              <w:widowControl/>
              <w:rPr>
                <w:color w:val="000000"/>
                <w:kern w:val="0"/>
                <w:szCs w:val="21"/>
              </w:rPr>
            </w:pPr>
            <w:r>
              <w:rPr>
                <w:color w:val="000000"/>
                <w:kern w:val="0"/>
                <w:szCs w:val="21"/>
              </w:rPr>
              <w:t>2024</w:t>
            </w:r>
            <w:r>
              <w:rPr>
                <w:color w:val="000000"/>
                <w:kern w:val="0"/>
                <w:szCs w:val="21"/>
              </w:rPr>
              <w:t>年</w:t>
            </w:r>
            <w:r>
              <w:rPr>
                <w:color w:val="000000"/>
                <w:kern w:val="0"/>
                <w:szCs w:val="21"/>
              </w:rPr>
              <w:t>10</w:t>
            </w:r>
            <w:r>
              <w:rPr>
                <w:color w:val="000000"/>
                <w:kern w:val="0"/>
                <w:szCs w:val="21"/>
              </w:rPr>
              <w:t>月</w:t>
            </w:r>
            <w:r>
              <w:rPr>
                <w:color w:val="000000"/>
                <w:kern w:val="0"/>
                <w:szCs w:val="21"/>
              </w:rPr>
              <w:t>11</w:t>
            </w:r>
            <w:r>
              <w:rPr>
                <w:color w:val="000000"/>
                <w:kern w:val="0"/>
                <w:szCs w:val="21"/>
              </w:rPr>
              <w:t>日</w:t>
            </w:r>
          </w:p>
        </w:tc>
      </w:tr>
      <w:tr w:rsidR="008E0718">
        <w:trPr>
          <w:trHeight w:val="285"/>
        </w:trPr>
        <w:tc>
          <w:tcPr>
            <w:tcW w:w="3402" w:type="dxa"/>
            <w:vMerge/>
            <w:tcBorders>
              <w:left w:val="single" w:sz="8" w:space="0" w:color="auto"/>
              <w:right w:val="single" w:sz="8" w:space="0" w:color="auto"/>
            </w:tcBorders>
            <w:vAlign w:val="center"/>
          </w:tcPr>
          <w:p w:rsidR="008E0718" w:rsidRDefault="008E0718">
            <w:pPr>
              <w:widowControl/>
              <w:jc w:val="left"/>
              <w:rPr>
                <w:rFonts w:ascii="宋体" w:hAnsi="宋体" w:cs="宋体"/>
                <w:color w:val="000000"/>
                <w:kern w:val="0"/>
                <w:sz w:val="22"/>
                <w:szCs w:val="22"/>
              </w:rPr>
            </w:pPr>
          </w:p>
        </w:tc>
        <w:tc>
          <w:tcPr>
            <w:tcW w:w="4820" w:type="dxa"/>
            <w:tcBorders>
              <w:top w:val="nil"/>
              <w:left w:val="nil"/>
              <w:bottom w:val="single" w:sz="8" w:space="0" w:color="auto"/>
              <w:right w:val="single" w:sz="8" w:space="0" w:color="auto"/>
            </w:tcBorders>
            <w:vAlign w:val="center"/>
          </w:tcPr>
          <w:p w:rsidR="008E0718" w:rsidRDefault="008E0718">
            <w:pPr>
              <w:widowControl/>
              <w:rPr>
                <w:color w:val="000000"/>
                <w:kern w:val="0"/>
                <w:szCs w:val="21"/>
              </w:rPr>
            </w:pPr>
            <w:r>
              <w:rPr>
                <w:color w:val="000000"/>
                <w:kern w:val="0"/>
                <w:szCs w:val="21"/>
              </w:rPr>
              <w:t>2024</w:t>
            </w:r>
            <w:r>
              <w:rPr>
                <w:color w:val="000000"/>
                <w:kern w:val="0"/>
                <w:szCs w:val="21"/>
              </w:rPr>
              <w:t>年</w:t>
            </w:r>
            <w:r>
              <w:rPr>
                <w:color w:val="000000"/>
                <w:kern w:val="0"/>
                <w:szCs w:val="21"/>
              </w:rPr>
              <w:t>12</w:t>
            </w:r>
            <w:r>
              <w:rPr>
                <w:color w:val="000000"/>
                <w:kern w:val="0"/>
                <w:szCs w:val="21"/>
              </w:rPr>
              <w:t>月</w:t>
            </w:r>
            <w:r>
              <w:rPr>
                <w:color w:val="000000"/>
                <w:kern w:val="0"/>
                <w:szCs w:val="21"/>
              </w:rPr>
              <w:t>25</w:t>
            </w:r>
            <w:r>
              <w:rPr>
                <w:color w:val="000000"/>
                <w:kern w:val="0"/>
                <w:szCs w:val="21"/>
              </w:rPr>
              <w:t>日</w:t>
            </w:r>
          </w:p>
        </w:tc>
      </w:tr>
      <w:tr w:rsidR="008E0718">
        <w:trPr>
          <w:trHeight w:val="285"/>
        </w:trPr>
        <w:tc>
          <w:tcPr>
            <w:tcW w:w="3402" w:type="dxa"/>
            <w:vMerge/>
            <w:tcBorders>
              <w:left w:val="single" w:sz="8" w:space="0" w:color="auto"/>
              <w:bottom w:val="single" w:sz="4" w:space="0" w:color="auto"/>
              <w:right w:val="single" w:sz="8" w:space="0" w:color="auto"/>
            </w:tcBorders>
            <w:vAlign w:val="center"/>
          </w:tcPr>
          <w:p w:rsidR="008E0718" w:rsidRDefault="008E0718">
            <w:pPr>
              <w:widowControl/>
              <w:jc w:val="left"/>
              <w:rPr>
                <w:rFonts w:ascii="宋体" w:hAnsi="宋体" w:cs="宋体"/>
                <w:color w:val="000000"/>
                <w:kern w:val="0"/>
                <w:sz w:val="22"/>
                <w:szCs w:val="22"/>
              </w:rPr>
            </w:pPr>
          </w:p>
        </w:tc>
        <w:tc>
          <w:tcPr>
            <w:tcW w:w="4820" w:type="dxa"/>
            <w:tcBorders>
              <w:top w:val="nil"/>
              <w:left w:val="nil"/>
              <w:bottom w:val="single" w:sz="4" w:space="0" w:color="auto"/>
              <w:right w:val="single" w:sz="8" w:space="0" w:color="auto"/>
            </w:tcBorders>
            <w:vAlign w:val="center"/>
          </w:tcPr>
          <w:p w:rsidR="008E0718" w:rsidRDefault="008E0718">
            <w:pPr>
              <w:widowControl/>
              <w:rPr>
                <w:color w:val="000000"/>
                <w:kern w:val="0"/>
                <w:szCs w:val="21"/>
              </w:rPr>
            </w:pPr>
            <w:r>
              <w:rPr>
                <w:color w:val="000000"/>
                <w:kern w:val="0"/>
                <w:szCs w:val="21"/>
              </w:rPr>
              <w:t>2024</w:t>
            </w:r>
            <w:r>
              <w:rPr>
                <w:color w:val="000000"/>
                <w:kern w:val="0"/>
                <w:szCs w:val="21"/>
              </w:rPr>
              <w:t>年</w:t>
            </w:r>
            <w:r>
              <w:rPr>
                <w:color w:val="000000"/>
                <w:kern w:val="0"/>
                <w:szCs w:val="21"/>
              </w:rPr>
              <w:t>12</w:t>
            </w:r>
            <w:r>
              <w:rPr>
                <w:color w:val="000000"/>
                <w:kern w:val="0"/>
                <w:szCs w:val="21"/>
              </w:rPr>
              <w:t>月</w:t>
            </w:r>
            <w:r>
              <w:rPr>
                <w:color w:val="000000"/>
                <w:kern w:val="0"/>
                <w:szCs w:val="21"/>
              </w:rPr>
              <w:t>26</w:t>
            </w:r>
            <w:r>
              <w:rPr>
                <w:color w:val="000000"/>
                <w:kern w:val="0"/>
                <w:szCs w:val="21"/>
              </w:rPr>
              <w:t>日</w:t>
            </w:r>
          </w:p>
        </w:tc>
      </w:tr>
    </w:tbl>
    <w:p w:rsidR="008E0718" w:rsidRDefault="008E0718">
      <w:pPr>
        <w:spacing w:line="360" w:lineRule="auto"/>
        <w:rPr>
          <w:rFonts w:ascii="宋体" w:hAnsi="宋体" w:cs="宋体" w:hint="eastAsia"/>
          <w:color w:val="000000"/>
          <w:kern w:val="0"/>
          <w:sz w:val="24"/>
        </w:rPr>
      </w:pPr>
    </w:p>
    <w:p w:rsidR="008E0718" w:rsidRDefault="008E0718">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注：2024年12月30日（星期一）至12月31日（星期二）是否暂停基金的申购、赎回、定期定额申购、基金转换等交易类业务，将待中国证监会关于2025年节假日放假和休市安排确定后由本公司另行公告。</w:t>
      </w:r>
    </w:p>
    <w:p w:rsidR="008E0718" w:rsidRDefault="008E0718">
      <w:pPr>
        <w:spacing w:line="360" w:lineRule="auto"/>
        <w:ind w:firstLineChars="200" w:firstLine="480"/>
        <w:rPr>
          <w:rFonts w:ascii="宋体" w:hAnsi="宋体" w:cs="宋体"/>
          <w:color w:val="000000"/>
          <w:kern w:val="0"/>
          <w:sz w:val="24"/>
        </w:rPr>
      </w:pPr>
      <w:r>
        <w:rPr>
          <w:rFonts w:ascii="宋体" w:hAnsi="宋体" w:cs="宋体"/>
          <w:color w:val="000000"/>
          <w:kern w:val="0"/>
          <w:sz w:val="24"/>
        </w:rPr>
        <w:t>若</w:t>
      </w:r>
      <w:r>
        <w:rPr>
          <w:rFonts w:ascii="宋体" w:hAnsi="宋体" w:cs="宋体" w:hint="eastAsia"/>
          <w:color w:val="000000"/>
          <w:kern w:val="0"/>
          <w:sz w:val="24"/>
        </w:rPr>
        <w:t>非港股通交易日</w:t>
      </w:r>
      <w:r>
        <w:rPr>
          <w:rFonts w:ascii="宋体" w:hAnsi="宋体" w:cs="宋体"/>
          <w:color w:val="000000"/>
          <w:kern w:val="0"/>
          <w:sz w:val="24"/>
        </w:rPr>
        <w:t>安排发生变化或将来根据法律法规和</w:t>
      </w:r>
      <w:r>
        <w:rPr>
          <w:rFonts w:ascii="宋体" w:hAnsi="宋体" w:cs="宋体" w:hint="eastAsia"/>
          <w:color w:val="000000"/>
          <w:kern w:val="0"/>
          <w:sz w:val="24"/>
        </w:rPr>
        <w:t>前述基金</w:t>
      </w:r>
      <w:r>
        <w:rPr>
          <w:rFonts w:ascii="宋体" w:hAnsi="宋体" w:cs="宋体"/>
          <w:color w:val="000000"/>
          <w:kern w:val="0"/>
          <w:sz w:val="24"/>
        </w:rPr>
        <w:t>基金合同的约定需要调整上述安排的</w:t>
      </w:r>
      <w:r>
        <w:rPr>
          <w:rFonts w:ascii="宋体" w:hAnsi="宋体" w:cs="宋体" w:hint="eastAsia"/>
          <w:color w:val="000000"/>
          <w:kern w:val="0"/>
          <w:sz w:val="24"/>
        </w:rPr>
        <w:t>，本公司</w:t>
      </w:r>
      <w:r>
        <w:rPr>
          <w:rFonts w:ascii="宋体" w:hAnsi="宋体" w:cs="宋体"/>
          <w:color w:val="000000"/>
          <w:kern w:val="0"/>
          <w:sz w:val="24"/>
        </w:rPr>
        <w:t>将另行调整并公告。</w:t>
      </w:r>
    </w:p>
    <w:p w:rsidR="008E0718" w:rsidRDefault="008E0718">
      <w:pPr>
        <w:spacing w:line="360" w:lineRule="auto"/>
        <w:ind w:firstLineChars="200" w:firstLine="480"/>
        <w:rPr>
          <w:rFonts w:ascii="宋体" w:hAnsi="宋体" w:cs="宋体"/>
          <w:color w:val="000000"/>
          <w:kern w:val="0"/>
          <w:sz w:val="24"/>
        </w:rPr>
      </w:pPr>
      <w:r>
        <w:rPr>
          <w:rFonts w:ascii="宋体" w:hAnsi="宋体" w:cs="宋体"/>
          <w:color w:val="000000"/>
          <w:kern w:val="0"/>
          <w:sz w:val="24"/>
        </w:rPr>
        <w:t>投资者可访问</w:t>
      </w:r>
      <w:r>
        <w:rPr>
          <w:rFonts w:ascii="宋体" w:hAnsi="宋体" w:cs="宋体" w:hint="eastAsia"/>
          <w:color w:val="000000"/>
          <w:kern w:val="0"/>
          <w:sz w:val="24"/>
        </w:rPr>
        <w:t>富国</w:t>
      </w:r>
      <w:r>
        <w:rPr>
          <w:rFonts w:ascii="宋体" w:hAnsi="宋体" w:cs="宋体"/>
          <w:color w:val="000000"/>
          <w:kern w:val="0"/>
          <w:sz w:val="24"/>
        </w:rPr>
        <w:t>基金管理有限公司网站</w:t>
      </w:r>
      <w:r>
        <w:rPr>
          <w:rFonts w:ascii="宋体" w:hAnsi="宋体" w:cs="宋体" w:hint="eastAsia"/>
          <w:color w:val="000000"/>
          <w:kern w:val="0"/>
          <w:sz w:val="24"/>
        </w:rPr>
        <w:t>(</w:t>
      </w:r>
      <w:hyperlink r:id="rId4" w:history="1">
        <w:r>
          <w:rPr>
            <w:rFonts w:ascii="宋体" w:hAnsi="宋体" w:hint="eastAsia"/>
            <w:sz w:val="24"/>
          </w:rPr>
          <w:t>www.fullgoal.com.cn</w:t>
        </w:r>
      </w:hyperlink>
      <w:r>
        <w:rPr>
          <w:rFonts w:ascii="宋体" w:hAnsi="宋体" w:cs="宋体"/>
          <w:color w:val="000000"/>
          <w:kern w:val="0"/>
          <w:sz w:val="24"/>
        </w:rPr>
        <w:t>)或拨打</w:t>
      </w:r>
      <w:r>
        <w:rPr>
          <w:rFonts w:ascii="宋体" w:hAnsi="宋体" w:hint="eastAsia"/>
          <w:sz w:val="24"/>
        </w:rPr>
        <w:t>客户服务热线：95105686，4008880688（全国统一，均免长途话费）</w:t>
      </w:r>
      <w:r>
        <w:rPr>
          <w:rFonts w:ascii="宋体" w:hAnsi="宋体" w:cs="宋体"/>
          <w:color w:val="000000"/>
          <w:kern w:val="0"/>
          <w:sz w:val="24"/>
        </w:rPr>
        <w:t>咨询相关情况。</w:t>
      </w:r>
      <w:r>
        <w:rPr>
          <w:rFonts w:ascii="宋体" w:hAnsi="宋体" w:cs="宋体"/>
          <w:color w:val="000000"/>
          <w:kern w:val="0"/>
          <w:sz w:val="24"/>
        </w:rPr>
        <w:lastRenderedPageBreak/>
        <w:t>敬请投资者及早做好交易安排</w:t>
      </w:r>
      <w:r>
        <w:rPr>
          <w:rFonts w:ascii="宋体" w:hAnsi="宋体" w:cs="宋体" w:hint="eastAsia"/>
          <w:color w:val="000000"/>
          <w:kern w:val="0"/>
          <w:sz w:val="24"/>
        </w:rPr>
        <w:t>，</w:t>
      </w:r>
      <w:r>
        <w:rPr>
          <w:rFonts w:ascii="宋体" w:hAnsi="宋体" w:cs="宋体"/>
          <w:color w:val="000000"/>
          <w:kern w:val="0"/>
          <w:sz w:val="24"/>
        </w:rPr>
        <w:t>避免因假期原因带来不便。</w:t>
      </w:r>
    </w:p>
    <w:p w:rsidR="008E0718" w:rsidRDefault="008E0718">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风险提示：本公司承诺以诚实信用、勤勉尽责的原则管理和运用基金资产，但不保证基金一定盈利，也不保证最低收益。敬请投资人注意投资风险。投资者投资于基金前应认真阅读基金的基金合同、更新的招募说明书及相关公告。</w:t>
      </w:r>
    </w:p>
    <w:p w:rsidR="008E0718" w:rsidRDefault="008E0718">
      <w:pPr>
        <w:spacing w:line="360" w:lineRule="auto"/>
        <w:jc w:val="right"/>
        <w:rPr>
          <w:rFonts w:ascii="宋体" w:hAnsi="宋体" w:cs="宋体" w:hint="eastAsia"/>
          <w:b/>
          <w:color w:val="000000"/>
          <w:kern w:val="0"/>
          <w:sz w:val="24"/>
        </w:rPr>
      </w:pPr>
    </w:p>
    <w:p w:rsidR="008E0718" w:rsidRDefault="008E0718">
      <w:pPr>
        <w:spacing w:line="360" w:lineRule="auto"/>
        <w:ind w:firstLine="5542"/>
        <w:jc w:val="right"/>
        <w:rPr>
          <w:rFonts w:ascii="宋体" w:hAnsi="宋体" w:cs="宋体"/>
          <w:b/>
          <w:color w:val="000000"/>
          <w:kern w:val="0"/>
          <w:sz w:val="24"/>
        </w:rPr>
      </w:pPr>
      <w:r>
        <w:rPr>
          <w:rFonts w:ascii="宋体" w:hAnsi="宋体" w:cs="宋体" w:hint="eastAsia"/>
          <w:b/>
          <w:color w:val="000000"/>
          <w:kern w:val="0"/>
          <w:sz w:val="24"/>
        </w:rPr>
        <w:t>富国</w:t>
      </w:r>
      <w:r>
        <w:rPr>
          <w:rFonts w:ascii="宋体" w:hAnsi="宋体" w:cs="宋体"/>
          <w:b/>
          <w:color w:val="000000"/>
          <w:kern w:val="0"/>
          <w:sz w:val="24"/>
        </w:rPr>
        <w:t>基金管理有限公司</w:t>
      </w:r>
    </w:p>
    <w:p w:rsidR="008E0718" w:rsidRDefault="008E0718">
      <w:pPr>
        <w:spacing w:line="360" w:lineRule="auto"/>
        <w:jc w:val="right"/>
        <w:rPr>
          <w:rFonts w:ascii="宋体" w:hAnsi="宋体" w:cs="宋体"/>
          <w:b/>
          <w:color w:val="000000"/>
          <w:kern w:val="0"/>
          <w:sz w:val="24"/>
        </w:rPr>
      </w:pPr>
      <w:r>
        <w:rPr>
          <w:rFonts w:ascii="宋体" w:hAnsi="宋体" w:cs="宋体" w:hint="eastAsia"/>
          <w:b/>
          <w:color w:val="000000"/>
          <w:kern w:val="0"/>
          <w:sz w:val="24"/>
        </w:rPr>
        <w:t xml:space="preserve">  202</w:t>
      </w:r>
      <w:r w:rsidR="0026199A">
        <w:rPr>
          <w:rFonts w:ascii="宋体" w:hAnsi="宋体" w:cs="宋体"/>
          <w:b/>
          <w:color w:val="000000"/>
          <w:kern w:val="0"/>
          <w:sz w:val="24"/>
        </w:rPr>
        <w:t>4</w:t>
      </w:r>
      <w:r>
        <w:rPr>
          <w:rFonts w:ascii="宋体" w:hAnsi="宋体" w:cs="宋体"/>
          <w:b/>
          <w:color w:val="000000"/>
          <w:kern w:val="0"/>
          <w:sz w:val="24"/>
        </w:rPr>
        <w:t>年</w:t>
      </w:r>
      <w:r w:rsidR="0026199A">
        <w:rPr>
          <w:rFonts w:ascii="宋体" w:hAnsi="宋体" w:cs="宋体"/>
          <w:b/>
          <w:color w:val="000000"/>
          <w:kern w:val="0"/>
          <w:sz w:val="24"/>
        </w:rPr>
        <w:t>1</w:t>
      </w:r>
      <w:r>
        <w:rPr>
          <w:rFonts w:ascii="宋体" w:hAnsi="宋体" w:cs="宋体"/>
          <w:b/>
          <w:color w:val="000000"/>
          <w:kern w:val="0"/>
          <w:sz w:val="24"/>
        </w:rPr>
        <w:t>月</w:t>
      </w:r>
      <w:r w:rsidR="0026199A">
        <w:rPr>
          <w:rFonts w:ascii="宋体" w:hAnsi="宋体" w:cs="宋体" w:hint="eastAsia"/>
          <w:b/>
          <w:color w:val="000000"/>
          <w:kern w:val="0"/>
          <w:sz w:val="24"/>
        </w:rPr>
        <w:t>2</w:t>
      </w:r>
      <w:r>
        <w:rPr>
          <w:rFonts w:ascii="宋体" w:hAnsi="宋体" w:cs="宋体"/>
          <w:b/>
          <w:color w:val="000000"/>
          <w:kern w:val="0"/>
          <w:sz w:val="24"/>
        </w:rPr>
        <w:t>日</w:t>
      </w:r>
    </w:p>
    <w:p w:rsidR="008E0718" w:rsidRDefault="008E0718">
      <w:pPr>
        <w:spacing w:line="360" w:lineRule="auto"/>
        <w:rPr>
          <w:rFonts w:ascii="宋体" w:hAnsi="宋体" w:cs="宋体" w:hint="eastAsia"/>
          <w:color w:val="000000"/>
          <w:kern w:val="0"/>
          <w:sz w:val="24"/>
        </w:rPr>
      </w:pPr>
    </w:p>
    <w:p w:rsidR="008E0718" w:rsidRDefault="008E0718">
      <w:pPr>
        <w:spacing w:line="360" w:lineRule="auto"/>
        <w:rPr>
          <w:rFonts w:ascii="宋体" w:hAnsi="宋体" w:cs="宋体" w:hint="eastAsia"/>
          <w:color w:val="000000"/>
          <w:kern w:val="0"/>
          <w:sz w:val="24"/>
        </w:rPr>
      </w:pPr>
    </w:p>
    <w:p w:rsidR="008E0718" w:rsidRDefault="008E0718">
      <w:pPr>
        <w:spacing w:line="360" w:lineRule="auto"/>
        <w:rPr>
          <w:rFonts w:ascii="宋体" w:hAnsi="宋体" w:cs="宋体" w:hint="eastAsia"/>
          <w:color w:val="000000"/>
          <w:kern w:val="0"/>
          <w:sz w:val="24"/>
        </w:rPr>
      </w:pPr>
    </w:p>
    <w:p w:rsidR="008E0718" w:rsidRDefault="008E0718">
      <w:pPr>
        <w:spacing w:line="360" w:lineRule="auto"/>
        <w:rPr>
          <w:rFonts w:ascii="宋体" w:hAnsi="宋体" w:cs="宋体" w:hint="eastAsia"/>
          <w:color w:val="000000"/>
          <w:kern w:val="0"/>
          <w:sz w:val="24"/>
        </w:rPr>
      </w:pPr>
    </w:p>
    <w:p w:rsidR="008E0718" w:rsidRDefault="008E0718">
      <w:pPr>
        <w:spacing w:line="360" w:lineRule="auto"/>
        <w:rPr>
          <w:rFonts w:ascii="宋体" w:hAnsi="宋体" w:cs="宋体" w:hint="eastAsia"/>
          <w:color w:val="000000"/>
          <w:kern w:val="0"/>
          <w:sz w:val="24"/>
        </w:rPr>
      </w:pPr>
    </w:p>
    <w:p w:rsidR="008E0718" w:rsidRDefault="008E0718">
      <w:pPr>
        <w:spacing w:line="360" w:lineRule="auto"/>
        <w:rPr>
          <w:rFonts w:ascii="宋体" w:hAnsi="宋体" w:cs="宋体" w:hint="eastAsia"/>
          <w:color w:val="000000"/>
          <w:kern w:val="0"/>
          <w:sz w:val="24"/>
        </w:rPr>
      </w:pPr>
    </w:p>
    <w:p w:rsidR="008E0718" w:rsidRDefault="008E0718">
      <w:pPr>
        <w:spacing w:line="360" w:lineRule="auto"/>
        <w:rPr>
          <w:rFonts w:ascii="宋体" w:hAnsi="宋体" w:cs="宋体" w:hint="eastAsia"/>
          <w:color w:val="000000"/>
          <w:kern w:val="0"/>
          <w:sz w:val="24"/>
        </w:rPr>
      </w:pPr>
    </w:p>
    <w:p w:rsidR="008E0718" w:rsidRDefault="008E0718">
      <w:pPr>
        <w:spacing w:line="360" w:lineRule="auto"/>
        <w:rPr>
          <w:rFonts w:ascii="宋体" w:hAnsi="宋体" w:cs="宋体" w:hint="eastAsia"/>
          <w:color w:val="000000"/>
          <w:kern w:val="0"/>
          <w:sz w:val="24"/>
        </w:rPr>
      </w:pPr>
    </w:p>
    <w:p w:rsidR="008E0718" w:rsidRDefault="008E0718">
      <w:pPr>
        <w:spacing w:line="360" w:lineRule="auto"/>
        <w:rPr>
          <w:rFonts w:ascii="宋体" w:hAnsi="宋体" w:cs="宋体" w:hint="eastAsia"/>
          <w:color w:val="000000"/>
          <w:kern w:val="0"/>
          <w:sz w:val="24"/>
        </w:rPr>
      </w:pPr>
    </w:p>
    <w:p w:rsidR="008E0718" w:rsidRDefault="008E0718">
      <w:pPr>
        <w:spacing w:line="360" w:lineRule="auto"/>
        <w:rPr>
          <w:rFonts w:ascii="宋体" w:hAnsi="宋体" w:cs="宋体" w:hint="eastAsia"/>
          <w:color w:val="000000"/>
          <w:kern w:val="0"/>
          <w:sz w:val="24"/>
        </w:rPr>
      </w:pPr>
    </w:p>
    <w:p w:rsidR="008E0718" w:rsidRDefault="008E0718">
      <w:pPr>
        <w:spacing w:line="360" w:lineRule="auto"/>
        <w:rPr>
          <w:rFonts w:ascii="宋体" w:hAnsi="宋体" w:cs="宋体" w:hint="eastAsia"/>
          <w:color w:val="000000"/>
          <w:kern w:val="0"/>
          <w:sz w:val="24"/>
        </w:rPr>
      </w:pPr>
    </w:p>
    <w:p w:rsidR="008E0718" w:rsidRDefault="008E0718">
      <w:pPr>
        <w:spacing w:line="360" w:lineRule="auto"/>
        <w:rPr>
          <w:rFonts w:ascii="宋体" w:hAnsi="宋体" w:cs="宋体" w:hint="eastAsia"/>
          <w:color w:val="000000"/>
          <w:kern w:val="0"/>
          <w:sz w:val="24"/>
        </w:rPr>
      </w:pPr>
    </w:p>
    <w:p w:rsidR="008E0718" w:rsidRDefault="008E0718">
      <w:pPr>
        <w:spacing w:line="360" w:lineRule="auto"/>
        <w:rPr>
          <w:rFonts w:ascii="宋体" w:hAnsi="宋体" w:cs="宋体" w:hint="eastAsia"/>
          <w:color w:val="000000"/>
          <w:kern w:val="0"/>
          <w:sz w:val="24"/>
        </w:rPr>
      </w:pPr>
    </w:p>
    <w:p w:rsidR="008E0718" w:rsidRDefault="008E0718">
      <w:pPr>
        <w:spacing w:line="360" w:lineRule="auto"/>
        <w:rPr>
          <w:rFonts w:ascii="宋体" w:hAnsi="宋体" w:cs="宋体" w:hint="eastAsia"/>
          <w:color w:val="000000"/>
          <w:kern w:val="0"/>
          <w:sz w:val="24"/>
        </w:rPr>
      </w:pPr>
    </w:p>
    <w:p w:rsidR="008E0718" w:rsidRDefault="008E0718">
      <w:pPr>
        <w:spacing w:line="360" w:lineRule="auto"/>
        <w:rPr>
          <w:rFonts w:ascii="宋体" w:hAnsi="宋体" w:cs="宋体" w:hint="eastAsia"/>
          <w:color w:val="000000"/>
          <w:kern w:val="0"/>
          <w:sz w:val="24"/>
        </w:rPr>
      </w:pPr>
    </w:p>
    <w:p w:rsidR="008E0718" w:rsidRDefault="008E0718">
      <w:pPr>
        <w:spacing w:line="360" w:lineRule="auto"/>
        <w:rPr>
          <w:rFonts w:ascii="宋体" w:hAnsi="宋体" w:cs="宋体" w:hint="eastAsia"/>
          <w:color w:val="000000"/>
          <w:kern w:val="0"/>
          <w:sz w:val="24"/>
        </w:rPr>
      </w:pPr>
    </w:p>
    <w:p w:rsidR="008E0718" w:rsidRDefault="008E0718">
      <w:pPr>
        <w:spacing w:line="360" w:lineRule="auto"/>
        <w:rPr>
          <w:rFonts w:ascii="宋体" w:hAnsi="宋体" w:cs="宋体"/>
          <w:color w:val="000000"/>
          <w:kern w:val="0"/>
          <w:sz w:val="24"/>
        </w:rPr>
      </w:pPr>
    </w:p>
    <w:p w:rsidR="008E0718" w:rsidRDefault="008E0718">
      <w:pPr>
        <w:spacing w:line="360" w:lineRule="auto"/>
        <w:rPr>
          <w:rFonts w:ascii="宋体" w:hAnsi="宋体" w:cs="宋体"/>
          <w:color w:val="000000"/>
          <w:kern w:val="0"/>
          <w:sz w:val="24"/>
        </w:rPr>
      </w:pPr>
    </w:p>
    <w:p w:rsidR="008E0718" w:rsidRDefault="008E0718">
      <w:pPr>
        <w:spacing w:line="360" w:lineRule="auto"/>
        <w:rPr>
          <w:rFonts w:ascii="宋体" w:hAnsi="宋体" w:cs="宋体"/>
          <w:color w:val="000000"/>
          <w:kern w:val="0"/>
          <w:sz w:val="24"/>
        </w:rPr>
      </w:pPr>
    </w:p>
    <w:p w:rsidR="008E0718" w:rsidRDefault="008E0718">
      <w:pPr>
        <w:spacing w:line="360" w:lineRule="auto"/>
        <w:rPr>
          <w:rFonts w:ascii="宋体" w:hAnsi="宋体" w:cs="宋体"/>
          <w:color w:val="000000"/>
          <w:kern w:val="0"/>
          <w:sz w:val="24"/>
        </w:rPr>
      </w:pPr>
    </w:p>
    <w:p w:rsidR="008E0718" w:rsidRDefault="008E0718">
      <w:pPr>
        <w:spacing w:line="360" w:lineRule="auto"/>
        <w:rPr>
          <w:rFonts w:ascii="宋体" w:hAnsi="宋体" w:cs="宋体" w:hint="eastAsia"/>
          <w:color w:val="000000"/>
          <w:kern w:val="0"/>
          <w:sz w:val="24"/>
        </w:rPr>
      </w:pPr>
    </w:p>
    <w:p w:rsidR="008E0718" w:rsidRDefault="008E0718">
      <w:pPr>
        <w:spacing w:line="360" w:lineRule="auto"/>
        <w:rPr>
          <w:rFonts w:ascii="宋体" w:hAnsi="宋体" w:cs="宋体" w:hint="eastAsia"/>
          <w:color w:val="000000"/>
          <w:kern w:val="0"/>
          <w:sz w:val="24"/>
        </w:rPr>
      </w:pPr>
    </w:p>
    <w:p w:rsidR="008E0718" w:rsidRDefault="008E0718">
      <w:pPr>
        <w:spacing w:line="360" w:lineRule="auto"/>
        <w:rPr>
          <w:rFonts w:ascii="宋体" w:hAnsi="宋体" w:cs="宋体" w:hint="eastAsia"/>
          <w:color w:val="000000"/>
          <w:kern w:val="0"/>
          <w:sz w:val="24"/>
        </w:rPr>
      </w:pPr>
      <w:r>
        <w:rPr>
          <w:rFonts w:ascii="宋体" w:hAnsi="宋体" w:cs="宋体" w:hint="eastAsia"/>
          <w:color w:val="000000"/>
          <w:kern w:val="0"/>
          <w:sz w:val="24"/>
        </w:rPr>
        <w:lastRenderedPageBreak/>
        <w:t>附件：</w:t>
      </w:r>
    </w:p>
    <w:p w:rsidR="008E0718" w:rsidRDefault="008E0718">
      <w:pPr>
        <w:spacing w:line="360" w:lineRule="auto"/>
        <w:jc w:val="center"/>
        <w:rPr>
          <w:rFonts w:ascii="宋体" w:hAnsi="宋体" w:cs="宋体" w:hint="eastAsia"/>
          <w:color w:val="000000"/>
          <w:kern w:val="0"/>
          <w:sz w:val="24"/>
        </w:rPr>
      </w:pPr>
      <w:r>
        <w:rPr>
          <w:rFonts w:ascii="宋体" w:hAnsi="宋体" w:cs="宋体" w:hint="eastAsia"/>
          <w:b/>
          <w:bCs/>
          <w:color w:val="000000"/>
          <w:kern w:val="0"/>
          <w:sz w:val="28"/>
          <w:szCs w:val="28"/>
        </w:rPr>
        <w:t>非港股通交易日暂停交易基金列表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1417"/>
        <w:gridCol w:w="6946"/>
      </w:tblGrid>
      <w:tr w:rsidR="008E0718">
        <w:tc>
          <w:tcPr>
            <w:tcW w:w="993" w:type="dxa"/>
          </w:tcPr>
          <w:p w:rsidR="008E0718" w:rsidRDefault="008E0718">
            <w:pPr>
              <w:spacing w:line="360" w:lineRule="auto"/>
              <w:jc w:val="left"/>
              <w:rPr>
                <w:rFonts w:ascii="宋体" w:hAnsi="宋体" w:cs="宋体" w:hint="eastAsia"/>
                <w:color w:val="000000"/>
                <w:kern w:val="0"/>
                <w:sz w:val="24"/>
              </w:rPr>
            </w:pPr>
            <w:r>
              <w:rPr>
                <w:rFonts w:ascii="宋体" w:hAnsi="宋体" w:cs="宋体" w:hint="eastAsia"/>
                <w:color w:val="000000"/>
                <w:kern w:val="0"/>
                <w:sz w:val="24"/>
              </w:rPr>
              <w:t>序号</w:t>
            </w:r>
          </w:p>
        </w:tc>
        <w:tc>
          <w:tcPr>
            <w:tcW w:w="1417" w:type="dxa"/>
          </w:tcPr>
          <w:p w:rsidR="008E0718" w:rsidRDefault="008E0718">
            <w:pPr>
              <w:spacing w:line="360" w:lineRule="auto"/>
              <w:jc w:val="left"/>
              <w:rPr>
                <w:rFonts w:ascii="宋体" w:hAnsi="宋体" w:cs="宋体" w:hint="eastAsia"/>
                <w:color w:val="000000"/>
                <w:kern w:val="0"/>
                <w:sz w:val="24"/>
              </w:rPr>
            </w:pPr>
            <w:r>
              <w:rPr>
                <w:rFonts w:ascii="宋体" w:hAnsi="宋体" w:cs="宋体"/>
                <w:color w:val="000000"/>
                <w:kern w:val="0"/>
                <w:sz w:val="24"/>
              </w:rPr>
              <w:t>份额</w:t>
            </w:r>
            <w:r>
              <w:rPr>
                <w:rFonts w:ascii="宋体" w:hAnsi="宋体" w:cs="宋体" w:hint="eastAsia"/>
                <w:color w:val="000000"/>
                <w:kern w:val="0"/>
                <w:sz w:val="24"/>
              </w:rPr>
              <w:t>代码</w:t>
            </w:r>
          </w:p>
        </w:tc>
        <w:tc>
          <w:tcPr>
            <w:tcW w:w="6946" w:type="dxa"/>
          </w:tcPr>
          <w:p w:rsidR="008E0718" w:rsidRDefault="008E0718">
            <w:pPr>
              <w:spacing w:line="360" w:lineRule="auto"/>
              <w:rPr>
                <w:rFonts w:ascii="宋体" w:hAnsi="宋体" w:cs="宋体" w:hint="eastAsia"/>
                <w:color w:val="000000"/>
                <w:kern w:val="0"/>
                <w:sz w:val="24"/>
              </w:rPr>
            </w:pPr>
            <w:r>
              <w:rPr>
                <w:rFonts w:ascii="宋体" w:hAnsi="宋体" w:cs="宋体" w:hint="eastAsia"/>
                <w:color w:val="000000"/>
                <w:kern w:val="0"/>
                <w:sz w:val="24"/>
              </w:rPr>
              <w:t>基金名称</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sz w:val="24"/>
              </w:rPr>
            </w:pPr>
            <w:r>
              <w:rPr>
                <w:rFonts w:hint="eastAsia"/>
                <w:sz w:val="24"/>
              </w:rPr>
              <w:t>1</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005840</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富国产业驱动混合</w:t>
            </w:r>
            <w:r>
              <w:rPr>
                <w:rFonts w:hint="eastAsia"/>
                <w:sz w:val="24"/>
              </w:rPr>
              <w:t>A</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2</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018174</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富国产业驱动混合</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3</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009863</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富国创新趋势股票</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4</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011635</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富国港股通策略精选混合</w:t>
            </w:r>
            <w:r>
              <w:rPr>
                <w:rFonts w:hint="eastAsia"/>
                <w:sz w:val="24"/>
              </w:rPr>
              <w:t>A</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5</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011636</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富国港股通策略精选混合</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6</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005707</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富国港股通量化精选股票型</w:t>
            </w:r>
            <w:r>
              <w:rPr>
                <w:rFonts w:hint="eastAsia"/>
                <w:sz w:val="24"/>
              </w:rPr>
              <w:t>A</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7</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014163</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富国港股通量化精选股票型</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8</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005357</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富国国企改革灵活配置混合</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9</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020110</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富国恒生港股通医疗保健</w:t>
            </w:r>
            <w:r>
              <w:rPr>
                <w:rFonts w:hint="eastAsia"/>
                <w:sz w:val="24"/>
              </w:rPr>
              <w:t>ETF</w:t>
            </w:r>
            <w:r>
              <w:rPr>
                <w:rFonts w:hint="eastAsia"/>
                <w:sz w:val="24"/>
              </w:rPr>
              <w:t>发起式联接</w:t>
            </w:r>
            <w:r>
              <w:rPr>
                <w:rFonts w:hint="eastAsia"/>
                <w:sz w:val="24"/>
              </w:rPr>
              <w:t>A</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10</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020111</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富国恒生港股通医疗保健</w:t>
            </w:r>
            <w:r>
              <w:rPr>
                <w:rFonts w:hint="eastAsia"/>
                <w:sz w:val="24"/>
              </w:rPr>
              <w:t>ETF</w:t>
            </w:r>
            <w:r>
              <w:rPr>
                <w:rFonts w:hint="eastAsia"/>
                <w:sz w:val="24"/>
              </w:rPr>
              <w:t>发起式联接</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11</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006751</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富国互联科技股票型</w:t>
            </w:r>
            <w:r>
              <w:rPr>
                <w:rFonts w:hint="eastAsia"/>
                <w:sz w:val="24"/>
              </w:rPr>
              <w:t>A</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12</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011126</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富国互联科技股票型</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13</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005354</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富国沪港深行业精选灵活配置混合型发起式</w:t>
            </w:r>
            <w:r>
              <w:rPr>
                <w:rFonts w:hint="eastAsia"/>
                <w:sz w:val="24"/>
              </w:rPr>
              <w:t>A</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14</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011114</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富国沪港深行业精选灵活配置混合型发起式</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15</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001371</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富国沪港深价值精选灵活配置混合</w:t>
            </w:r>
            <w:r>
              <w:rPr>
                <w:rFonts w:hint="eastAsia"/>
                <w:sz w:val="24"/>
              </w:rPr>
              <w:t>A</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16</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011131</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富国沪港深价值精选灵活配置混合</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17</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005847</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富国沪港深业绩驱动混合型</w:t>
            </w:r>
            <w:r>
              <w:rPr>
                <w:rFonts w:hint="eastAsia"/>
                <w:sz w:val="24"/>
              </w:rPr>
              <w:t>A</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18</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011117</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富国沪港深业绩驱动混合型</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19</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013989</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富国沪港深优质资产混合发起式</w:t>
            </w:r>
            <w:r>
              <w:rPr>
                <w:rFonts w:hint="eastAsia"/>
                <w:sz w:val="24"/>
              </w:rPr>
              <w:t>A</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20</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013990</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富国沪港深优质资产混合发起式</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21</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005472</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富国价值驱动灵活配置混合</w:t>
            </w:r>
            <w:r>
              <w:rPr>
                <w:rFonts w:hint="eastAsia"/>
                <w:sz w:val="24"/>
              </w:rPr>
              <w:t>A</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22</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005473</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富国价值驱动灵活配置混合</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23</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006652</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富国金融地产行业混合型</w:t>
            </w:r>
            <w:r>
              <w:rPr>
                <w:rFonts w:hint="eastAsia"/>
                <w:sz w:val="24"/>
              </w:rPr>
              <w:t>A</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24</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011124</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富国金融地产行业混合型</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25</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007345</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富国科技创新灵活配置混合</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26</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008138</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富国龙头优势混合</w:t>
            </w:r>
            <w:r>
              <w:rPr>
                <w:rFonts w:hint="eastAsia"/>
                <w:sz w:val="24"/>
              </w:rPr>
              <w:t>A</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27</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018175</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富国龙头优势混合</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28</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007139</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富国民裕进取沪港深成长精选</w:t>
            </w:r>
            <w:r>
              <w:rPr>
                <w:rFonts w:hint="eastAsia"/>
                <w:sz w:val="24"/>
              </w:rPr>
              <w:t>A</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29</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011556</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富国民裕进取沪港深成长精选</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30</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008901</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富国内需增长混合</w:t>
            </w:r>
            <w:r>
              <w:rPr>
                <w:rFonts w:hint="eastAsia"/>
                <w:sz w:val="24"/>
              </w:rPr>
              <w:t>A</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31</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013045</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富国内需增长混合</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32</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006179</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富国品质生活混合</w:t>
            </w:r>
            <w:r>
              <w:rPr>
                <w:rFonts w:hint="eastAsia"/>
                <w:sz w:val="24"/>
              </w:rPr>
              <w:t>A</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33</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013047</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富国品质生活混合</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34</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005368</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富国清洁能源产业灵活配置混合</w:t>
            </w:r>
            <w:r>
              <w:rPr>
                <w:rFonts w:hint="eastAsia"/>
                <w:sz w:val="24"/>
              </w:rPr>
              <w:t>A</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35</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011127</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富国清洁能源产业灵活配置混合</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36</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007016</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富国睿泽回报混合</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37</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006218</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富国生物医药科技混合型</w:t>
            </w:r>
            <w:r>
              <w:rPr>
                <w:rFonts w:hint="eastAsia"/>
                <w:sz w:val="24"/>
              </w:rPr>
              <w:t>A</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38</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011308</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富国生物医药科技混合型</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39</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100016</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富国天源沪港深平衡混合</w:t>
            </w:r>
            <w:r>
              <w:rPr>
                <w:rFonts w:hint="eastAsia"/>
                <w:sz w:val="24"/>
              </w:rPr>
              <w:t>A/B</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40</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014931</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富国天源沪港深平衡混合</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41</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006796</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富国消费升级混合</w:t>
            </w:r>
            <w:r>
              <w:rPr>
                <w:rFonts w:hint="eastAsia"/>
                <w:sz w:val="24"/>
              </w:rPr>
              <w:t>A</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42</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011567</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富国消费升级混合</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43</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009092</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富国新材料新能源混合</w:t>
            </w:r>
            <w:r>
              <w:rPr>
                <w:rFonts w:hint="eastAsia"/>
                <w:sz w:val="24"/>
              </w:rPr>
              <w:t>A</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44</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014243</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富国新材料新能源混合</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45</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009782</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富国兴泉回报</w:t>
            </w:r>
            <w:r>
              <w:rPr>
                <w:rFonts w:hint="eastAsia"/>
                <w:sz w:val="24"/>
              </w:rPr>
              <w:t>12</w:t>
            </w:r>
            <w:r>
              <w:rPr>
                <w:rFonts w:hint="eastAsia"/>
                <w:sz w:val="24"/>
              </w:rPr>
              <w:t>个月持有期混合</w:t>
            </w:r>
            <w:r>
              <w:rPr>
                <w:rFonts w:hint="eastAsia"/>
                <w:sz w:val="24"/>
              </w:rPr>
              <w:t>A</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46</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009783</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富国兴泉回报</w:t>
            </w:r>
            <w:r>
              <w:rPr>
                <w:rFonts w:hint="eastAsia"/>
                <w:sz w:val="24"/>
              </w:rPr>
              <w:t>12</w:t>
            </w:r>
            <w:r>
              <w:rPr>
                <w:rFonts w:hint="eastAsia"/>
                <w:sz w:val="24"/>
              </w:rPr>
              <w:t>个月持有期混合</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47</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001827</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富国研究优选沪港深灵活配置混合</w:t>
            </w:r>
            <w:r>
              <w:rPr>
                <w:rFonts w:hint="eastAsia"/>
                <w:sz w:val="24"/>
              </w:rPr>
              <w:t>A</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48</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018246</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富国研究优选沪港深灵活配置混合</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49</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009162</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富国医药成长</w:t>
            </w:r>
            <w:r>
              <w:rPr>
                <w:rFonts w:hint="eastAsia"/>
                <w:sz w:val="24"/>
              </w:rPr>
              <w:t>30</w:t>
            </w:r>
            <w:r>
              <w:rPr>
                <w:rFonts w:hint="eastAsia"/>
                <w:sz w:val="24"/>
              </w:rPr>
              <w:t>股票</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50</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006527</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富国优质发展混合</w:t>
            </w:r>
            <w:r>
              <w:rPr>
                <w:rFonts w:hint="eastAsia"/>
                <w:sz w:val="24"/>
              </w:rPr>
              <w:t>A</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51</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006528</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富国优质发展混合</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52</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005732</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富国臻选成长灵活配置混合</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53</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014673</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富国中证港股通互联网</w:t>
            </w:r>
            <w:r>
              <w:rPr>
                <w:rFonts w:hint="eastAsia"/>
                <w:sz w:val="24"/>
              </w:rPr>
              <w:t>ETF</w:t>
            </w:r>
            <w:r>
              <w:rPr>
                <w:rFonts w:hint="eastAsia"/>
                <w:sz w:val="24"/>
              </w:rPr>
              <w:t>发起式联接</w:t>
            </w:r>
            <w:r>
              <w:rPr>
                <w:rFonts w:hint="eastAsia"/>
                <w:sz w:val="24"/>
              </w:rPr>
              <w:t>A</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54</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014674</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富国中证港股通互联网</w:t>
            </w:r>
            <w:r>
              <w:rPr>
                <w:rFonts w:hint="eastAsia"/>
                <w:sz w:val="24"/>
              </w:rPr>
              <w:t>ETF</w:t>
            </w:r>
            <w:r>
              <w:rPr>
                <w:rFonts w:hint="eastAsia"/>
                <w:sz w:val="24"/>
              </w:rPr>
              <w:t>发起式联接</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55</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159792</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富国中证港股通互联网</w:t>
            </w:r>
            <w:r>
              <w:rPr>
                <w:rFonts w:hint="eastAsia"/>
                <w:sz w:val="24"/>
              </w:rPr>
              <w:t>ETF</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56</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012275</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富国中证沪港深</w:t>
            </w:r>
            <w:r>
              <w:rPr>
                <w:rFonts w:hint="eastAsia"/>
                <w:sz w:val="24"/>
              </w:rPr>
              <w:t>500ETF</w:t>
            </w:r>
            <w:r>
              <w:rPr>
                <w:rFonts w:hint="eastAsia"/>
                <w:sz w:val="24"/>
              </w:rPr>
              <w:t>联接</w:t>
            </w:r>
            <w:r>
              <w:rPr>
                <w:rFonts w:hint="eastAsia"/>
                <w:sz w:val="24"/>
              </w:rPr>
              <w:t>A</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57</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012276</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富国中证沪港深</w:t>
            </w:r>
            <w:r>
              <w:rPr>
                <w:rFonts w:hint="eastAsia"/>
                <w:sz w:val="24"/>
              </w:rPr>
              <w:t>500ETF</w:t>
            </w:r>
            <w:r>
              <w:rPr>
                <w:rFonts w:hint="eastAsia"/>
                <w:sz w:val="24"/>
              </w:rPr>
              <w:t>联接</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58</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517100</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富国中证沪港深</w:t>
            </w:r>
            <w:r>
              <w:rPr>
                <w:rFonts w:hint="eastAsia"/>
                <w:sz w:val="24"/>
              </w:rPr>
              <w:t>500ETF</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59</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159748</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富国中证沪港深创新药产业</w:t>
            </w:r>
            <w:r>
              <w:rPr>
                <w:rFonts w:hint="eastAsia"/>
                <w:sz w:val="24"/>
              </w:rPr>
              <w:t>ETF</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60</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005760</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富国周期优势混合</w:t>
            </w:r>
            <w:r>
              <w:rPr>
                <w:rFonts w:hint="eastAsia"/>
                <w:sz w:val="24"/>
              </w:rPr>
              <w:t>A</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61</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011565</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富国周期优势混合</w:t>
            </w:r>
            <w:r>
              <w:rPr>
                <w:rFonts w:hint="eastAsia"/>
                <w:sz w:val="24"/>
              </w:rPr>
              <w:t>C</w:t>
            </w:r>
          </w:p>
        </w:tc>
      </w:tr>
      <w:tr w:rsidR="008E0718">
        <w:tc>
          <w:tcPr>
            <w:tcW w:w="993"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62</w:t>
            </w:r>
          </w:p>
        </w:tc>
        <w:tc>
          <w:tcPr>
            <w:tcW w:w="1417"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159506</w:t>
            </w:r>
          </w:p>
        </w:tc>
        <w:tc>
          <w:tcPr>
            <w:tcW w:w="6946" w:type="dxa"/>
            <w:tcBorders>
              <w:top w:val="single" w:sz="4" w:space="0" w:color="auto"/>
              <w:left w:val="single" w:sz="4" w:space="0" w:color="auto"/>
              <w:bottom w:val="single" w:sz="4" w:space="0" w:color="auto"/>
              <w:right w:val="single" w:sz="4" w:space="0" w:color="auto"/>
            </w:tcBorders>
            <w:vAlign w:val="bottom"/>
          </w:tcPr>
          <w:p w:rsidR="008E0718" w:rsidRDefault="008E0718">
            <w:pPr>
              <w:rPr>
                <w:rFonts w:hint="eastAsia"/>
                <w:sz w:val="24"/>
              </w:rPr>
            </w:pPr>
            <w:r>
              <w:rPr>
                <w:rFonts w:hint="eastAsia"/>
                <w:sz w:val="24"/>
              </w:rPr>
              <w:t>富国恒生港股通医疗保健</w:t>
            </w:r>
            <w:r>
              <w:rPr>
                <w:rFonts w:hint="eastAsia"/>
                <w:sz w:val="24"/>
              </w:rPr>
              <w:t>ETF</w:t>
            </w:r>
          </w:p>
        </w:tc>
      </w:tr>
    </w:tbl>
    <w:p w:rsidR="008E0718" w:rsidRDefault="008E0718">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注</w:t>
      </w:r>
      <w:r>
        <w:rPr>
          <w:rFonts w:ascii="宋体" w:hAnsi="宋体" w:cs="宋体"/>
          <w:color w:val="000000"/>
          <w:kern w:val="0"/>
          <w:sz w:val="24"/>
        </w:rPr>
        <w:t>：</w:t>
      </w:r>
      <w:r>
        <w:rPr>
          <w:rFonts w:ascii="宋体" w:hAnsi="宋体" w:cs="宋体" w:hint="eastAsia"/>
          <w:color w:val="000000"/>
          <w:kern w:val="0"/>
          <w:sz w:val="24"/>
        </w:rPr>
        <w:t>列表中的基金若新增份额类别，则该份额类别在上海证券交易所和深圳证券交易所交易日的上述2024年非港股通交易日，暂停基金的申购、赎回、定期定额申购、基金转换（如已开通）等交易类业务，届时将不再另行公告。</w:t>
      </w:r>
    </w:p>
    <w:p w:rsidR="008E0718" w:rsidRDefault="008E0718">
      <w:pPr>
        <w:spacing w:line="360" w:lineRule="auto"/>
        <w:jc w:val="right"/>
        <w:rPr>
          <w:rFonts w:ascii="宋体" w:hAnsi="宋体" w:cs="宋体"/>
          <w:b/>
          <w:color w:val="000000"/>
          <w:kern w:val="0"/>
          <w:sz w:val="24"/>
        </w:rPr>
      </w:pPr>
    </w:p>
    <w:p w:rsidR="008E0718" w:rsidRDefault="008E0718">
      <w:pPr>
        <w:spacing w:line="360" w:lineRule="auto"/>
        <w:jc w:val="right"/>
        <w:rPr>
          <w:rFonts w:ascii="宋体" w:hAnsi="宋体" w:cs="宋体" w:hint="eastAsia"/>
          <w:b/>
          <w:color w:val="000000"/>
          <w:kern w:val="0"/>
          <w:sz w:val="24"/>
        </w:rPr>
      </w:pPr>
    </w:p>
    <w:sectPr w:rsidR="008E0718">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trackRevisions/>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79B0"/>
    <w:rsid w:val="00005655"/>
    <w:rsid w:val="00022A5C"/>
    <w:rsid w:val="000368F6"/>
    <w:rsid w:val="00055090"/>
    <w:rsid w:val="000609BB"/>
    <w:rsid w:val="00072932"/>
    <w:rsid w:val="0007670E"/>
    <w:rsid w:val="00095989"/>
    <w:rsid w:val="000A6A69"/>
    <w:rsid w:val="000C273A"/>
    <w:rsid w:val="000E0914"/>
    <w:rsid w:val="000E4D00"/>
    <w:rsid w:val="000F0921"/>
    <w:rsid w:val="00116FD2"/>
    <w:rsid w:val="001273D8"/>
    <w:rsid w:val="001571EE"/>
    <w:rsid w:val="00162D06"/>
    <w:rsid w:val="001640C2"/>
    <w:rsid w:val="00164CB5"/>
    <w:rsid w:val="00166023"/>
    <w:rsid w:val="0017044F"/>
    <w:rsid w:val="00171F21"/>
    <w:rsid w:val="001831E0"/>
    <w:rsid w:val="00191700"/>
    <w:rsid w:val="00197025"/>
    <w:rsid w:val="001A47B9"/>
    <w:rsid w:val="001B2170"/>
    <w:rsid w:val="001C4629"/>
    <w:rsid w:val="001D0D9D"/>
    <w:rsid w:val="001D3D0E"/>
    <w:rsid w:val="001D5DB3"/>
    <w:rsid w:val="001D6076"/>
    <w:rsid w:val="001D726B"/>
    <w:rsid w:val="001E5722"/>
    <w:rsid w:val="001F503D"/>
    <w:rsid w:val="002067DE"/>
    <w:rsid w:val="00210B1D"/>
    <w:rsid w:val="00216D45"/>
    <w:rsid w:val="0022198B"/>
    <w:rsid w:val="0024146D"/>
    <w:rsid w:val="00246C6A"/>
    <w:rsid w:val="0026199A"/>
    <w:rsid w:val="002721FA"/>
    <w:rsid w:val="002743B2"/>
    <w:rsid w:val="0027455C"/>
    <w:rsid w:val="00275904"/>
    <w:rsid w:val="0028250A"/>
    <w:rsid w:val="002827DA"/>
    <w:rsid w:val="00287898"/>
    <w:rsid w:val="0029140B"/>
    <w:rsid w:val="0029501C"/>
    <w:rsid w:val="002A6498"/>
    <w:rsid w:val="002B2636"/>
    <w:rsid w:val="002B2A25"/>
    <w:rsid w:val="002B54F5"/>
    <w:rsid w:val="002B6FC6"/>
    <w:rsid w:val="002C2354"/>
    <w:rsid w:val="002D04E1"/>
    <w:rsid w:val="002D7F4A"/>
    <w:rsid w:val="002E722B"/>
    <w:rsid w:val="002F3DDE"/>
    <w:rsid w:val="00320B6F"/>
    <w:rsid w:val="0033230B"/>
    <w:rsid w:val="00337F84"/>
    <w:rsid w:val="003421C0"/>
    <w:rsid w:val="003446CC"/>
    <w:rsid w:val="00345E22"/>
    <w:rsid w:val="00345E8A"/>
    <w:rsid w:val="003701CE"/>
    <w:rsid w:val="003724A7"/>
    <w:rsid w:val="00377C39"/>
    <w:rsid w:val="00380362"/>
    <w:rsid w:val="0038133B"/>
    <w:rsid w:val="00392030"/>
    <w:rsid w:val="00393E25"/>
    <w:rsid w:val="00396673"/>
    <w:rsid w:val="003B1794"/>
    <w:rsid w:val="003B5DD4"/>
    <w:rsid w:val="003B6E25"/>
    <w:rsid w:val="003C0B59"/>
    <w:rsid w:val="003C3FC9"/>
    <w:rsid w:val="003C635F"/>
    <w:rsid w:val="003D356C"/>
    <w:rsid w:val="003E395A"/>
    <w:rsid w:val="003E4F46"/>
    <w:rsid w:val="003F1C3E"/>
    <w:rsid w:val="00406F5D"/>
    <w:rsid w:val="00423E42"/>
    <w:rsid w:val="0043543B"/>
    <w:rsid w:val="00437FFD"/>
    <w:rsid w:val="0044144F"/>
    <w:rsid w:val="00455749"/>
    <w:rsid w:val="00490EBB"/>
    <w:rsid w:val="004933BF"/>
    <w:rsid w:val="004C0080"/>
    <w:rsid w:val="004E4CFA"/>
    <w:rsid w:val="004F3A72"/>
    <w:rsid w:val="005013F5"/>
    <w:rsid w:val="00512D36"/>
    <w:rsid w:val="0052155B"/>
    <w:rsid w:val="00532552"/>
    <w:rsid w:val="00532C82"/>
    <w:rsid w:val="00537AFE"/>
    <w:rsid w:val="00544217"/>
    <w:rsid w:val="005468B9"/>
    <w:rsid w:val="005632C6"/>
    <w:rsid w:val="00572EA1"/>
    <w:rsid w:val="00572FBB"/>
    <w:rsid w:val="00581D36"/>
    <w:rsid w:val="00592E4B"/>
    <w:rsid w:val="00594310"/>
    <w:rsid w:val="005B53AB"/>
    <w:rsid w:val="005D04BA"/>
    <w:rsid w:val="005F30B9"/>
    <w:rsid w:val="005F39BD"/>
    <w:rsid w:val="00605E6B"/>
    <w:rsid w:val="00613247"/>
    <w:rsid w:val="00617A17"/>
    <w:rsid w:val="00640875"/>
    <w:rsid w:val="00640DC3"/>
    <w:rsid w:val="00646C42"/>
    <w:rsid w:val="00647C74"/>
    <w:rsid w:val="006604ED"/>
    <w:rsid w:val="00662070"/>
    <w:rsid w:val="00675B30"/>
    <w:rsid w:val="00692D98"/>
    <w:rsid w:val="006A28E8"/>
    <w:rsid w:val="006C3EB6"/>
    <w:rsid w:val="006C6194"/>
    <w:rsid w:val="006C66B2"/>
    <w:rsid w:val="006F2E71"/>
    <w:rsid w:val="006F4C36"/>
    <w:rsid w:val="007014EE"/>
    <w:rsid w:val="00713E88"/>
    <w:rsid w:val="00721676"/>
    <w:rsid w:val="00735473"/>
    <w:rsid w:val="00735CD4"/>
    <w:rsid w:val="00742610"/>
    <w:rsid w:val="0075126E"/>
    <w:rsid w:val="00754E69"/>
    <w:rsid w:val="00756AEB"/>
    <w:rsid w:val="00760E57"/>
    <w:rsid w:val="00762530"/>
    <w:rsid w:val="0077633F"/>
    <w:rsid w:val="00781C78"/>
    <w:rsid w:val="007854C6"/>
    <w:rsid w:val="00797064"/>
    <w:rsid w:val="007A34BD"/>
    <w:rsid w:val="007A5433"/>
    <w:rsid w:val="007A5642"/>
    <w:rsid w:val="007B04F3"/>
    <w:rsid w:val="007F6B29"/>
    <w:rsid w:val="0081434B"/>
    <w:rsid w:val="00822F57"/>
    <w:rsid w:val="0082381C"/>
    <w:rsid w:val="0083474A"/>
    <w:rsid w:val="00834DBA"/>
    <w:rsid w:val="00835E2C"/>
    <w:rsid w:val="0084092C"/>
    <w:rsid w:val="008522CB"/>
    <w:rsid w:val="0086254A"/>
    <w:rsid w:val="008725B4"/>
    <w:rsid w:val="008835B0"/>
    <w:rsid w:val="008947F3"/>
    <w:rsid w:val="008956D2"/>
    <w:rsid w:val="008A28AE"/>
    <w:rsid w:val="008C766B"/>
    <w:rsid w:val="008D1940"/>
    <w:rsid w:val="008D5A91"/>
    <w:rsid w:val="008D6855"/>
    <w:rsid w:val="008E0718"/>
    <w:rsid w:val="008E32F6"/>
    <w:rsid w:val="008E4EBC"/>
    <w:rsid w:val="008E6BE3"/>
    <w:rsid w:val="008F501A"/>
    <w:rsid w:val="00937285"/>
    <w:rsid w:val="00953880"/>
    <w:rsid w:val="00963447"/>
    <w:rsid w:val="00964F46"/>
    <w:rsid w:val="0096516A"/>
    <w:rsid w:val="0097097A"/>
    <w:rsid w:val="0097334C"/>
    <w:rsid w:val="00984B52"/>
    <w:rsid w:val="009A2F0F"/>
    <w:rsid w:val="009A3A55"/>
    <w:rsid w:val="009D238E"/>
    <w:rsid w:val="009E1F02"/>
    <w:rsid w:val="009E2D45"/>
    <w:rsid w:val="009E559F"/>
    <w:rsid w:val="009E70A4"/>
    <w:rsid w:val="009F2F08"/>
    <w:rsid w:val="009F5FB5"/>
    <w:rsid w:val="00A0267D"/>
    <w:rsid w:val="00A15C60"/>
    <w:rsid w:val="00A402C8"/>
    <w:rsid w:val="00A60512"/>
    <w:rsid w:val="00A6420E"/>
    <w:rsid w:val="00A8206F"/>
    <w:rsid w:val="00A94701"/>
    <w:rsid w:val="00A949C6"/>
    <w:rsid w:val="00A94B25"/>
    <w:rsid w:val="00AA3AD0"/>
    <w:rsid w:val="00AA6DD8"/>
    <w:rsid w:val="00AF0CF6"/>
    <w:rsid w:val="00B0657C"/>
    <w:rsid w:val="00B117EE"/>
    <w:rsid w:val="00B11981"/>
    <w:rsid w:val="00B176E8"/>
    <w:rsid w:val="00B23173"/>
    <w:rsid w:val="00B24137"/>
    <w:rsid w:val="00B37370"/>
    <w:rsid w:val="00B462AD"/>
    <w:rsid w:val="00B469D6"/>
    <w:rsid w:val="00B53D29"/>
    <w:rsid w:val="00B56941"/>
    <w:rsid w:val="00B570F1"/>
    <w:rsid w:val="00B602DE"/>
    <w:rsid w:val="00B7375C"/>
    <w:rsid w:val="00B756B2"/>
    <w:rsid w:val="00B76420"/>
    <w:rsid w:val="00BA0E6D"/>
    <w:rsid w:val="00BA79B0"/>
    <w:rsid w:val="00BC5833"/>
    <w:rsid w:val="00BE7D70"/>
    <w:rsid w:val="00BF09BC"/>
    <w:rsid w:val="00C05CEB"/>
    <w:rsid w:val="00C123DC"/>
    <w:rsid w:val="00C167F7"/>
    <w:rsid w:val="00C1756E"/>
    <w:rsid w:val="00C33676"/>
    <w:rsid w:val="00C36BEF"/>
    <w:rsid w:val="00C37145"/>
    <w:rsid w:val="00C46B0E"/>
    <w:rsid w:val="00C477CE"/>
    <w:rsid w:val="00C50D31"/>
    <w:rsid w:val="00C513FA"/>
    <w:rsid w:val="00C53078"/>
    <w:rsid w:val="00C84015"/>
    <w:rsid w:val="00CA2B72"/>
    <w:rsid w:val="00CC700A"/>
    <w:rsid w:val="00CD351A"/>
    <w:rsid w:val="00CE7DE7"/>
    <w:rsid w:val="00CF2BD6"/>
    <w:rsid w:val="00D00518"/>
    <w:rsid w:val="00D07733"/>
    <w:rsid w:val="00D23151"/>
    <w:rsid w:val="00D33351"/>
    <w:rsid w:val="00D33A5B"/>
    <w:rsid w:val="00D4004A"/>
    <w:rsid w:val="00D6456B"/>
    <w:rsid w:val="00D66B97"/>
    <w:rsid w:val="00D70F84"/>
    <w:rsid w:val="00D75980"/>
    <w:rsid w:val="00D769D2"/>
    <w:rsid w:val="00D776F5"/>
    <w:rsid w:val="00D938BD"/>
    <w:rsid w:val="00DA272F"/>
    <w:rsid w:val="00DC4257"/>
    <w:rsid w:val="00E0763D"/>
    <w:rsid w:val="00E12EDB"/>
    <w:rsid w:val="00E14479"/>
    <w:rsid w:val="00E1727F"/>
    <w:rsid w:val="00E23546"/>
    <w:rsid w:val="00E45546"/>
    <w:rsid w:val="00E479AC"/>
    <w:rsid w:val="00E6321C"/>
    <w:rsid w:val="00E7265B"/>
    <w:rsid w:val="00E727F0"/>
    <w:rsid w:val="00E81EF1"/>
    <w:rsid w:val="00E878A6"/>
    <w:rsid w:val="00EA1822"/>
    <w:rsid w:val="00EA2387"/>
    <w:rsid w:val="00EA3156"/>
    <w:rsid w:val="00EB1873"/>
    <w:rsid w:val="00EB3F81"/>
    <w:rsid w:val="00EB5D42"/>
    <w:rsid w:val="00EC0108"/>
    <w:rsid w:val="00ED3A31"/>
    <w:rsid w:val="00EE0B53"/>
    <w:rsid w:val="00EE0F15"/>
    <w:rsid w:val="00EF578E"/>
    <w:rsid w:val="00F01FD8"/>
    <w:rsid w:val="00F14508"/>
    <w:rsid w:val="00F21680"/>
    <w:rsid w:val="00F46962"/>
    <w:rsid w:val="00F476F2"/>
    <w:rsid w:val="00F500AD"/>
    <w:rsid w:val="00F86A6B"/>
    <w:rsid w:val="00F943C2"/>
    <w:rsid w:val="00FA258A"/>
    <w:rsid w:val="00FA5857"/>
    <w:rsid w:val="00FD680B"/>
    <w:rsid w:val="00FE66E5"/>
    <w:rsid w:val="144F3F53"/>
    <w:rsid w:val="55964D70"/>
    <w:rsid w:val="69293A06"/>
    <w:rsid w:val="71C80FC4"/>
    <w:rsid w:val="742B3D5D"/>
    <w:rsid w:val="7FE729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2">
    <w:name w:val="heading 2"/>
    <w:basedOn w:val="a"/>
    <w:next w:val="a"/>
    <w:link w:val="2Char"/>
    <w:uiPriority w:val="9"/>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semiHidden/>
    <w:rPr>
      <w:rFonts w:ascii="Calibri Light" w:eastAsia="宋体" w:hAnsi="Calibri Light" w:cs="Times New Roman"/>
      <w:b/>
      <w:bCs/>
      <w:kern w:val="2"/>
      <w:sz w:val="32"/>
      <w:szCs w:val="32"/>
    </w:rPr>
  </w:style>
  <w:style w:type="character" w:customStyle="1" w:styleId="3Char">
    <w:name w:val="标题 3 Char"/>
    <w:link w:val="3"/>
    <w:rPr>
      <w:rFonts w:ascii="Times New Roman" w:eastAsia="宋体" w:hAnsi="Times New Roman" w:cs="Times New Roman"/>
      <w:b/>
      <w:bCs/>
      <w:sz w:val="32"/>
      <w:szCs w:val="32"/>
    </w:rPr>
  </w:style>
  <w:style w:type="paragraph" w:styleId="a3">
    <w:name w:val="annotation text"/>
    <w:basedOn w:val="a"/>
    <w:link w:val="Char"/>
    <w:uiPriority w:val="99"/>
    <w:unhideWhenUsed/>
    <w:pPr>
      <w:jc w:val="left"/>
    </w:pPr>
  </w:style>
  <w:style w:type="character" w:customStyle="1" w:styleId="Char">
    <w:name w:val="批注文字 Char"/>
    <w:link w:val="a3"/>
    <w:uiPriority w:val="99"/>
    <w:semiHidden/>
    <w:rPr>
      <w:rFonts w:ascii="Times New Roman" w:hAnsi="Times New Roman"/>
      <w:kern w:val="2"/>
      <w:sz w:val="21"/>
      <w:szCs w:val="24"/>
    </w:rPr>
  </w:style>
  <w:style w:type="paragraph" w:styleId="a4">
    <w:name w:val="Balloon Text"/>
    <w:basedOn w:val="a"/>
    <w:link w:val="Char0"/>
    <w:uiPriority w:val="99"/>
    <w:unhideWhenUsed/>
    <w:rPr>
      <w:sz w:val="18"/>
      <w:szCs w:val="18"/>
    </w:rPr>
  </w:style>
  <w:style w:type="character" w:customStyle="1" w:styleId="Char0">
    <w:name w:val="批注框文本 Char"/>
    <w:link w:val="a4"/>
    <w:uiPriority w:val="99"/>
    <w:semiHidden/>
    <w:rPr>
      <w:rFonts w:ascii="Times New Roman" w:hAnsi="Times New Roman"/>
      <w:kern w:val="2"/>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link w:val="a5"/>
    <w:uiPriority w:val="99"/>
    <w:rPr>
      <w:rFonts w:ascii="Times New Roman" w:eastAsia="宋体" w:hAnsi="Times New Roman" w:cs="Times New Roman"/>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rPr>
      <w:rFonts w:ascii="Times New Roman" w:eastAsia="宋体" w:hAnsi="Times New Roman" w:cs="Times New Roman"/>
      <w:sz w:val="18"/>
      <w:szCs w:val="18"/>
    </w:rPr>
  </w:style>
  <w:style w:type="paragraph" w:styleId="a7">
    <w:name w:val="annotation subject"/>
    <w:basedOn w:val="a3"/>
    <w:next w:val="a3"/>
    <w:link w:val="Char3"/>
    <w:uiPriority w:val="99"/>
    <w:unhideWhenUsed/>
    <w:rPr>
      <w:b/>
      <w:bCs/>
    </w:rPr>
  </w:style>
  <w:style w:type="character" w:customStyle="1" w:styleId="Char3">
    <w:name w:val="批注主题 Char"/>
    <w:link w:val="a7"/>
    <w:uiPriority w:val="99"/>
    <w:semiHidden/>
    <w:rPr>
      <w:rFonts w:ascii="Times New Roman" w:hAnsi="Times New Roman"/>
      <w:b/>
      <w:bCs/>
      <w:kern w:val="2"/>
      <w:sz w:val="21"/>
      <w:szCs w:val="24"/>
    </w:rPr>
  </w:style>
  <w:style w:type="table" w:styleId="a8">
    <w:name w:val="Table Grid"/>
    <w:basedOn w:val="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uiPriority w:val="99"/>
    <w:unhideWhenUsed/>
    <w:rPr>
      <w:sz w:val="21"/>
      <w:szCs w:val="21"/>
    </w:rPr>
  </w:style>
  <w:style w:type="paragraph" w:styleId="aa">
    <w:name w:val="Revision"/>
    <w:uiPriority w:val="99"/>
    <w:unhideWhenUsed/>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ullgoal.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2260</Characters>
  <Application>Microsoft Office Word</Application>
  <DocSecurity>4</DocSecurity>
  <PresentationFormat/>
  <Lines>18</Lines>
  <Paragraphs>5</Paragraphs>
  <Slides>0</Slides>
  <Notes>0</Notes>
  <HiddenSlides>0</HiddenSlides>
  <MMClips>0</MMClips>
  <ScaleCrop>false</ScaleCrop>
  <Company>Microsoft</Company>
  <LinksUpToDate>false</LinksUpToDate>
  <CharactersWithSpaces>2651</CharactersWithSpaces>
  <SharedDoc>false</SharedDoc>
  <HLinks>
    <vt:vector size="6" baseType="variant">
      <vt:variant>
        <vt:i4>2490407</vt:i4>
      </vt:variant>
      <vt:variant>
        <vt:i4>0</vt:i4>
      </vt:variant>
      <vt:variant>
        <vt:i4>0</vt:i4>
      </vt:variant>
      <vt:variant>
        <vt:i4>5</vt:i4>
      </vt:variant>
      <vt:variant>
        <vt:lpwstr>http://www.fullgoal.com.cn/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富国基金管理有限公司关于旗下部分基金2024年非港股通交易日暂停申购、赎回等业务的公告</dc:title>
  <dc:subject/>
  <dc:creator>富国基金</dc:creator>
  <cp:keywords/>
  <cp:lastModifiedBy>ZHONGM</cp:lastModifiedBy>
  <cp:revision>2</cp:revision>
  <dcterms:created xsi:type="dcterms:W3CDTF">2023-12-31T16:01:00Z</dcterms:created>
  <dcterms:modified xsi:type="dcterms:W3CDTF">2023-12-31T16:01:00Z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24C6D9B5FFFF4535906D60E80BA1869B</vt:lpwstr>
  </property>
</Properties>
</file>