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E50" w:rsidRDefault="00613078">
      <w:pPr>
        <w:pStyle w:val="3"/>
        <w:spacing w:line="360" w:lineRule="auto"/>
        <w:jc w:val="center"/>
        <w:rPr>
          <w:kern w:val="0"/>
        </w:rPr>
      </w:pPr>
      <w:r>
        <w:rPr>
          <w:rFonts w:hint="eastAsia"/>
          <w:kern w:val="0"/>
        </w:rPr>
        <w:t>富国基金管理有限公司关于旗下部分基金</w:t>
      </w:r>
      <w:r>
        <w:rPr>
          <w:kern w:val="0"/>
        </w:rPr>
        <w:t>202</w:t>
      </w:r>
      <w:r>
        <w:rPr>
          <w:rFonts w:hint="eastAsia"/>
          <w:kern w:val="0"/>
        </w:rPr>
        <w:t>4</w:t>
      </w:r>
      <w:r>
        <w:rPr>
          <w:kern w:val="0"/>
        </w:rPr>
        <w:t>年境外主要市场</w:t>
      </w:r>
      <w:r>
        <w:rPr>
          <w:rFonts w:hint="eastAsia"/>
          <w:kern w:val="0"/>
        </w:rPr>
        <w:t>（中国香港）</w:t>
      </w:r>
      <w:r>
        <w:rPr>
          <w:kern w:val="0"/>
        </w:rPr>
        <w:t>节假日暂停申购</w:t>
      </w:r>
      <w:r>
        <w:rPr>
          <w:rFonts w:hint="eastAsia"/>
          <w:kern w:val="0"/>
        </w:rPr>
        <w:t>、</w:t>
      </w:r>
      <w:r>
        <w:rPr>
          <w:kern w:val="0"/>
        </w:rPr>
        <w:t>赎回</w:t>
      </w:r>
      <w:r>
        <w:rPr>
          <w:rFonts w:hint="eastAsia"/>
          <w:kern w:val="0"/>
        </w:rPr>
        <w:t>等</w:t>
      </w:r>
      <w:r>
        <w:rPr>
          <w:kern w:val="0"/>
        </w:rPr>
        <w:t>业务的公告</w:t>
      </w:r>
    </w:p>
    <w:p w:rsidR="00FA4E50" w:rsidRDefault="00613078">
      <w:pPr>
        <w:spacing w:line="360" w:lineRule="auto"/>
        <w:ind w:firstLineChars="200" w:firstLine="480"/>
        <w:rPr>
          <w:rFonts w:cs="宋体"/>
          <w:color w:val="000000"/>
          <w:kern w:val="0"/>
          <w:sz w:val="24"/>
        </w:rPr>
      </w:pPr>
      <w:r>
        <w:rPr>
          <w:rFonts w:cs="宋体"/>
          <w:color w:val="000000"/>
          <w:kern w:val="0"/>
          <w:sz w:val="24"/>
        </w:rPr>
        <w:t>根据</w:t>
      </w:r>
      <w:r>
        <w:rPr>
          <w:rFonts w:cs="宋体" w:hint="eastAsia"/>
          <w:color w:val="000000"/>
          <w:kern w:val="0"/>
          <w:sz w:val="24"/>
        </w:rPr>
        <w:t>相关基金合同、招募说明书</w:t>
      </w:r>
      <w:r>
        <w:rPr>
          <w:rFonts w:cs="宋体"/>
          <w:color w:val="000000"/>
          <w:kern w:val="0"/>
          <w:sz w:val="24"/>
        </w:rPr>
        <w:t>的有关规定</w:t>
      </w:r>
      <w:r>
        <w:rPr>
          <w:rFonts w:cs="宋体" w:hint="eastAsia"/>
          <w:color w:val="000000"/>
          <w:kern w:val="0"/>
          <w:sz w:val="24"/>
        </w:rPr>
        <w:t>，</w:t>
      </w:r>
      <w:r>
        <w:rPr>
          <w:rFonts w:ascii="宋体" w:hAnsi="宋体" w:cs="宋体" w:hint="eastAsia"/>
          <w:color w:val="000000"/>
          <w:kern w:val="0"/>
          <w:sz w:val="24"/>
        </w:rPr>
        <w:t>下列基金</w:t>
      </w:r>
      <w:r>
        <w:rPr>
          <w:rFonts w:cs="宋体"/>
          <w:color w:val="000000"/>
          <w:kern w:val="0"/>
          <w:sz w:val="24"/>
        </w:rPr>
        <w:t>申购和赎回的开放日</w:t>
      </w:r>
      <w:r>
        <w:rPr>
          <w:rFonts w:cs="宋体" w:hint="eastAsia"/>
          <w:color w:val="000000"/>
          <w:kern w:val="0"/>
          <w:sz w:val="24"/>
        </w:rPr>
        <w:t>受到</w:t>
      </w:r>
      <w:r>
        <w:rPr>
          <w:rFonts w:hint="eastAsia"/>
          <w:bCs/>
          <w:sz w:val="24"/>
        </w:rPr>
        <w:t>相关基金投资</w:t>
      </w:r>
      <w:r>
        <w:rPr>
          <w:rFonts w:hint="eastAsia"/>
          <w:sz w:val="24"/>
        </w:rPr>
        <w:t>的</w:t>
      </w:r>
      <w:r>
        <w:rPr>
          <w:rFonts w:hint="eastAsia"/>
          <w:bCs/>
          <w:sz w:val="24"/>
        </w:rPr>
        <w:t>主要境外市场</w:t>
      </w:r>
      <w:r>
        <w:rPr>
          <w:rFonts w:hint="eastAsia"/>
          <w:sz w:val="24"/>
        </w:rPr>
        <w:t>交易</w:t>
      </w:r>
      <w:r>
        <w:rPr>
          <w:bCs/>
          <w:sz w:val="24"/>
        </w:rPr>
        <w:t>日</w:t>
      </w:r>
      <w:r>
        <w:rPr>
          <w:rFonts w:hint="eastAsia"/>
          <w:bCs/>
          <w:sz w:val="24"/>
        </w:rPr>
        <w:t>的影响</w:t>
      </w:r>
      <w:r>
        <w:rPr>
          <w:rFonts w:cs="宋体" w:hint="eastAsia"/>
          <w:color w:val="000000"/>
          <w:kern w:val="0"/>
          <w:sz w:val="24"/>
        </w:rPr>
        <w:t>：</w:t>
      </w:r>
    </w:p>
    <w:tbl>
      <w:tblPr>
        <w:tblW w:w="876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1559"/>
        <w:gridCol w:w="6492"/>
      </w:tblGrid>
      <w:tr w:rsidR="00FA4E50">
        <w:tc>
          <w:tcPr>
            <w:tcW w:w="7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A4E50" w:rsidRDefault="00613078">
            <w:pPr>
              <w:spacing w:line="360" w:lineRule="auto"/>
              <w:rPr>
                <w:rFonts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A4E50" w:rsidRDefault="00613078">
            <w:pPr>
              <w:spacing w:line="360" w:lineRule="auto"/>
              <w:ind w:firstLineChars="100" w:firstLine="241"/>
              <w:rPr>
                <w:rFonts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  <w:sz w:val="24"/>
              </w:rPr>
              <w:t>份额代码</w:t>
            </w:r>
          </w:p>
        </w:tc>
        <w:tc>
          <w:tcPr>
            <w:tcW w:w="64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A4E50" w:rsidRDefault="00613078">
            <w:pPr>
              <w:spacing w:line="360" w:lineRule="auto"/>
              <w:jc w:val="center"/>
              <w:rPr>
                <w:rFonts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  <w:sz w:val="24"/>
              </w:rPr>
              <w:t>基金名称</w:t>
            </w:r>
          </w:p>
        </w:tc>
      </w:tr>
      <w:tr w:rsidR="00FA4E50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50" w:rsidRDefault="0061307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50" w:rsidRDefault="00613078">
            <w:r>
              <w:rPr>
                <w:rFonts w:hint="eastAsia"/>
              </w:rPr>
              <w:t>010644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50" w:rsidRDefault="00613078">
            <w:r>
              <w:rPr>
                <w:rFonts w:hint="eastAsia"/>
              </w:rPr>
              <w:t>富国全球健康生活主题混合（</w:t>
            </w:r>
            <w:r>
              <w:rPr>
                <w:rFonts w:hint="eastAsia"/>
              </w:rPr>
              <w:t>QDII</w:t>
            </w:r>
            <w:r>
              <w:rPr>
                <w:rFonts w:hint="eastAsia"/>
              </w:rPr>
              <w:t>）人民币</w:t>
            </w:r>
          </w:p>
        </w:tc>
      </w:tr>
      <w:tr w:rsidR="00FA4E50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50" w:rsidRDefault="0061307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50" w:rsidRDefault="00613078">
            <w:r>
              <w:rPr>
                <w:rFonts w:hint="eastAsia"/>
              </w:rPr>
              <w:t>010645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50" w:rsidRDefault="00613078">
            <w:r>
              <w:rPr>
                <w:rFonts w:hint="eastAsia"/>
              </w:rPr>
              <w:t>富国全球健康生活主题混合（</w:t>
            </w:r>
            <w:r>
              <w:rPr>
                <w:rFonts w:hint="eastAsia"/>
              </w:rPr>
              <w:t>QDII</w:t>
            </w:r>
            <w:r>
              <w:rPr>
                <w:rFonts w:hint="eastAsia"/>
              </w:rPr>
              <w:t>）美元现汇</w:t>
            </w:r>
          </w:p>
        </w:tc>
      </w:tr>
      <w:tr w:rsidR="00FA4E50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50" w:rsidRDefault="0061307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50" w:rsidRDefault="00613078">
            <w:r>
              <w:rPr>
                <w:rFonts w:hint="eastAsia"/>
              </w:rPr>
              <w:t>010591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50" w:rsidRDefault="00613078">
            <w:r>
              <w:rPr>
                <w:rFonts w:hint="eastAsia"/>
              </w:rPr>
              <w:t>富国中国中小盘混合（</w:t>
            </w:r>
            <w:r>
              <w:rPr>
                <w:rFonts w:hint="eastAsia"/>
              </w:rPr>
              <w:t>QDII</w:t>
            </w:r>
            <w:r>
              <w:rPr>
                <w:rFonts w:hint="eastAsia"/>
              </w:rPr>
              <w:t>）美元现汇</w:t>
            </w:r>
          </w:p>
        </w:tc>
      </w:tr>
      <w:tr w:rsidR="00FA4E50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50" w:rsidRDefault="0061307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50" w:rsidRDefault="00613078">
            <w:r>
              <w:rPr>
                <w:rFonts w:hint="eastAsia"/>
              </w:rPr>
              <w:t>100061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50" w:rsidRDefault="00613078">
            <w:r>
              <w:rPr>
                <w:rFonts w:hint="eastAsia"/>
              </w:rPr>
              <w:t>富国中国中小盘混合（</w:t>
            </w:r>
            <w:r>
              <w:rPr>
                <w:rFonts w:hint="eastAsia"/>
              </w:rPr>
              <w:t>QDII</w:t>
            </w:r>
            <w:r>
              <w:rPr>
                <w:rFonts w:hint="eastAsia"/>
              </w:rPr>
              <w:t>）人民币</w:t>
            </w:r>
          </w:p>
        </w:tc>
      </w:tr>
      <w:tr w:rsidR="00FA4E50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50" w:rsidRDefault="0061307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50" w:rsidRDefault="00613078">
            <w:r>
              <w:rPr>
                <w:rFonts w:hint="eastAsia"/>
              </w:rPr>
              <w:t>019260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50" w:rsidRDefault="00613078">
            <w:r>
              <w:rPr>
                <w:rFonts w:hint="eastAsia"/>
              </w:rPr>
              <w:t>富国恒生港股通高股息低波动</w:t>
            </w:r>
            <w:r>
              <w:rPr>
                <w:rFonts w:hint="eastAsia"/>
              </w:rPr>
              <w:t>ETF</w:t>
            </w:r>
            <w:r>
              <w:rPr>
                <w:rFonts w:hint="eastAsia"/>
              </w:rPr>
              <w:t>发起式联接</w:t>
            </w:r>
            <w:r>
              <w:rPr>
                <w:rFonts w:hint="eastAsia"/>
              </w:rPr>
              <w:t>A</w:t>
            </w:r>
          </w:p>
        </w:tc>
      </w:tr>
      <w:tr w:rsidR="00FA4E50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50" w:rsidRDefault="0061307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50" w:rsidRDefault="00613078">
            <w:r>
              <w:rPr>
                <w:rFonts w:hint="eastAsia"/>
              </w:rPr>
              <w:t>019261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50" w:rsidRDefault="00613078">
            <w:r>
              <w:rPr>
                <w:rFonts w:hint="eastAsia"/>
              </w:rPr>
              <w:t>富国恒生港股通高股息低波动</w:t>
            </w:r>
            <w:r>
              <w:rPr>
                <w:rFonts w:hint="eastAsia"/>
              </w:rPr>
              <w:t>ETF</w:t>
            </w:r>
            <w:r>
              <w:rPr>
                <w:rFonts w:hint="eastAsia"/>
              </w:rPr>
              <w:t>发起式联接</w:t>
            </w:r>
            <w:r>
              <w:rPr>
                <w:rFonts w:hint="eastAsia"/>
              </w:rPr>
              <w:t>C</w:t>
            </w:r>
          </w:p>
        </w:tc>
      </w:tr>
      <w:tr w:rsidR="00FA4E50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50" w:rsidRDefault="0061307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50" w:rsidRDefault="00613078">
            <w:r>
              <w:rPr>
                <w:rFonts w:hint="eastAsia"/>
              </w:rPr>
              <w:t>513950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50" w:rsidRDefault="00613078">
            <w:r>
              <w:rPr>
                <w:rFonts w:hint="eastAsia"/>
              </w:rPr>
              <w:t>富国恒生港股通高股息低波动交易型开放式指数证券投资基金（</w:t>
            </w:r>
            <w:r>
              <w:rPr>
                <w:rFonts w:hint="eastAsia"/>
              </w:rPr>
              <w:t>QDII</w:t>
            </w:r>
            <w:r>
              <w:rPr>
                <w:rFonts w:hint="eastAsia"/>
              </w:rPr>
              <w:t>）</w:t>
            </w:r>
          </w:p>
        </w:tc>
      </w:tr>
    </w:tbl>
    <w:p w:rsidR="00FA4E50" w:rsidRDefault="00613078">
      <w:pPr>
        <w:spacing w:line="360" w:lineRule="auto"/>
        <w:ind w:firstLineChars="200" w:firstLine="480"/>
        <w:rPr>
          <w:rFonts w:cs="宋体"/>
          <w:color w:val="000000"/>
          <w:kern w:val="0"/>
          <w:sz w:val="24"/>
        </w:rPr>
      </w:pPr>
      <w:r>
        <w:rPr>
          <w:rFonts w:cs="宋体"/>
          <w:color w:val="000000"/>
          <w:kern w:val="0"/>
          <w:sz w:val="24"/>
        </w:rPr>
        <w:t>为了保障基金平稳运作</w:t>
      </w:r>
      <w:r>
        <w:rPr>
          <w:rFonts w:cs="宋体" w:hint="eastAsia"/>
          <w:color w:val="000000"/>
          <w:kern w:val="0"/>
          <w:sz w:val="24"/>
        </w:rPr>
        <w:t>，</w:t>
      </w:r>
      <w:r>
        <w:rPr>
          <w:rFonts w:cs="宋体"/>
          <w:color w:val="000000"/>
          <w:kern w:val="0"/>
          <w:sz w:val="24"/>
        </w:rPr>
        <w:t>保护持有人利益</w:t>
      </w:r>
      <w:r>
        <w:rPr>
          <w:rFonts w:cs="宋体" w:hint="eastAsia"/>
          <w:color w:val="000000"/>
          <w:kern w:val="0"/>
          <w:sz w:val="24"/>
        </w:rPr>
        <w:t>，富国</w:t>
      </w:r>
      <w:r>
        <w:rPr>
          <w:rFonts w:cs="宋体"/>
          <w:color w:val="000000"/>
          <w:kern w:val="0"/>
          <w:sz w:val="24"/>
        </w:rPr>
        <w:t>基金管理有限公司</w:t>
      </w:r>
      <w:r>
        <w:rPr>
          <w:rFonts w:cs="宋体" w:hint="eastAsia"/>
          <w:color w:val="000000"/>
          <w:kern w:val="0"/>
          <w:sz w:val="24"/>
        </w:rPr>
        <w:t>（以下简称“本公司”）</w:t>
      </w:r>
      <w:r>
        <w:rPr>
          <w:rFonts w:cs="宋体"/>
          <w:color w:val="000000"/>
          <w:kern w:val="0"/>
          <w:sz w:val="24"/>
        </w:rPr>
        <w:t>决定</w:t>
      </w:r>
      <w:r>
        <w:rPr>
          <w:rFonts w:cs="宋体" w:hint="eastAsia"/>
          <w:color w:val="000000"/>
          <w:kern w:val="0"/>
          <w:sz w:val="24"/>
        </w:rPr>
        <w:t>于</w:t>
      </w:r>
      <w:r>
        <w:rPr>
          <w:rFonts w:cs="宋体"/>
          <w:color w:val="000000"/>
          <w:kern w:val="0"/>
          <w:sz w:val="24"/>
        </w:rPr>
        <w:t>下列</w:t>
      </w:r>
      <w:r>
        <w:rPr>
          <w:rFonts w:cs="宋体" w:hint="eastAsia"/>
          <w:color w:val="000000"/>
          <w:kern w:val="0"/>
          <w:sz w:val="24"/>
        </w:rPr>
        <w:t>2024</w:t>
      </w:r>
      <w:r>
        <w:rPr>
          <w:rFonts w:cs="宋体"/>
          <w:color w:val="000000"/>
          <w:kern w:val="0"/>
          <w:sz w:val="24"/>
        </w:rPr>
        <w:t>年境外主要市场节假日暂停</w:t>
      </w:r>
      <w:r>
        <w:rPr>
          <w:rFonts w:cs="宋体" w:hint="eastAsia"/>
          <w:color w:val="000000"/>
          <w:kern w:val="0"/>
          <w:sz w:val="24"/>
        </w:rPr>
        <w:t>相关</w:t>
      </w:r>
      <w:r>
        <w:rPr>
          <w:rFonts w:cs="宋体"/>
          <w:color w:val="000000"/>
          <w:kern w:val="0"/>
          <w:sz w:val="24"/>
        </w:rPr>
        <w:t>基金的申购</w:t>
      </w:r>
      <w:r>
        <w:rPr>
          <w:rFonts w:cs="宋体" w:hint="eastAsia"/>
          <w:color w:val="000000"/>
          <w:kern w:val="0"/>
          <w:sz w:val="24"/>
        </w:rPr>
        <w:t>、赎回、</w:t>
      </w:r>
      <w:r>
        <w:rPr>
          <w:rFonts w:ascii="宋体" w:hAnsi="宋体" w:cs="宋体"/>
          <w:color w:val="000000"/>
          <w:kern w:val="0"/>
          <w:sz w:val="24"/>
        </w:rPr>
        <w:t>定</w:t>
      </w:r>
      <w:r>
        <w:rPr>
          <w:rFonts w:ascii="宋体" w:hAnsi="宋体" w:cs="宋体" w:hint="eastAsia"/>
          <w:color w:val="000000"/>
          <w:kern w:val="0"/>
          <w:sz w:val="24"/>
        </w:rPr>
        <w:t>期定额</w:t>
      </w:r>
      <w:r>
        <w:rPr>
          <w:rFonts w:ascii="宋体" w:hAnsi="宋体" w:cs="宋体"/>
          <w:color w:val="000000"/>
          <w:kern w:val="0"/>
          <w:sz w:val="24"/>
        </w:rPr>
        <w:t>投</w:t>
      </w:r>
      <w:r>
        <w:rPr>
          <w:rFonts w:ascii="宋体" w:hAnsi="宋体" w:cs="宋体" w:hint="eastAsia"/>
          <w:color w:val="000000"/>
          <w:kern w:val="0"/>
          <w:sz w:val="24"/>
        </w:rPr>
        <w:t>资与基金转换</w:t>
      </w:r>
      <w:r>
        <w:rPr>
          <w:rFonts w:ascii="宋体" w:hAnsi="宋体" w:cs="宋体"/>
          <w:color w:val="000000"/>
          <w:kern w:val="0"/>
          <w:sz w:val="24"/>
        </w:rPr>
        <w:t>业务</w:t>
      </w:r>
      <w:r>
        <w:rPr>
          <w:rFonts w:ascii="宋体" w:hAnsi="宋体" w:cs="宋体" w:hint="eastAsia"/>
          <w:color w:val="000000"/>
          <w:kern w:val="0"/>
          <w:sz w:val="24"/>
        </w:rPr>
        <w:t>（如已开通）</w:t>
      </w:r>
      <w:r>
        <w:rPr>
          <w:rFonts w:cs="宋体" w:hint="eastAsia"/>
          <w:color w:val="000000"/>
          <w:kern w:val="0"/>
          <w:sz w:val="24"/>
        </w:rPr>
        <w:t>，</w:t>
      </w:r>
      <w:r>
        <w:rPr>
          <w:rFonts w:cs="宋体"/>
          <w:color w:val="000000"/>
          <w:kern w:val="0"/>
          <w:sz w:val="24"/>
        </w:rPr>
        <w:t>并自下列节假日的下一开放日恢复</w:t>
      </w:r>
      <w:r>
        <w:rPr>
          <w:rFonts w:cs="宋体" w:hint="eastAsia"/>
          <w:color w:val="000000"/>
          <w:kern w:val="0"/>
          <w:sz w:val="24"/>
        </w:rPr>
        <w:t>相关</w:t>
      </w:r>
      <w:r>
        <w:rPr>
          <w:rFonts w:cs="宋体"/>
          <w:color w:val="000000"/>
          <w:kern w:val="0"/>
          <w:sz w:val="24"/>
        </w:rPr>
        <w:t>基金的日常申购</w:t>
      </w:r>
      <w:r>
        <w:rPr>
          <w:rFonts w:cs="宋体" w:hint="eastAsia"/>
          <w:color w:val="000000"/>
          <w:kern w:val="0"/>
          <w:sz w:val="24"/>
        </w:rPr>
        <w:t>、赎回、</w:t>
      </w:r>
      <w:r>
        <w:rPr>
          <w:rFonts w:ascii="宋体" w:hAnsi="宋体" w:cs="宋体"/>
          <w:color w:val="000000"/>
          <w:kern w:val="0"/>
          <w:sz w:val="24"/>
        </w:rPr>
        <w:t>定</w:t>
      </w:r>
      <w:r>
        <w:rPr>
          <w:rFonts w:ascii="宋体" w:hAnsi="宋体" w:cs="宋体" w:hint="eastAsia"/>
          <w:color w:val="000000"/>
          <w:kern w:val="0"/>
          <w:sz w:val="24"/>
        </w:rPr>
        <w:t>期定额</w:t>
      </w:r>
      <w:r>
        <w:rPr>
          <w:rFonts w:ascii="宋体" w:hAnsi="宋体" w:cs="宋体"/>
          <w:color w:val="000000"/>
          <w:kern w:val="0"/>
          <w:sz w:val="24"/>
        </w:rPr>
        <w:t>投</w:t>
      </w:r>
      <w:r>
        <w:rPr>
          <w:rFonts w:ascii="宋体" w:hAnsi="宋体" w:cs="宋体" w:hint="eastAsia"/>
          <w:color w:val="000000"/>
          <w:kern w:val="0"/>
          <w:sz w:val="24"/>
        </w:rPr>
        <w:t>资与基金转换</w:t>
      </w:r>
      <w:r>
        <w:rPr>
          <w:rFonts w:ascii="宋体" w:hAnsi="宋体" w:cs="宋体"/>
          <w:color w:val="000000"/>
          <w:kern w:val="0"/>
          <w:sz w:val="24"/>
        </w:rPr>
        <w:t>业务</w:t>
      </w:r>
      <w:r>
        <w:rPr>
          <w:rFonts w:ascii="宋体" w:hAnsi="宋体" w:cs="宋体" w:hint="eastAsia"/>
          <w:color w:val="000000"/>
          <w:kern w:val="0"/>
          <w:sz w:val="24"/>
        </w:rPr>
        <w:t>（如已开通）</w:t>
      </w:r>
      <w:r>
        <w:rPr>
          <w:rFonts w:cs="宋体" w:hint="eastAsia"/>
          <w:color w:val="000000"/>
          <w:kern w:val="0"/>
          <w:sz w:val="24"/>
        </w:rPr>
        <w:t>，</w:t>
      </w:r>
      <w:r>
        <w:rPr>
          <w:rFonts w:cs="宋体"/>
          <w:color w:val="000000"/>
          <w:kern w:val="0"/>
          <w:sz w:val="24"/>
        </w:rPr>
        <w:t>届时不再另行公告。</w:t>
      </w:r>
    </w:p>
    <w:p w:rsidR="00FA4E50" w:rsidRDefault="00FA4E50">
      <w:pPr>
        <w:spacing w:line="360" w:lineRule="auto"/>
        <w:ind w:firstLineChars="200" w:firstLine="480"/>
        <w:rPr>
          <w:rFonts w:cs="宋体"/>
          <w:color w:val="000000"/>
          <w:kern w:val="0"/>
          <w:sz w:val="24"/>
        </w:rPr>
      </w:pPr>
    </w:p>
    <w:tbl>
      <w:tblPr>
        <w:tblW w:w="6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80"/>
        <w:gridCol w:w="2884"/>
        <w:gridCol w:w="1476"/>
      </w:tblGrid>
      <w:tr w:rsidR="00FA4E50">
        <w:trPr>
          <w:trHeight w:val="285"/>
        </w:trPr>
        <w:tc>
          <w:tcPr>
            <w:tcW w:w="2180" w:type="dxa"/>
            <w:shd w:val="clear" w:color="000000" w:fill="BFBFBF"/>
            <w:noWrap/>
            <w:vAlign w:val="center"/>
          </w:tcPr>
          <w:p w:rsidR="00FA4E50" w:rsidRDefault="0061307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日期</w:t>
            </w:r>
          </w:p>
        </w:tc>
        <w:tc>
          <w:tcPr>
            <w:tcW w:w="2884" w:type="dxa"/>
            <w:shd w:val="clear" w:color="000000" w:fill="BFBFBF"/>
            <w:noWrap/>
            <w:vAlign w:val="center"/>
          </w:tcPr>
          <w:p w:rsidR="00FA4E50" w:rsidRDefault="0061307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节假日</w:t>
            </w:r>
          </w:p>
        </w:tc>
        <w:tc>
          <w:tcPr>
            <w:tcW w:w="1476" w:type="dxa"/>
            <w:shd w:val="clear" w:color="000000" w:fill="BFBFBF"/>
            <w:noWrap/>
            <w:vAlign w:val="center"/>
          </w:tcPr>
          <w:p w:rsidR="00FA4E50" w:rsidRDefault="0061307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地区</w:t>
            </w:r>
          </w:p>
        </w:tc>
      </w:tr>
      <w:tr w:rsidR="00FA4E50">
        <w:trPr>
          <w:trHeight w:val="285"/>
        </w:trPr>
        <w:tc>
          <w:tcPr>
            <w:tcW w:w="2180" w:type="dxa"/>
            <w:shd w:val="clear" w:color="auto" w:fill="auto"/>
            <w:noWrap/>
            <w:vAlign w:val="center"/>
          </w:tcPr>
          <w:p w:rsidR="00FA4E50" w:rsidRDefault="0061307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2024年3月29日</w:t>
            </w:r>
          </w:p>
        </w:tc>
        <w:tc>
          <w:tcPr>
            <w:tcW w:w="2884" w:type="dxa"/>
            <w:shd w:val="clear" w:color="auto" w:fill="auto"/>
            <w:noWrap/>
            <w:vAlign w:val="center"/>
          </w:tcPr>
          <w:p w:rsidR="00FA4E50" w:rsidRDefault="0061307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耶稣受难日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FA4E50" w:rsidRDefault="0061307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香港</w:t>
            </w:r>
          </w:p>
        </w:tc>
      </w:tr>
      <w:tr w:rsidR="00FA4E50">
        <w:trPr>
          <w:trHeight w:val="285"/>
        </w:trPr>
        <w:tc>
          <w:tcPr>
            <w:tcW w:w="2180" w:type="dxa"/>
            <w:shd w:val="clear" w:color="auto" w:fill="auto"/>
            <w:noWrap/>
            <w:vAlign w:val="center"/>
          </w:tcPr>
          <w:p w:rsidR="00FA4E50" w:rsidRDefault="0061307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2024年4月1日</w:t>
            </w:r>
          </w:p>
        </w:tc>
        <w:tc>
          <w:tcPr>
            <w:tcW w:w="2884" w:type="dxa"/>
            <w:shd w:val="clear" w:color="auto" w:fill="auto"/>
            <w:noWrap/>
            <w:vAlign w:val="center"/>
          </w:tcPr>
          <w:p w:rsidR="00FA4E50" w:rsidRDefault="0061307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复活节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FA4E50" w:rsidRDefault="0061307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香港</w:t>
            </w:r>
          </w:p>
        </w:tc>
      </w:tr>
      <w:tr w:rsidR="00FA4E50">
        <w:trPr>
          <w:trHeight w:val="285"/>
        </w:trPr>
        <w:tc>
          <w:tcPr>
            <w:tcW w:w="2180" w:type="dxa"/>
            <w:shd w:val="clear" w:color="auto" w:fill="auto"/>
            <w:noWrap/>
            <w:vAlign w:val="center"/>
          </w:tcPr>
          <w:p w:rsidR="00FA4E50" w:rsidRDefault="0061307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2024年5月15日</w:t>
            </w:r>
          </w:p>
        </w:tc>
        <w:tc>
          <w:tcPr>
            <w:tcW w:w="2884" w:type="dxa"/>
            <w:shd w:val="clear" w:color="auto" w:fill="auto"/>
            <w:noWrap/>
            <w:vAlign w:val="center"/>
          </w:tcPr>
          <w:p w:rsidR="00FA4E50" w:rsidRDefault="0061307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香港佛诞日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FA4E50" w:rsidRDefault="0061307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香港</w:t>
            </w:r>
          </w:p>
        </w:tc>
      </w:tr>
      <w:tr w:rsidR="00FA4E50">
        <w:trPr>
          <w:trHeight w:val="285"/>
        </w:trPr>
        <w:tc>
          <w:tcPr>
            <w:tcW w:w="2180" w:type="dxa"/>
            <w:shd w:val="clear" w:color="auto" w:fill="auto"/>
            <w:noWrap/>
            <w:vAlign w:val="center"/>
          </w:tcPr>
          <w:p w:rsidR="00FA4E50" w:rsidRDefault="0061307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2024年7月1日</w:t>
            </w:r>
          </w:p>
        </w:tc>
        <w:tc>
          <w:tcPr>
            <w:tcW w:w="2884" w:type="dxa"/>
            <w:shd w:val="clear" w:color="auto" w:fill="auto"/>
            <w:noWrap/>
            <w:vAlign w:val="center"/>
          </w:tcPr>
          <w:p w:rsidR="00FA4E50" w:rsidRDefault="0061307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香港特别行政区成立纪念日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FA4E50" w:rsidRDefault="0061307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香港</w:t>
            </w:r>
          </w:p>
        </w:tc>
      </w:tr>
      <w:tr w:rsidR="00FA4E50">
        <w:trPr>
          <w:trHeight w:val="285"/>
        </w:trPr>
        <w:tc>
          <w:tcPr>
            <w:tcW w:w="2180" w:type="dxa"/>
            <w:shd w:val="clear" w:color="auto" w:fill="auto"/>
            <w:noWrap/>
            <w:vAlign w:val="center"/>
          </w:tcPr>
          <w:p w:rsidR="00FA4E50" w:rsidRDefault="0061307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2024年9月18日</w:t>
            </w:r>
          </w:p>
        </w:tc>
        <w:tc>
          <w:tcPr>
            <w:tcW w:w="2884" w:type="dxa"/>
            <w:shd w:val="clear" w:color="auto" w:fill="auto"/>
            <w:noWrap/>
            <w:vAlign w:val="center"/>
          </w:tcPr>
          <w:p w:rsidR="00FA4E50" w:rsidRDefault="0061307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中秋节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FA4E50" w:rsidRDefault="0061307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香港</w:t>
            </w:r>
          </w:p>
        </w:tc>
      </w:tr>
      <w:tr w:rsidR="00FA4E50">
        <w:trPr>
          <w:trHeight w:val="285"/>
        </w:trPr>
        <w:tc>
          <w:tcPr>
            <w:tcW w:w="2180" w:type="dxa"/>
            <w:shd w:val="clear" w:color="auto" w:fill="auto"/>
            <w:noWrap/>
            <w:vAlign w:val="center"/>
          </w:tcPr>
          <w:p w:rsidR="00FA4E50" w:rsidRDefault="0061307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2024年10月11日</w:t>
            </w:r>
          </w:p>
        </w:tc>
        <w:tc>
          <w:tcPr>
            <w:tcW w:w="2884" w:type="dxa"/>
            <w:shd w:val="clear" w:color="auto" w:fill="auto"/>
            <w:noWrap/>
            <w:vAlign w:val="center"/>
          </w:tcPr>
          <w:p w:rsidR="00FA4E50" w:rsidRDefault="0061307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重阳节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FA4E50" w:rsidRDefault="0061307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香港</w:t>
            </w:r>
          </w:p>
        </w:tc>
      </w:tr>
      <w:tr w:rsidR="00FA4E50">
        <w:trPr>
          <w:trHeight w:val="285"/>
        </w:trPr>
        <w:tc>
          <w:tcPr>
            <w:tcW w:w="2180" w:type="dxa"/>
            <w:shd w:val="clear" w:color="auto" w:fill="auto"/>
            <w:noWrap/>
            <w:vAlign w:val="center"/>
          </w:tcPr>
          <w:p w:rsidR="00FA4E50" w:rsidRDefault="0061307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2024年12月25日</w:t>
            </w:r>
          </w:p>
        </w:tc>
        <w:tc>
          <w:tcPr>
            <w:tcW w:w="2884" w:type="dxa"/>
            <w:shd w:val="clear" w:color="auto" w:fill="auto"/>
            <w:noWrap/>
            <w:vAlign w:val="center"/>
          </w:tcPr>
          <w:p w:rsidR="00FA4E50" w:rsidRDefault="0061307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圣诞节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FA4E50" w:rsidRDefault="0061307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香港</w:t>
            </w:r>
          </w:p>
        </w:tc>
      </w:tr>
      <w:tr w:rsidR="00FA4E50">
        <w:trPr>
          <w:trHeight w:val="285"/>
        </w:trPr>
        <w:tc>
          <w:tcPr>
            <w:tcW w:w="2180" w:type="dxa"/>
            <w:shd w:val="clear" w:color="auto" w:fill="auto"/>
            <w:noWrap/>
            <w:vAlign w:val="center"/>
          </w:tcPr>
          <w:p w:rsidR="00FA4E50" w:rsidRDefault="0061307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2024年12月26日</w:t>
            </w:r>
          </w:p>
        </w:tc>
        <w:tc>
          <w:tcPr>
            <w:tcW w:w="2884" w:type="dxa"/>
            <w:shd w:val="clear" w:color="auto" w:fill="auto"/>
            <w:noWrap/>
            <w:vAlign w:val="center"/>
          </w:tcPr>
          <w:p w:rsidR="00FA4E50" w:rsidRDefault="0061307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圣诞节后翌日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FA4E50" w:rsidRDefault="0061307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香港</w:t>
            </w:r>
          </w:p>
        </w:tc>
      </w:tr>
    </w:tbl>
    <w:p w:rsidR="00FA4E50" w:rsidRDefault="00FA4E50">
      <w:pPr>
        <w:spacing w:line="360" w:lineRule="auto"/>
        <w:rPr>
          <w:rFonts w:cs="宋体"/>
          <w:color w:val="000000"/>
          <w:kern w:val="0"/>
          <w:sz w:val="24"/>
        </w:rPr>
      </w:pPr>
    </w:p>
    <w:p w:rsidR="00FA4E50" w:rsidRDefault="00613078">
      <w:pPr>
        <w:spacing w:line="360" w:lineRule="auto"/>
        <w:ind w:firstLine="420"/>
        <w:rPr>
          <w:rFonts w:cs="宋体"/>
          <w:color w:val="000000"/>
          <w:kern w:val="0"/>
          <w:sz w:val="24"/>
        </w:rPr>
      </w:pPr>
      <w:r>
        <w:rPr>
          <w:rFonts w:cs="宋体"/>
          <w:color w:val="000000"/>
          <w:kern w:val="0"/>
          <w:sz w:val="24"/>
        </w:rPr>
        <w:t>若境外主要市场节假日安排发生变化</w:t>
      </w:r>
      <w:r>
        <w:rPr>
          <w:rFonts w:cs="宋体" w:hint="eastAsia"/>
          <w:color w:val="000000"/>
          <w:kern w:val="0"/>
          <w:sz w:val="24"/>
        </w:rPr>
        <w:t>，本公司</w:t>
      </w:r>
      <w:r>
        <w:rPr>
          <w:rFonts w:cs="宋体"/>
          <w:color w:val="000000"/>
          <w:kern w:val="0"/>
          <w:sz w:val="24"/>
        </w:rPr>
        <w:t>将进行相应调整并公告。若境外主要市场状况发生变化</w:t>
      </w:r>
      <w:r>
        <w:rPr>
          <w:rFonts w:cs="宋体" w:hint="eastAsia"/>
          <w:color w:val="000000"/>
          <w:kern w:val="0"/>
          <w:sz w:val="24"/>
        </w:rPr>
        <w:t>，</w:t>
      </w:r>
      <w:r>
        <w:rPr>
          <w:rFonts w:cs="宋体"/>
          <w:color w:val="000000"/>
          <w:kern w:val="0"/>
          <w:sz w:val="24"/>
        </w:rPr>
        <w:t>或将来根据法律法规和基金合同的约定需要调整上述</w:t>
      </w:r>
      <w:r>
        <w:rPr>
          <w:rFonts w:cs="宋体"/>
          <w:color w:val="000000"/>
          <w:kern w:val="0"/>
          <w:sz w:val="24"/>
        </w:rPr>
        <w:lastRenderedPageBreak/>
        <w:t>安排的</w:t>
      </w:r>
      <w:r>
        <w:rPr>
          <w:rFonts w:cs="宋体" w:hint="eastAsia"/>
          <w:color w:val="000000"/>
          <w:kern w:val="0"/>
          <w:sz w:val="24"/>
        </w:rPr>
        <w:t>，本公司</w:t>
      </w:r>
      <w:r>
        <w:rPr>
          <w:rFonts w:cs="宋体"/>
          <w:color w:val="000000"/>
          <w:kern w:val="0"/>
          <w:sz w:val="24"/>
        </w:rPr>
        <w:t>将另行调整并公告。</w:t>
      </w:r>
    </w:p>
    <w:p w:rsidR="00FA4E50" w:rsidRDefault="00613078">
      <w:pPr>
        <w:spacing w:line="360" w:lineRule="auto"/>
        <w:ind w:firstLineChars="200" w:firstLine="480"/>
        <w:rPr>
          <w:rFonts w:cs="宋体"/>
          <w:color w:val="000000"/>
          <w:kern w:val="0"/>
          <w:sz w:val="24"/>
        </w:rPr>
      </w:pPr>
      <w:r>
        <w:rPr>
          <w:rFonts w:cs="宋体"/>
          <w:color w:val="000000"/>
          <w:kern w:val="0"/>
          <w:sz w:val="24"/>
        </w:rPr>
        <w:t>投资者可访问</w:t>
      </w:r>
      <w:r>
        <w:rPr>
          <w:rFonts w:cs="宋体" w:hint="eastAsia"/>
          <w:color w:val="000000"/>
          <w:kern w:val="0"/>
          <w:sz w:val="24"/>
        </w:rPr>
        <w:t>富国</w:t>
      </w:r>
      <w:r>
        <w:rPr>
          <w:rFonts w:cs="宋体"/>
          <w:color w:val="000000"/>
          <w:kern w:val="0"/>
          <w:sz w:val="24"/>
        </w:rPr>
        <w:t>基金管理有限公司网站</w:t>
      </w:r>
      <w:r>
        <w:rPr>
          <w:rFonts w:cs="宋体" w:hint="eastAsia"/>
          <w:color w:val="000000"/>
          <w:kern w:val="0"/>
          <w:sz w:val="24"/>
        </w:rPr>
        <w:t>(</w:t>
      </w:r>
      <w:hyperlink r:id="rId5" w:history="1">
        <w:r>
          <w:rPr>
            <w:rFonts w:hint="eastAsia"/>
            <w:sz w:val="24"/>
          </w:rPr>
          <w:t>www.fullgoal.com.cn</w:t>
        </w:r>
      </w:hyperlink>
      <w:r>
        <w:rPr>
          <w:rFonts w:cs="宋体"/>
          <w:color w:val="000000"/>
          <w:kern w:val="0"/>
          <w:sz w:val="24"/>
        </w:rPr>
        <w:t>)</w:t>
      </w:r>
      <w:r>
        <w:rPr>
          <w:rFonts w:cs="宋体"/>
          <w:color w:val="000000"/>
          <w:kern w:val="0"/>
          <w:sz w:val="24"/>
        </w:rPr>
        <w:t>或拨打</w:t>
      </w:r>
      <w:r>
        <w:rPr>
          <w:rFonts w:hint="eastAsia"/>
          <w:sz w:val="24"/>
        </w:rPr>
        <w:t>客户服务热线：</w:t>
      </w:r>
      <w:r>
        <w:rPr>
          <w:rFonts w:hint="eastAsia"/>
          <w:sz w:val="24"/>
        </w:rPr>
        <w:t>95105686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4008880688</w:t>
      </w:r>
      <w:r>
        <w:rPr>
          <w:rFonts w:hint="eastAsia"/>
          <w:sz w:val="24"/>
        </w:rPr>
        <w:t>（全国统一，均免长途话费）</w:t>
      </w:r>
      <w:r>
        <w:rPr>
          <w:rFonts w:cs="宋体"/>
          <w:color w:val="000000"/>
          <w:kern w:val="0"/>
          <w:sz w:val="24"/>
        </w:rPr>
        <w:t>咨询相关情况。敬请投资者及早做好交易安排</w:t>
      </w:r>
      <w:r>
        <w:rPr>
          <w:rFonts w:cs="宋体" w:hint="eastAsia"/>
          <w:color w:val="000000"/>
          <w:kern w:val="0"/>
          <w:sz w:val="24"/>
        </w:rPr>
        <w:t>，</w:t>
      </w:r>
      <w:r>
        <w:rPr>
          <w:rFonts w:cs="宋体"/>
          <w:color w:val="000000"/>
          <w:kern w:val="0"/>
          <w:sz w:val="24"/>
        </w:rPr>
        <w:t>避免因假期原因带来不便。</w:t>
      </w:r>
      <w:r>
        <w:rPr>
          <w:rFonts w:cs="宋体"/>
          <w:color w:val="000000"/>
          <w:kern w:val="0"/>
          <w:sz w:val="24"/>
        </w:rPr>
        <w:t xml:space="preserve"> </w:t>
      </w:r>
    </w:p>
    <w:p w:rsidR="00FA4E50" w:rsidRDefault="00613078">
      <w:pPr>
        <w:spacing w:line="360" w:lineRule="auto"/>
        <w:ind w:firstLineChars="200" w:firstLine="482"/>
        <w:rPr>
          <w:rFonts w:cs="宋体"/>
          <w:b/>
          <w:bCs/>
          <w:color w:val="000000"/>
          <w:kern w:val="0"/>
          <w:sz w:val="24"/>
        </w:rPr>
      </w:pPr>
      <w:r>
        <w:rPr>
          <w:rFonts w:cs="宋体" w:hint="eastAsia"/>
          <w:b/>
          <w:bCs/>
          <w:color w:val="000000"/>
          <w:kern w:val="0"/>
          <w:sz w:val="24"/>
        </w:rPr>
        <w:t>风险提示：</w:t>
      </w:r>
    </w:p>
    <w:p w:rsidR="00FA4E50" w:rsidRDefault="00613078">
      <w:pPr>
        <w:spacing w:line="360" w:lineRule="auto"/>
        <w:ind w:firstLineChars="200" w:firstLine="480"/>
        <w:rPr>
          <w:rFonts w:cs="宋体"/>
          <w:color w:val="000000"/>
          <w:kern w:val="0"/>
          <w:sz w:val="24"/>
        </w:rPr>
      </w:pPr>
      <w:r>
        <w:rPr>
          <w:rFonts w:cs="宋体" w:hint="eastAsia"/>
          <w:color w:val="000000"/>
          <w:kern w:val="0"/>
          <w:sz w:val="24"/>
        </w:rPr>
        <w:t>本公司承诺以诚实信用、勤勉尽责的原则管理和运用基金资产，但不保证基金一定盈利，也不保证最低收益。敬请投资者注意投资风险。投资者投资于相关基金前应认真阅读基金的基金合同、更新的招募说明书及产品资料概要等法律文件。</w:t>
      </w:r>
    </w:p>
    <w:p w:rsidR="00FA4E50" w:rsidRDefault="00FA4E50">
      <w:pPr>
        <w:spacing w:line="360" w:lineRule="auto"/>
        <w:ind w:firstLineChars="200" w:firstLine="480"/>
        <w:rPr>
          <w:rFonts w:cs="宋体"/>
          <w:color w:val="000000"/>
          <w:kern w:val="0"/>
          <w:sz w:val="24"/>
        </w:rPr>
      </w:pPr>
      <w:bookmarkStart w:id="0" w:name="_GoBack"/>
      <w:bookmarkEnd w:id="0"/>
    </w:p>
    <w:p w:rsidR="00FA4E50" w:rsidRDefault="00613078">
      <w:pPr>
        <w:spacing w:line="360" w:lineRule="auto"/>
        <w:ind w:firstLineChars="2300" w:firstLine="5520"/>
        <w:rPr>
          <w:rFonts w:cs="宋体"/>
          <w:color w:val="000000"/>
          <w:kern w:val="0"/>
          <w:sz w:val="24"/>
        </w:rPr>
      </w:pPr>
      <w:r>
        <w:rPr>
          <w:rFonts w:cs="宋体" w:hint="eastAsia"/>
          <w:color w:val="000000"/>
          <w:kern w:val="0"/>
          <w:sz w:val="24"/>
        </w:rPr>
        <w:t>富国</w:t>
      </w:r>
      <w:r>
        <w:rPr>
          <w:rFonts w:cs="宋体"/>
          <w:color w:val="000000"/>
          <w:kern w:val="0"/>
          <w:sz w:val="24"/>
        </w:rPr>
        <w:t>基金管理有限公司</w:t>
      </w:r>
    </w:p>
    <w:p w:rsidR="00FA4E50" w:rsidRDefault="00613078">
      <w:pPr>
        <w:spacing w:line="360" w:lineRule="auto"/>
        <w:ind w:firstLineChars="2400" w:firstLine="5760"/>
        <w:rPr>
          <w:rFonts w:cs="宋体"/>
          <w:color w:val="000000"/>
          <w:kern w:val="0"/>
          <w:sz w:val="24"/>
        </w:rPr>
      </w:pPr>
      <w:r>
        <w:rPr>
          <w:rFonts w:cs="宋体"/>
          <w:color w:val="000000"/>
          <w:kern w:val="0"/>
          <w:sz w:val="24"/>
        </w:rPr>
        <w:t>2024</w:t>
      </w:r>
      <w:r>
        <w:rPr>
          <w:rFonts w:cs="宋体"/>
          <w:color w:val="000000"/>
          <w:kern w:val="0"/>
          <w:sz w:val="24"/>
        </w:rPr>
        <w:t>年</w:t>
      </w:r>
      <w:r>
        <w:rPr>
          <w:rFonts w:cs="宋体"/>
          <w:color w:val="000000"/>
          <w:kern w:val="0"/>
          <w:sz w:val="24"/>
        </w:rPr>
        <w:t>1</w:t>
      </w:r>
      <w:r>
        <w:rPr>
          <w:rFonts w:cs="宋体"/>
          <w:color w:val="000000"/>
          <w:kern w:val="0"/>
          <w:sz w:val="24"/>
        </w:rPr>
        <w:t>月</w:t>
      </w:r>
      <w:r>
        <w:rPr>
          <w:rFonts w:cs="宋体"/>
          <w:color w:val="000000"/>
          <w:kern w:val="0"/>
          <w:sz w:val="24"/>
        </w:rPr>
        <w:t>2</w:t>
      </w:r>
      <w:r>
        <w:rPr>
          <w:rFonts w:cs="宋体"/>
          <w:color w:val="000000"/>
          <w:kern w:val="0"/>
          <w:sz w:val="24"/>
        </w:rPr>
        <w:t>日</w:t>
      </w:r>
    </w:p>
    <w:p w:rsidR="00FA4E50" w:rsidRDefault="00FA4E50">
      <w:pPr>
        <w:spacing w:line="360" w:lineRule="auto"/>
        <w:rPr>
          <w:sz w:val="24"/>
        </w:rPr>
      </w:pPr>
    </w:p>
    <w:sectPr w:rsidR="00FA4E50" w:rsidSect="00B350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zhiZDlkNTE1MjFkZWJlMThkZmQwMTNkMTc0MDE4NGEifQ=="/>
  </w:docVars>
  <w:rsids>
    <w:rsidRoot w:val="00BA79B0"/>
    <w:rsid w:val="00004743"/>
    <w:rsid w:val="00021E7C"/>
    <w:rsid w:val="000236D8"/>
    <w:rsid w:val="000464C1"/>
    <w:rsid w:val="000609BB"/>
    <w:rsid w:val="00062DF9"/>
    <w:rsid w:val="000C042D"/>
    <w:rsid w:val="000F5257"/>
    <w:rsid w:val="00102666"/>
    <w:rsid w:val="00105713"/>
    <w:rsid w:val="00110F9D"/>
    <w:rsid w:val="00124292"/>
    <w:rsid w:val="00126DAB"/>
    <w:rsid w:val="00150B05"/>
    <w:rsid w:val="00152DCB"/>
    <w:rsid w:val="00163058"/>
    <w:rsid w:val="00175A3E"/>
    <w:rsid w:val="001835C1"/>
    <w:rsid w:val="001970A3"/>
    <w:rsid w:val="001E4C72"/>
    <w:rsid w:val="00201B0E"/>
    <w:rsid w:val="002028DD"/>
    <w:rsid w:val="00226825"/>
    <w:rsid w:val="00227D78"/>
    <w:rsid w:val="002322FA"/>
    <w:rsid w:val="00240F5A"/>
    <w:rsid w:val="00242A42"/>
    <w:rsid w:val="002708E7"/>
    <w:rsid w:val="00290B78"/>
    <w:rsid w:val="002B2A25"/>
    <w:rsid w:val="002C3D38"/>
    <w:rsid w:val="002D42AE"/>
    <w:rsid w:val="002D7B66"/>
    <w:rsid w:val="002F3DDE"/>
    <w:rsid w:val="00304C00"/>
    <w:rsid w:val="003052AE"/>
    <w:rsid w:val="00320B6F"/>
    <w:rsid w:val="003423E1"/>
    <w:rsid w:val="003446CC"/>
    <w:rsid w:val="0036255E"/>
    <w:rsid w:val="0036261B"/>
    <w:rsid w:val="00394211"/>
    <w:rsid w:val="003A12EB"/>
    <w:rsid w:val="003A3341"/>
    <w:rsid w:val="003B1794"/>
    <w:rsid w:val="003B1D26"/>
    <w:rsid w:val="003B26A8"/>
    <w:rsid w:val="003E4F46"/>
    <w:rsid w:val="003E766F"/>
    <w:rsid w:val="003F6AFB"/>
    <w:rsid w:val="00423E42"/>
    <w:rsid w:val="0046516C"/>
    <w:rsid w:val="004762A6"/>
    <w:rsid w:val="00482282"/>
    <w:rsid w:val="0048356A"/>
    <w:rsid w:val="004A1839"/>
    <w:rsid w:val="004C180B"/>
    <w:rsid w:val="004D46DC"/>
    <w:rsid w:val="00526B03"/>
    <w:rsid w:val="00544217"/>
    <w:rsid w:val="005468B9"/>
    <w:rsid w:val="00546F8D"/>
    <w:rsid w:val="005962BB"/>
    <w:rsid w:val="005A20B8"/>
    <w:rsid w:val="005B2610"/>
    <w:rsid w:val="005B27CD"/>
    <w:rsid w:val="005B6660"/>
    <w:rsid w:val="005E27C7"/>
    <w:rsid w:val="00613078"/>
    <w:rsid w:val="006179B7"/>
    <w:rsid w:val="00646B8C"/>
    <w:rsid w:val="006524EF"/>
    <w:rsid w:val="006901CF"/>
    <w:rsid w:val="00695848"/>
    <w:rsid w:val="006A1F93"/>
    <w:rsid w:val="006C3EB6"/>
    <w:rsid w:val="006E47BD"/>
    <w:rsid w:val="00704958"/>
    <w:rsid w:val="00712F5F"/>
    <w:rsid w:val="00713925"/>
    <w:rsid w:val="007601F0"/>
    <w:rsid w:val="00760E57"/>
    <w:rsid w:val="007615F4"/>
    <w:rsid w:val="00797CE0"/>
    <w:rsid w:val="00797D85"/>
    <w:rsid w:val="007B5BC6"/>
    <w:rsid w:val="00805B57"/>
    <w:rsid w:val="008077DF"/>
    <w:rsid w:val="008131AF"/>
    <w:rsid w:val="00822F57"/>
    <w:rsid w:val="008308F6"/>
    <w:rsid w:val="00833164"/>
    <w:rsid w:val="00836F0B"/>
    <w:rsid w:val="008371AC"/>
    <w:rsid w:val="0084362E"/>
    <w:rsid w:val="008437B5"/>
    <w:rsid w:val="00844E13"/>
    <w:rsid w:val="0087063D"/>
    <w:rsid w:val="00893CBB"/>
    <w:rsid w:val="008D4CB3"/>
    <w:rsid w:val="008E2103"/>
    <w:rsid w:val="008E552A"/>
    <w:rsid w:val="00905EC1"/>
    <w:rsid w:val="009461E6"/>
    <w:rsid w:val="00965F1B"/>
    <w:rsid w:val="00972D1F"/>
    <w:rsid w:val="00976151"/>
    <w:rsid w:val="009A5D11"/>
    <w:rsid w:val="009A6CB8"/>
    <w:rsid w:val="009D238E"/>
    <w:rsid w:val="009D5B7E"/>
    <w:rsid w:val="009E1F02"/>
    <w:rsid w:val="009E559F"/>
    <w:rsid w:val="00A1445B"/>
    <w:rsid w:val="00A3659C"/>
    <w:rsid w:val="00A86913"/>
    <w:rsid w:val="00A8782E"/>
    <w:rsid w:val="00A97917"/>
    <w:rsid w:val="00AF49D9"/>
    <w:rsid w:val="00B1607C"/>
    <w:rsid w:val="00B176E8"/>
    <w:rsid w:val="00B3502C"/>
    <w:rsid w:val="00B756B2"/>
    <w:rsid w:val="00B858EF"/>
    <w:rsid w:val="00B9052F"/>
    <w:rsid w:val="00B97F46"/>
    <w:rsid w:val="00BA4A8E"/>
    <w:rsid w:val="00BA79B0"/>
    <w:rsid w:val="00BB18C8"/>
    <w:rsid w:val="00BB4A5A"/>
    <w:rsid w:val="00BD79B2"/>
    <w:rsid w:val="00C0323B"/>
    <w:rsid w:val="00C11039"/>
    <w:rsid w:val="00C16FD2"/>
    <w:rsid w:val="00C254A2"/>
    <w:rsid w:val="00C378A8"/>
    <w:rsid w:val="00C477CE"/>
    <w:rsid w:val="00C47992"/>
    <w:rsid w:val="00C47AD6"/>
    <w:rsid w:val="00C65D45"/>
    <w:rsid w:val="00C839AB"/>
    <w:rsid w:val="00CA59C5"/>
    <w:rsid w:val="00CC630A"/>
    <w:rsid w:val="00CF2D87"/>
    <w:rsid w:val="00D01550"/>
    <w:rsid w:val="00D23182"/>
    <w:rsid w:val="00D33351"/>
    <w:rsid w:val="00D727BA"/>
    <w:rsid w:val="00D76204"/>
    <w:rsid w:val="00D91DF2"/>
    <w:rsid w:val="00DB7BBB"/>
    <w:rsid w:val="00DD4659"/>
    <w:rsid w:val="00DE540C"/>
    <w:rsid w:val="00E20800"/>
    <w:rsid w:val="00E2602A"/>
    <w:rsid w:val="00E63D7F"/>
    <w:rsid w:val="00E72774"/>
    <w:rsid w:val="00E73F53"/>
    <w:rsid w:val="00E928F8"/>
    <w:rsid w:val="00E951AC"/>
    <w:rsid w:val="00EA55FD"/>
    <w:rsid w:val="00EA707D"/>
    <w:rsid w:val="00EB2D52"/>
    <w:rsid w:val="00EB4302"/>
    <w:rsid w:val="00ED13E3"/>
    <w:rsid w:val="00EF3E4F"/>
    <w:rsid w:val="00F00992"/>
    <w:rsid w:val="00F04D92"/>
    <w:rsid w:val="00F54594"/>
    <w:rsid w:val="00F80D42"/>
    <w:rsid w:val="00F90045"/>
    <w:rsid w:val="00FA4E50"/>
    <w:rsid w:val="00FC1140"/>
    <w:rsid w:val="01AA257A"/>
    <w:rsid w:val="08A34DB8"/>
    <w:rsid w:val="09D010D3"/>
    <w:rsid w:val="12576123"/>
    <w:rsid w:val="12CB244C"/>
    <w:rsid w:val="1D9C7F1D"/>
    <w:rsid w:val="1E073507"/>
    <w:rsid w:val="23AB7BEC"/>
    <w:rsid w:val="25CF35A3"/>
    <w:rsid w:val="265E3135"/>
    <w:rsid w:val="299D4150"/>
    <w:rsid w:val="2A847B4D"/>
    <w:rsid w:val="2B75075B"/>
    <w:rsid w:val="2BA430F5"/>
    <w:rsid w:val="332564A5"/>
    <w:rsid w:val="348220C7"/>
    <w:rsid w:val="3898412A"/>
    <w:rsid w:val="39471586"/>
    <w:rsid w:val="3CD535D8"/>
    <w:rsid w:val="3E091B78"/>
    <w:rsid w:val="402B660B"/>
    <w:rsid w:val="44997A66"/>
    <w:rsid w:val="4DE91E1F"/>
    <w:rsid w:val="4E837199"/>
    <w:rsid w:val="54BF3966"/>
    <w:rsid w:val="5D7B5392"/>
    <w:rsid w:val="5E637579"/>
    <w:rsid w:val="60605E2E"/>
    <w:rsid w:val="62BC2162"/>
    <w:rsid w:val="66C06B20"/>
    <w:rsid w:val="6C6F75E5"/>
    <w:rsid w:val="70B331F3"/>
    <w:rsid w:val="760530E6"/>
    <w:rsid w:val="7D335CF6"/>
    <w:rsid w:val="7DBA2930"/>
    <w:rsid w:val="7F242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uiPriority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Table" w:qFormat="1"/>
    <w:lsdException w:name="annotation subject" w:qFormat="1"/>
    <w:lsdException w:name="Balloon Text" w:qFormat="1"/>
    <w:lsdException w:name="Table Grid" w:uiPriority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02C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Char"/>
    <w:qFormat/>
    <w:rsid w:val="00B3502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sid w:val="00B3502C"/>
    <w:rPr>
      <w:rFonts w:ascii="宋体"/>
      <w:sz w:val="18"/>
      <w:szCs w:val="18"/>
    </w:rPr>
  </w:style>
  <w:style w:type="paragraph" w:styleId="a4">
    <w:name w:val="annotation text"/>
    <w:basedOn w:val="a"/>
    <w:link w:val="Char0"/>
    <w:unhideWhenUsed/>
    <w:qFormat/>
    <w:rsid w:val="00B3502C"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qFormat/>
    <w:rsid w:val="00B3502C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B350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B350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4"/>
    <w:next w:val="a4"/>
    <w:link w:val="Char4"/>
    <w:uiPriority w:val="99"/>
    <w:semiHidden/>
    <w:unhideWhenUsed/>
    <w:qFormat/>
    <w:rsid w:val="00B3502C"/>
    <w:rPr>
      <w:b/>
      <w:bCs/>
    </w:rPr>
  </w:style>
  <w:style w:type="table" w:styleId="a9">
    <w:name w:val="Table Grid"/>
    <w:basedOn w:val="a1"/>
    <w:qFormat/>
    <w:rsid w:val="00B35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qFormat/>
    <w:rsid w:val="00B3502C"/>
    <w:rPr>
      <w:color w:val="0000FF"/>
      <w:u w:val="single"/>
    </w:rPr>
  </w:style>
  <w:style w:type="character" w:styleId="ab">
    <w:name w:val="annotation reference"/>
    <w:basedOn w:val="a0"/>
    <w:unhideWhenUsed/>
    <w:qFormat/>
    <w:rsid w:val="00B3502C"/>
    <w:rPr>
      <w:sz w:val="21"/>
      <w:szCs w:val="21"/>
    </w:rPr>
  </w:style>
  <w:style w:type="character" w:customStyle="1" w:styleId="3Char">
    <w:name w:val="标题 3 Char"/>
    <w:basedOn w:val="a0"/>
    <w:link w:val="3"/>
    <w:qFormat/>
    <w:rsid w:val="00B3502C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Char3">
    <w:name w:val="页眉 Char"/>
    <w:basedOn w:val="a0"/>
    <w:link w:val="a7"/>
    <w:uiPriority w:val="99"/>
    <w:qFormat/>
    <w:rsid w:val="00B3502C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B3502C"/>
    <w:rPr>
      <w:rFonts w:ascii="Times New Roman" w:eastAsia="宋体" w:hAnsi="Times New Roman" w:cs="Times New Roman"/>
      <w:sz w:val="18"/>
      <w:szCs w:val="18"/>
    </w:rPr>
  </w:style>
  <w:style w:type="character" w:customStyle="1" w:styleId="apple-style-span">
    <w:name w:val="apple-style-span"/>
    <w:basedOn w:val="a0"/>
    <w:qFormat/>
    <w:rsid w:val="00B3502C"/>
  </w:style>
  <w:style w:type="character" w:customStyle="1" w:styleId="Char">
    <w:name w:val="文档结构图 Char"/>
    <w:basedOn w:val="a0"/>
    <w:link w:val="a3"/>
    <w:uiPriority w:val="99"/>
    <w:semiHidden/>
    <w:qFormat/>
    <w:rsid w:val="00B3502C"/>
    <w:rPr>
      <w:rFonts w:ascii="宋体" w:eastAsia="宋体" w:hAnsi="Times New Roman" w:cs="Times New Roman"/>
      <w:sz w:val="18"/>
      <w:szCs w:val="18"/>
    </w:rPr>
  </w:style>
  <w:style w:type="character" w:customStyle="1" w:styleId="Char0">
    <w:name w:val="批注文字 Char"/>
    <w:basedOn w:val="a0"/>
    <w:link w:val="a4"/>
    <w:qFormat/>
    <w:rsid w:val="00B3502C"/>
    <w:rPr>
      <w:rFonts w:ascii="Times New Roman" w:eastAsia="宋体" w:hAnsi="Times New Roman" w:cs="Times New Roman"/>
      <w:szCs w:val="24"/>
    </w:rPr>
  </w:style>
  <w:style w:type="character" w:customStyle="1" w:styleId="Char4">
    <w:name w:val="批注主题 Char"/>
    <w:basedOn w:val="Char0"/>
    <w:link w:val="a8"/>
    <w:uiPriority w:val="99"/>
    <w:semiHidden/>
    <w:qFormat/>
    <w:rsid w:val="00B3502C"/>
    <w:rPr>
      <w:rFonts w:ascii="Times New Roman" w:eastAsia="宋体" w:hAnsi="Times New Roman" w:cs="Times New Roman"/>
      <w:b/>
      <w:bCs/>
      <w:szCs w:val="24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B3502C"/>
    <w:rPr>
      <w:rFonts w:ascii="Times New Roman" w:eastAsia="宋体" w:hAnsi="Times New Roman" w:cs="Times New Roman"/>
      <w:sz w:val="18"/>
      <w:szCs w:val="18"/>
    </w:rPr>
  </w:style>
  <w:style w:type="character" w:customStyle="1" w:styleId="font01">
    <w:name w:val="font01"/>
    <w:basedOn w:val="a0"/>
    <w:qFormat/>
    <w:rsid w:val="00B3502C"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fullgoal.com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2ADBE-74D5-415A-8C8F-CBAB2EB3D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907</Characters>
  <Application>Microsoft Office Word</Application>
  <DocSecurity>4</DocSecurity>
  <Lines>7</Lines>
  <Paragraphs>2</Paragraphs>
  <ScaleCrop>false</ScaleCrop>
  <Company>Microsoft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富国基金管理有限公司关于旗下部分基金2024年境外主要市场（中国香港）节假日暂停申购、赎回等业务的公告</dc:title>
  <dc:creator>富国基金</dc:creator>
  <cp:lastModifiedBy>ZHONGM</cp:lastModifiedBy>
  <cp:revision>2</cp:revision>
  <cp:lastPrinted>2018-12-24T08:42:00Z</cp:lastPrinted>
  <dcterms:created xsi:type="dcterms:W3CDTF">2023-12-31T16:01:00Z</dcterms:created>
  <dcterms:modified xsi:type="dcterms:W3CDTF">2023-12-31T16:01:00Z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2052-11.8.2.11473</vt:lpwstr>
  </property>
  <property fmtid="{D5CDD505-2E9C-101B-9397-08002B2CF9AE}" pid="3" name="ICV">
    <vt:lpwstr>94163B72A58D4243BFB26F6FD238D00F</vt:lpwstr>
  </property>
</Properties>
</file>