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86" w:rsidRDefault="002A0C86">
      <w:pPr>
        <w:ind w:firstLineChars="0" w:firstLine="0"/>
        <w:jc w:val="center"/>
        <w:rPr>
          <w:rFonts w:hint="eastAsia"/>
          <w:b/>
          <w:bCs/>
          <w:color w:val="000000"/>
          <w:sz w:val="28"/>
        </w:rPr>
      </w:pPr>
      <w:bookmarkStart w:id="0" w:name="_Toc249760023"/>
      <w:r>
        <w:rPr>
          <w:rFonts w:hint="eastAsia"/>
          <w:b/>
          <w:bCs/>
          <w:color w:val="000000"/>
          <w:sz w:val="28"/>
        </w:rPr>
        <w:t>民生加银优享</w:t>
      </w:r>
      <w:r>
        <w:rPr>
          <w:rFonts w:hint="eastAsia"/>
          <w:b/>
          <w:bCs/>
          <w:color w:val="000000"/>
          <w:sz w:val="28"/>
        </w:rPr>
        <w:t>6</w:t>
      </w:r>
      <w:r>
        <w:rPr>
          <w:rFonts w:hint="eastAsia"/>
          <w:b/>
          <w:bCs/>
          <w:color w:val="000000"/>
          <w:sz w:val="28"/>
        </w:rPr>
        <w:t>个月定期开放混合型基金中基金（</w:t>
      </w:r>
      <w:r>
        <w:rPr>
          <w:rFonts w:hint="eastAsia"/>
          <w:b/>
          <w:bCs/>
          <w:color w:val="000000"/>
          <w:sz w:val="28"/>
        </w:rPr>
        <w:t>FOF-LOF</w:t>
      </w:r>
      <w:r>
        <w:rPr>
          <w:rFonts w:hint="eastAsia"/>
          <w:b/>
          <w:bCs/>
          <w:color w:val="000000"/>
          <w:sz w:val="28"/>
        </w:rPr>
        <w:t>）</w:t>
      </w:r>
    </w:p>
    <w:p w:rsidR="002A0C86" w:rsidRDefault="002A0C86">
      <w:pPr>
        <w:ind w:firstLineChars="0" w:firstLine="0"/>
        <w:jc w:val="center"/>
        <w:rPr>
          <w:rFonts w:hint="eastAsia"/>
          <w:b/>
          <w:bCs/>
          <w:color w:val="000000"/>
          <w:sz w:val="28"/>
        </w:rPr>
      </w:pPr>
      <w:r>
        <w:rPr>
          <w:rFonts w:hint="eastAsia"/>
          <w:b/>
          <w:bCs/>
          <w:color w:val="000000"/>
          <w:sz w:val="28"/>
        </w:rPr>
        <w:t>开放申购、赎回业务的公告</w:t>
      </w:r>
    </w:p>
    <w:p w:rsidR="002A0C86" w:rsidRDefault="002A0C86">
      <w:pPr>
        <w:ind w:firstLineChars="0" w:firstLine="0"/>
        <w:jc w:val="center"/>
        <w:rPr>
          <w:rFonts w:hint="eastAsia"/>
          <w:bCs/>
          <w:color w:val="000000"/>
          <w:sz w:val="24"/>
        </w:rPr>
      </w:pPr>
      <w:r>
        <w:rPr>
          <w:rFonts w:hint="eastAsia"/>
          <w:bCs/>
          <w:color w:val="000000"/>
          <w:sz w:val="24"/>
        </w:rPr>
        <w:t>公告送出日期：</w:t>
      </w:r>
      <w:r w:rsidR="00C639CF">
        <w:rPr>
          <w:rFonts w:hint="eastAsia"/>
          <w:bCs/>
          <w:color w:val="000000"/>
          <w:sz w:val="24"/>
        </w:rPr>
        <w:t>2024</w:t>
      </w:r>
      <w:r w:rsidR="00C639CF">
        <w:rPr>
          <w:rFonts w:hint="eastAsia"/>
          <w:bCs/>
          <w:color w:val="000000"/>
          <w:sz w:val="24"/>
        </w:rPr>
        <w:t>年</w:t>
      </w:r>
      <w:r w:rsidR="00C639CF">
        <w:rPr>
          <w:rFonts w:hint="eastAsia"/>
          <w:bCs/>
          <w:color w:val="000000"/>
          <w:sz w:val="24"/>
        </w:rPr>
        <w:t>1</w:t>
      </w:r>
      <w:r w:rsidR="00C639CF">
        <w:rPr>
          <w:rFonts w:hint="eastAsia"/>
          <w:bCs/>
          <w:color w:val="000000"/>
          <w:sz w:val="24"/>
        </w:rPr>
        <w:t>月</w:t>
      </w:r>
      <w:r w:rsidR="00C639CF">
        <w:rPr>
          <w:rFonts w:hint="eastAsia"/>
          <w:bCs/>
          <w:color w:val="000000"/>
          <w:sz w:val="24"/>
        </w:rPr>
        <w:t>2</w:t>
      </w:r>
      <w:r w:rsidR="00C639CF">
        <w:rPr>
          <w:rFonts w:hint="eastAsia"/>
          <w:bCs/>
          <w:color w:val="000000"/>
          <w:sz w:val="24"/>
        </w:rPr>
        <w:t>日</w:t>
      </w:r>
    </w:p>
    <w:p w:rsidR="002A0C86" w:rsidRDefault="002A0C86">
      <w:pPr>
        <w:pStyle w:val="a1"/>
        <w:spacing w:line="360" w:lineRule="auto"/>
        <w:jc w:val="left"/>
        <w:outlineLvl w:val="2"/>
        <w:rPr>
          <w:rFonts w:ascii="Times New Roman" w:hAnsi="Times New Roman" w:hint="eastAsia"/>
          <w:kern w:val="0"/>
          <w:sz w:val="24"/>
          <w:szCs w:val="24"/>
        </w:rPr>
      </w:pPr>
      <w:r>
        <w:rPr>
          <w:rFonts w:ascii="Times New Roman" w:hAnsi="Times New Roman" w:hint="eastAsia"/>
          <w:kern w:val="0"/>
          <w:sz w:val="24"/>
          <w:szCs w:val="24"/>
        </w:rPr>
        <w:t xml:space="preserve">1 </w:t>
      </w:r>
      <w:r>
        <w:rPr>
          <w:rFonts w:ascii="Times New Roman" w:hAnsi="Times New Roman" w:hint="eastAsia"/>
          <w:kern w:val="0"/>
          <w:sz w:val="24"/>
          <w:szCs w:val="24"/>
        </w:rPr>
        <w:t>公告基本信息</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gridCol w:w="5583"/>
      </w:tblGrid>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基金名称</w:t>
            </w:r>
            <w:r>
              <w:rPr>
                <w:rFonts w:hint="eastAsia"/>
                <w:sz w:val="24"/>
              </w:rPr>
              <w:t xml:space="preserve"> </w:t>
            </w:r>
          </w:p>
        </w:tc>
        <w:tc>
          <w:tcPr>
            <w:tcW w:w="5583" w:type="dxa"/>
            <w:noWrap/>
          </w:tcPr>
          <w:p w:rsidR="002A0C86" w:rsidRDefault="002A0C86">
            <w:pPr>
              <w:ind w:firstLineChars="0" w:firstLine="0"/>
              <w:rPr>
                <w:rFonts w:hint="eastAsia"/>
                <w:sz w:val="24"/>
              </w:rPr>
            </w:pPr>
            <w:r>
              <w:rPr>
                <w:rFonts w:hint="eastAsia"/>
                <w:sz w:val="24"/>
              </w:rPr>
              <w:t>民生加银优享</w:t>
            </w:r>
            <w:r>
              <w:rPr>
                <w:rFonts w:hint="eastAsia"/>
                <w:sz w:val="24"/>
              </w:rPr>
              <w:t>6</w:t>
            </w:r>
            <w:r>
              <w:rPr>
                <w:rFonts w:hint="eastAsia"/>
                <w:sz w:val="24"/>
              </w:rPr>
              <w:t>个月定期开放混合型基金中基金（</w:t>
            </w:r>
            <w:r>
              <w:rPr>
                <w:rFonts w:hint="eastAsia"/>
                <w:sz w:val="24"/>
              </w:rPr>
              <w:t>FOF-LOF</w:t>
            </w:r>
            <w:r>
              <w:rPr>
                <w:rFonts w:hint="eastAsia"/>
                <w:sz w:val="24"/>
              </w:rPr>
              <w:t>）</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基金简称</w:t>
            </w:r>
            <w:r>
              <w:rPr>
                <w:rFonts w:hint="eastAsia"/>
                <w:sz w:val="24"/>
              </w:rPr>
              <w:t xml:space="preserve"> </w:t>
            </w:r>
          </w:p>
        </w:tc>
        <w:tc>
          <w:tcPr>
            <w:tcW w:w="5583" w:type="dxa"/>
            <w:noWrap/>
          </w:tcPr>
          <w:p w:rsidR="002A0C86" w:rsidRDefault="002A0C86">
            <w:pPr>
              <w:ind w:firstLineChars="0" w:firstLine="0"/>
              <w:rPr>
                <w:rFonts w:hint="eastAsia"/>
                <w:sz w:val="24"/>
              </w:rPr>
            </w:pPr>
            <w:r>
              <w:rPr>
                <w:rFonts w:hint="eastAsia"/>
                <w:sz w:val="24"/>
              </w:rPr>
              <w:t>民生加银优享</w:t>
            </w:r>
            <w:r>
              <w:rPr>
                <w:rFonts w:hint="eastAsia"/>
                <w:sz w:val="24"/>
              </w:rPr>
              <w:t>6</w:t>
            </w:r>
            <w:r>
              <w:rPr>
                <w:rFonts w:hint="eastAsia"/>
                <w:sz w:val="24"/>
              </w:rPr>
              <w:t>个月定开混合（</w:t>
            </w:r>
            <w:r>
              <w:rPr>
                <w:rFonts w:hint="eastAsia"/>
                <w:sz w:val="24"/>
              </w:rPr>
              <w:t>FOF-LOF</w:t>
            </w:r>
            <w:r>
              <w:rPr>
                <w:rFonts w:hint="eastAsia"/>
                <w:sz w:val="24"/>
              </w:rPr>
              <w:t>）</w:t>
            </w:r>
          </w:p>
        </w:tc>
      </w:tr>
      <w:tr w:rsidR="002A0C86">
        <w:trPr>
          <w:trHeight w:val="270"/>
          <w:jc w:val="center"/>
        </w:trPr>
        <w:tc>
          <w:tcPr>
            <w:tcW w:w="2724" w:type="dxa"/>
            <w:noWrap/>
          </w:tcPr>
          <w:p w:rsidR="002A0C86" w:rsidRDefault="002A0C86">
            <w:pPr>
              <w:ind w:firstLineChars="0" w:firstLine="0"/>
              <w:rPr>
                <w:rFonts w:hint="eastAsia"/>
                <w:sz w:val="24"/>
              </w:rPr>
            </w:pPr>
            <w:r>
              <w:rPr>
                <w:rFonts w:hint="eastAsia"/>
                <w:sz w:val="24"/>
              </w:rPr>
              <w:t>基金主代码</w:t>
            </w:r>
            <w:r>
              <w:rPr>
                <w:rFonts w:hint="eastAsia"/>
                <w:sz w:val="24"/>
              </w:rPr>
              <w:t xml:space="preserve"> </w:t>
            </w:r>
          </w:p>
        </w:tc>
        <w:tc>
          <w:tcPr>
            <w:tcW w:w="5583" w:type="dxa"/>
            <w:noWrap/>
          </w:tcPr>
          <w:p w:rsidR="002A0C86" w:rsidRDefault="002A0C86">
            <w:pPr>
              <w:ind w:firstLineChars="0" w:firstLine="0"/>
              <w:rPr>
                <w:rFonts w:hint="eastAsia"/>
                <w:sz w:val="24"/>
              </w:rPr>
            </w:pPr>
            <w:r>
              <w:rPr>
                <w:rFonts w:hint="eastAsia"/>
                <w:sz w:val="24"/>
              </w:rPr>
              <w:t>501211</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基金运作方式</w:t>
            </w:r>
          </w:p>
        </w:tc>
        <w:tc>
          <w:tcPr>
            <w:tcW w:w="5583" w:type="dxa"/>
            <w:noWrap/>
          </w:tcPr>
          <w:p w:rsidR="002A0C86" w:rsidRDefault="002A0C86">
            <w:pPr>
              <w:ind w:firstLineChars="0" w:firstLine="0"/>
              <w:rPr>
                <w:rFonts w:hint="eastAsia"/>
                <w:sz w:val="24"/>
              </w:rPr>
            </w:pPr>
            <w:r>
              <w:rPr>
                <w:rFonts w:hint="eastAsia"/>
                <w:sz w:val="24"/>
              </w:rPr>
              <w:t>契约型、定期开放式</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基金合同生效日</w:t>
            </w:r>
            <w:r>
              <w:rPr>
                <w:rFonts w:hint="eastAsia"/>
                <w:sz w:val="24"/>
              </w:rPr>
              <w:t xml:space="preserve"> </w:t>
            </w:r>
          </w:p>
        </w:tc>
        <w:tc>
          <w:tcPr>
            <w:tcW w:w="5583" w:type="dxa"/>
            <w:noWrap/>
          </w:tcPr>
          <w:p w:rsidR="002A0C86" w:rsidRDefault="002A0C86">
            <w:pPr>
              <w:ind w:firstLineChars="0" w:firstLine="0"/>
              <w:rPr>
                <w:rFonts w:hint="eastAsia"/>
                <w:sz w:val="24"/>
              </w:rPr>
            </w:pPr>
            <w:r>
              <w:rPr>
                <w:rFonts w:hint="eastAsia"/>
                <w:sz w:val="24"/>
              </w:rPr>
              <w:t>2021</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基金管理人名称</w:t>
            </w:r>
            <w:r>
              <w:rPr>
                <w:rFonts w:hint="eastAsia"/>
                <w:sz w:val="24"/>
              </w:rPr>
              <w:t xml:space="preserve"> </w:t>
            </w:r>
          </w:p>
        </w:tc>
        <w:tc>
          <w:tcPr>
            <w:tcW w:w="5583" w:type="dxa"/>
            <w:noWrap/>
          </w:tcPr>
          <w:p w:rsidR="002A0C86" w:rsidRDefault="002A0C86">
            <w:pPr>
              <w:ind w:firstLineChars="0" w:firstLine="0"/>
              <w:rPr>
                <w:rFonts w:hint="eastAsia"/>
                <w:sz w:val="24"/>
              </w:rPr>
            </w:pPr>
            <w:r>
              <w:rPr>
                <w:rFonts w:hint="eastAsia"/>
                <w:sz w:val="24"/>
              </w:rPr>
              <w:t>民生加银基金管理有限公司</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基金托管人名称</w:t>
            </w:r>
            <w:r>
              <w:rPr>
                <w:rFonts w:hint="eastAsia"/>
                <w:sz w:val="24"/>
              </w:rPr>
              <w:t xml:space="preserve"> </w:t>
            </w:r>
          </w:p>
        </w:tc>
        <w:tc>
          <w:tcPr>
            <w:tcW w:w="5583" w:type="dxa"/>
            <w:noWrap/>
          </w:tcPr>
          <w:p w:rsidR="002A0C86" w:rsidRDefault="002A0C86">
            <w:pPr>
              <w:ind w:firstLineChars="0" w:firstLine="0"/>
              <w:rPr>
                <w:rFonts w:hint="eastAsia"/>
                <w:sz w:val="24"/>
              </w:rPr>
            </w:pPr>
            <w:r>
              <w:rPr>
                <w:rFonts w:hint="eastAsia"/>
                <w:sz w:val="24"/>
              </w:rPr>
              <w:t>北京银行股份有限公司</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基金注册登记机构名称</w:t>
            </w:r>
            <w:r>
              <w:rPr>
                <w:rFonts w:hint="eastAsia"/>
                <w:sz w:val="24"/>
              </w:rPr>
              <w:t xml:space="preserve"> </w:t>
            </w:r>
          </w:p>
        </w:tc>
        <w:tc>
          <w:tcPr>
            <w:tcW w:w="5583" w:type="dxa"/>
            <w:noWrap/>
          </w:tcPr>
          <w:p w:rsidR="002A0C86" w:rsidRDefault="002A0C86">
            <w:pPr>
              <w:ind w:firstLineChars="0" w:firstLine="0"/>
              <w:rPr>
                <w:rFonts w:hint="eastAsia"/>
                <w:sz w:val="24"/>
              </w:rPr>
            </w:pPr>
            <w:r>
              <w:rPr>
                <w:sz w:val="24"/>
              </w:rPr>
              <w:t>中国证券登记结算有限责任公司</w:t>
            </w:r>
          </w:p>
        </w:tc>
      </w:tr>
      <w:tr w:rsidR="002A0C86">
        <w:trPr>
          <w:trHeight w:val="1260"/>
          <w:jc w:val="center"/>
        </w:trPr>
        <w:tc>
          <w:tcPr>
            <w:tcW w:w="2724" w:type="dxa"/>
            <w:noWrap/>
          </w:tcPr>
          <w:p w:rsidR="002A0C86" w:rsidRDefault="002A0C86">
            <w:pPr>
              <w:ind w:firstLineChars="0" w:firstLine="0"/>
              <w:rPr>
                <w:rFonts w:hint="eastAsia"/>
                <w:sz w:val="24"/>
              </w:rPr>
            </w:pPr>
            <w:r>
              <w:rPr>
                <w:rFonts w:hint="eastAsia"/>
                <w:sz w:val="24"/>
              </w:rPr>
              <w:t>公告依据</w:t>
            </w:r>
            <w:r>
              <w:rPr>
                <w:rFonts w:hint="eastAsia"/>
                <w:sz w:val="24"/>
              </w:rPr>
              <w:t xml:space="preserve"> </w:t>
            </w:r>
          </w:p>
        </w:tc>
        <w:tc>
          <w:tcPr>
            <w:tcW w:w="5583" w:type="dxa"/>
            <w:noWrap/>
          </w:tcPr>
          <w:p w:rsidR="002A0C86" w:rsidRDefault="002A0C86">
            <w:pPr>
              <w:ind w:firstLineChars="0" w:firstLine="0"/>
              <w:rPr>
                <w:rFonts w:hint="eastAsia"/>
                <w:sz w:val="24"/>
              </w:rPr>
            </w:pPr>
            <w:r>
              <w:rPr>
                <w:rFonts w:hint="eastAsia"/>
                <w:sz w:val="24"/>
              </w:rPr>
              <w:t>《中华人民共和国证券投资基金法》、《公开募集证券投资基金运作管理办法》等法律法规以及《民生加银优享</w:t>
            </w:r>
            <w:r>
              <w:rPr>
                <w:rFonts w:hint="eastAsia"/>
                <w:sz w:val="24"/>
              </w:rPr>
              <w:t>6</w:t>
            </w:r>
            <w:r>
              <w:rPr>
                <w:rFonts w:hint="eastAsia"/>
                <w:sz w:val="24"/>
              </w:rPr>
              <w:t>个月定期开放混合型基金中基金（</w:t>
            </w:r>
            <w:r>
              <w:rPr>
                <w:rFonts w:hint="eastAsia"/>
                <w:sz w:val="24"/>
              </w:rPr>
              <w:t>FOF-LOF</w:t>
            </w:r>
            <w:r>
              <w:rPr>
                <w:rFonts w:hint="eastAsia"/>
                <w:sz w:val="24"/>
              </w:rPr>
              <w:t>）基金合同》、《民生加银优享</w:t>
            </w:r>
            <w:r>
              <w:rPr>
                <w:rFonts w:hint="eastAsia"/>
                <w:sz w:val="24"/>
              </w:rPr>
              <w:t>6</w:t>
            </w:r>
            <w:r>
              <w:rPr>
                <w:rFonts w:hint="eastAsia"/>
                <w:sz w:val="24"/>
              </w:rPr>
              <w:t>个月定期开放混合型基金中基金（</w:t>
            </w:r>
            <w:r>
              <w:rPr>
                <w:rFonts w:hint="eastAsia"/>
                <w:sz w:val="24"/>
              </w:rPr>
              <w:t>FOF-LOF</w:t>
            </w:r>
            <w:r>
              <w:rPr>
                <w:rFonts w:hint="eastAsia"/>
                <w:sz w:val="24"/>
              </w:rPr>
              <w:t>）招募说明书》及其更新</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申购起始日</w:t>
            </w:r>
          </w:p>
        </w:tc>
        <w:tc>
          <w:tcPr>
            <w:tcW w:w="5583" w:type="dxa"/>
            <w:noWrap/>
          </w:tcPr>
          <w:p w:rsidR="002A0C86" w:rsidRDefault="00C639CF">
            <w:pPr>
              <w:ind w:firstLineChars="0" w:firstLine="0"/>
              <w:rPr>
                <w:rFonts w:hint="eastAsia"/>
                <w:sz w:val="24"/>
              </w:rPr>
            </w:pPr>
            <w:r>
              <w:rPr>
                <w:rFonts w:hint="eastAsia"/>
                <w:bCs/>
                <w:color w:val="000000"/>
                <w:sz w:val="24"/>
              </w:rPr>
              <w:t>2024</w:t>
            </w:r>
            <w:r>
              <w:rPr>
                <w:rFonts w:hint="eastAsia"/>
                <w:bCs/>
                <w:color w:val="000000"/>
                <w:sz w:val="24"/>
              </w:rPr>
              <w:t>年</w:t>
            </w:r>
            <w:r>
              <w:rPr>
                <w:rFonts w:hint="eastAsia"/>
                <w:bCs/>
                <w:color w:val="000000"/>
                <w:sz w:val="24"/>
              </w:rPr>
              <w:t>1</w:t>
            </w:r>
            <w:r>
              <w:rPr>
                <w:rFonts w:hint="eastAsia"/>
                <w:bCs/>
                <w:color w:val="000000"/>
                <w:sz w:val="24"/>
              </w:rPr>
              <w:t>月</w:t>
            </w:r>
            <w:r>
              <w:rPr>
                <w:rFonts w:hint="eastAsia"/>
                <w:bCs/>
                <w:color w:val="000000"/>
                <w:sz w:val="24"/>
              </w:rPr>
              <w:t>8</w:t>
            </w:r>
            <w:r>
              <w:rPr>
                <w:rFonts w:hint="eastAsia"/>
                <w:bCs/>
                <w:color w:val="000000"/>
                <w:sz w:val="24"/>
              </w:rPr>
              <w:t>日</w:t>
            </w:r>
          </w:p>
        </w:tc>
      </w:tr>
      <w:tr w:rsidR="002A0C86">
        <w:trPr>
          <w:trHeight w:val="285"/>
          <w:jc w:val="center"/>
        </w:trPr>
        <w:tc>
          <w:tcPr>
            <w:tcW w:w="2724" w:type="dxa"/>
            <w:noWrap/>
          </w:tcPr>
          <w:p w:rsidR="002A0C86" w:rsidRDefault="002A0C86">
            <w:pPr>
              <w:ind w:firstLineChars="0" w:firstLine="0"/>
              <w:rPr>
                <w:rFonts w:hint="eastAsia"/>
                <w:sz w:val="24"/>
              </w:rPr>
            </w:pPr>
            <w:r>
              <w:rPr>
                <w:rFonts w:hint="eastAsia"/>
                <w:sz w:val="24"/>
              </w:rPr>
              <w:t>赎回起始日</w:t>
            </w:r>
          </w:p>
        </w:tc>
        <w:tc>
          <w:tcPr>
            <w:tcW w:w="5583" w:type="dxa"/>
            <w:noWrap/>
          </w:tcPr>
          <w:p w:rsidR="002A0C86" w:rsidRDefault="00C639CF">
            <w:pPr>
              <w:ind w:firstLineChars="0" w:firstLine="0"/>
            </w:pPr>
            <w:r>
              <w:rPr>
                <w:rFonts w:hint="eastAsia"/>
                <w:bCs/>
                <w:color w:val="000000"/>
                <w:sz w:val="24"/>
              </w:rPr>
              <w:t>2024</w:t>
            </w:r>
            <w:r>
              <w:rPr>
                <w:rFonts w:hint="eastAsia"/>
                <w:bCs/>
                <w:color w:val="000000"/>
                <w:sz w:val="24"/>
              </w:rPr>
              <w:t>年</w:t>
            </w:r>
            <w:r>
              <w:rPr>
                <w:rFonts w:hint="eastAsia"/>
                <w:bCs/>
                <w:color w:val="000000"/>
                <w:sz w:val="24"/>
              </w:rPr>
              <w:t>1</w:t>
            </w:r>
            <w:r>
              <w:rPr>
                <w:rFonts w:hint="eastAsia"/>
                <w:bCs/>
                <w:color w:val="000000"/>
                <w:sz w:val="24"/>
              </w:rPr>
              <w:t>月</w:t>
            </w:r>
            <w:r>
              <w:rPr>
                <w:rFonts w:hint="eastAsia"/>
                <w:bCs/>
                <w:color w:val="000000"/>
                <w:sz w:val="24"/>
              </w:rPr>
              <w:t>8</w:t>
            </w:r>
            <w:r>
              <w:rPr>
                <w:rFonts w:hint="eastAsia"/>
                <w:bCs/>
                <w:color w:val="000000"/>
                <w:sz w:val="24"/>
              </w:rPr>
              <w:t>日</w:t>
            </w:r>
          </w:p>
        </w:tc>
      </w:tr>
    </w:tbl>
    <w:bookmarkEnd w:id="0"/>
    <w:p w:rsidR="002A0C86" w:rsidRDefault="002A0C86">
      <w:pPr>
        <w:pStyle w:val="a1"/>
        <w:spacing w:before="0" w:after="0" w:line="360" w:lineRule="auto"/>
        <w:jc w:val="left"/>
        <w:outlineLvl w:val="9"/>
        <w:rPr>
          <w:rFonts w:ascii="Times New Roman" w:hAnsi="Times New Roman" w:hint="eastAsia"/>
          <w:b w:val="0"/>
          <w:kern w:val="0"/>
          <w:sz w:val="21"/>
          <w:szCs w:val="24"/>
        </w:rPr>
      </w:pPr>
      <w:r>
        <w:rPr>
          <w:rFonts w:ascii="Times New Roman" w:hAnsi="Times New Roman" w:hint="eastAsia"/>
          <w:b w:val="0"/>
          <w:kern w:val="0"/>
          <w:sz w:val="21"/>
          <w:szCs w:val="24"/>
        </w:rPr>
        <w:t>注：本基金场内基金简称：优享</w:t>
      </w:r>
      <w:r>
        <w:rPr>
          <w:rFonts w:ascii="Times New Roman" w:hAnsi="Times New Roman" w:hint="eastAsia"/>
          <w:b w:val="0"/>
          <w:kern w:val="0"/>
          <w:sz w:val="21"/>
          <w:szCs w:val="24"/>
        </w:rPr>
        <w:t>FOF</w:t>
      </w:r>
      <w:r>
        <w:rPr>
          <w:rFonts w:ascii="Times New Roman" w:hAnsi="Times New Roman" w:hint="eastAsia"/>
          <w:b w:val="0"/>
          <w:kern w:val="0"/>
          <w:sz w:val="21"/>
          <w:szCs w:val="24"/>
        </w:rPr>
        <w:t>。</w:t>
      </w:r>
    </w:p>
    <w:p w:rsidR="002A0C86" w:rsidRDefault="002A0C86">
      <w:pPr>
        <w:pStyle w:val="a1"/>
        <w:spacing w:line="360" w:lineRule="auto"/>
        <w:jc w:val="left"/>
        <w:outlineLvl w:val="2"/>
        <w:rPr>
          <w:rFonts w:ascii="Times New Roman" w:hAnsi="Times New Roman" w:hint="eastAsia"/>
          <w:kern w:val="0"/>
          <w:sz w:val="24"/>
          <w:szCs w:val="24"/>
        </w:rPr>
      </w:pPr>
      <w:r>
        <w:rPr>
          <w:rFonts w:ascii="Times New Roman" w:hAnsi="Times New Roman" w:hint="eastAsia"/>
          <w:kern w:val="0"/>
          <w:sz w:val="24"/>
          <w:szCs w:val="24"/>
        </w:rPr>
        <w:t xml:space="preserve">2 </w:t>
      </w:r>
      <w:r>
        <w:rPr>
          <w:rFonts w:ascii="Times New Roman" w:hAnsi="Times New Roman" w:hint="eastAsia"/>
          <w:kern w:val="0"/>
          <w:sz w:val="24"/>
          <w:szCs w:val="24"/>
        </w:rPr>
        <w:t>申购、赎回业务的办理时间</w:t>
      </w:r>
    </w:p>
    <w:p w:rsidR="002A0C86" w:rsidRDefault="002A0C86">
      <w:pPr>
        <w:pStyle w:val="a1"/>
        <w:spacing w:line="360" w:lineRule="auto"/>
        <w:jc w:val="left"/>
        <w:outlineLvl w:val="2"/>
        <w:rPr>
          <w:rFonts w:ascii="Times New Roman" w:hAnsi="Times New Roman" w:hint="eastAsia"/>
          <w:b w:val="0"/>
          <w:kern w:val="0"/>
          <w:sz w:val="24"/>
          <w:szCs w:val="24"/>
        </w:rPr>
      </w:pPr>
      <w:r>
        <w:rPr>
          <w:rFonts w:ascii="Times New Roman" w:hAnsi="Times New Roman" w:hint="eastAsia"/>
          <w:b w:val="0"/>
          <w:kern w:val="0"/>
          <w:sz w:val="24"/>
          <w:szCs w:val="24"/>
        </w:rPr>
        <w:t>2.1</w:t>
      </w:r>
      <w:r>
        <w:rPr>
          <w:rFonts w:ascii="Times New Roman" w:hAnsi="Times New Roman" w:hint="eastAsia"/>
          <w:b w:val="0"/>
          <w:kern w:val="0"/>
          <w:sz w:val="24"/>
          <w:szCs w:val="24"/>
        </w:rPr>
        <w:t>开放日</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根据本基金《基金合同》、《招募说明书》的规定，</w:t>
      </w:r>
      <w:r>
        <w:rPr>
          <w:rFonts w:cs="宋体" w:hint="eastAsia"/>
          <w:bCs/>
          <w:color w:val="1E1E1E"/>
          <w:kern w:val="0"/>
          <w:sz w:val="24"/>
        </w:rPr>
        <w:t>本基金的封闭期为自《基金合同》生效日起（包括该日）或每一个开放期结束之日的次日起（包括该日）至</w:t>
      </w:r>
      <w:r>
        <w:rPr>
          <w:rFonts w:cs="宋体" w:hint="eastAsia"/>
          <w:color w:val="1E1E1E"/>
          <w:kern w:val="0"/>
          <w:sz w:val="24"/>
        </w:rPr>
        <w:t>该封闭期首日所对应的</w:t>
      </w:r>
      <w:r>
        <w:rPr>
          <w:rFonts w:cs="宋体" w:hint="eastAsia"/>
          <w:bCs/>
          <w:color w:val="1E1E1E"/>
          <w:kern w:val="0"/>
          <w:sz w:val="24"/>
        </w:rPr>
        <w:t>6</w:t>
      </w:r>
      <w:r>
        <w:rPr>
          <w:rFonts w:cs="宋体" w:hint="eastAsia"/>
          <w:bCs/>
          <w:color w:val="1E1E1E"/>
          <w:kern w:val="0"/>
          <w:sz w:val="24"/>
        </w:rPr>
        <w:t>个月月度对日的前一日止。本基金自每个封闭期结束</w:t>
      </w:r>
      <w:r>
        <w:rPr>
          <w:rFonts w:cs="宋体" w:hint="eastAsia"/>
          <w:bCs/>
          <w:color w:val="1E1E1E"/>
          <w:kern w:val="0"/>
          <w:sz w:val="24"/>
        </w:rPr>
        <w:lastRenderedPageBreak/>
        <w:t>之后第一个工作日起（包括该日）进入开放期，期间可以办理申购与赎回业务。本基金每个开放期不少于</w:t>
      </w:r>
      <w:r>
        <w:rPr>
          <w:rFonts w:cs="宋体" w:hint="eastAsia"/>
          <w:bCs/>
          <w:color w:val="1E1E1E"/>
          <w:kern w:val="0"/>
          <w:sz w:val="24"/>
        </w:rPr>
        <w:t>5</w:t>
      </w:r>
      <w:r>
        <w:rPr>
          <w:rFonts w:cs="宋体" w:hint="eastAsia"/>
          <w:bCs/>
          <w:color w:val="1E1E1E"/>
          <w:kern w:val="0"/>
          <w:sz w:val="24"/>
        </w:rPr>
        <w:t>个工作日且最长不超过</w:t>
      </w:r>
      <w:r>
        <w:rPr>
          <w:rFonts w:cs="宋体" w:hint="eastAsia"/>
          <w:bCs/>
          <w:color w:val="1E1E1E"/>
          <w:kern w:val="0"/>
          <w:sz w:val="24"/>
        </w:rPr>
        <w:t>20</w:t>
      </w:r>
      <w:r>
        <w:rPr>
          <w:rFonts w:cs="宋体" w:hint="eastAsia"/>
          <w:bCs/>
          <w:color w:val="1E1E1E"/>
          <w:kern w:val="0"/>
          <w:sz w:val="24"/>
        </w:rPr>
        <w:t>个工作日，开放期的具体时间以基金管理人届时公告为准。如封闭期结束后或在开放期内发生不可抗力或其他情形致使基金无法按时开放申购与赎回业务，或依据基金合同需暂停申购或赎回业务的，开放期时间顺延，直至满足开放期的时间要求，具体时间以基金管理人届时公告为准。</w:t>
      </w:r>
      <w:r>
        <w:rPr>
          <w:rFonts w:cs="宋体" w:hint="eastAsia"/>
          <w:color w:val="1E1E1E"/>
          <w:kern w:val="0"/>
          <w:sz w:val="24"/>
        </w:rPr>
        <w:t xml:space="preserve"> </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本基金第</w:t>
      </w:r>
      <w:r w:rsidR="00C639CF">
        <w:rPr>
          <w:rFonts w:cs="宋体" w:hint="eastAsia"/>
          <w:color w:val="1E1E1E"/>
          <w:kern w:val="0"/>
          <w:sz w:val="24"/>
        </w:rPr>
        <w:t>四</w:t>
      </w:r>
      <w:r>
        <w:rPr>
          <w:rFonts w:cs="宋体" w:hint="eastAsia"/>
          <w:color w:val="1E1E1E"/>
          <w:kern w:val="0"/>
          <w:sz w:val="24"/>
        </w:rPr>
        <w:t>个封闭期为自</w:t>
      </w:r>
      <w:r w:rsidR="00C639CF">
        <w:rPr>
          <w:rFonts w:cs="宋体" w:hint="eastAsia"/>
          <w:color w:val="1E1E1E"/>
          <w:kern w:val="0"/>
          <w:sz w:val="24"/>
        </w:rPr>
        <w:t>2023</w:t>
      </w:r>
      <w:r w:rsidR="00C639CF">
        <w:rPr>
          <w:rFonts w:cs="宋体" w:hint="eastAsia"/>
          <w:color w:val="1E1E1E"/>
          <w:kern w:val="0"/>
          <w:sz w:val="24"/>
        </w:rPr>
        <w:t>年</w:t>
      </w:r>
      <w:r w:rsidR="00C639CF">
        <w:rPr>
          <w:rFonts w:cs="宋体" w:hint="eastAsia"/>
          <w:color w:val="1E1E1E"/>
          <w:kern w:val="0"/>
          <w:sz w:val="24"/>
        </w:rPr>
        <w:t>7</w:t>
      </w:r>
      <w:r w:rsidR="00C639CF">
        <w:rPr>
          <w:rFonts w:cs="宋体" w:hint="eastAsia"/>
          <w:color w:val="1E1E1E"/>
          <w:kern w:val="0"/>
          <w:sz w:val="24"/>
        </w:rPr>
        <w:t>月</w:t>
      </w:r>
      <w:r w:rsidR="00C639CF">
        <w:rPr>
          <w:rFonts w:cs="宋体" w:hint="eastAsia"/>
          <w:color w:val="1E1E1E"/>
          <w:kern w:val="0"/>
          <w:sz w:val="24"/>
        </w:rPr>
        <w:t>8</w:t>
      </w:r>
      <w:r w:rsidR="00C639CF">
        <w:rPr>
          <w:rFonts w:cs="宋体" w:hint="eastAsia"/>
          <w:color w:val="1E1E1E"/>
          <w:kern w:val="0"/>
          <w:sz w:val="24"/>
        </w:rPr>
        <w:t>日</w:t>
      </w:r>
      <w:r>
        <w:rPr>
          <w:rFonts w:cs="宋体" w:hint="eastAsia"/>
          <w:color w:val="1E1E1E"/>
          <w:kern w:val="0"/>
          <w:sz w:val="24"/>
        </w:rPr>
        <w:t>起至</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1</w:t>
      </w:r>
      <w:r w:rsidR="00C639CF">
        <w:rPr>
          <w:rFonts w:cs="宋体" w:hint="eastAsia"/>
          <w:color w:val="1E1E1E"/>
          <w:kern w:val="0"/>
          <w:sz w:val="24"/>
        </w:rPr>
        <w:t>月</w:t>
      </w:r>
      <w:r w:rsidR="00C639CF">
        <w:rPr>
          <w:rFonts w:cs="宋体" w:hint="eastAsia"/>
          <w:color w:val="1E1E1E"/>
          <w:kern w:val="0"/>
          <w:sz w:val="24"/>
        </w:rPr>
        <w:t>7</w:t>
      </w:r>
      <w:r w:rsidR="00C639CF">
        <w:rPr>
          <w:rFonts w:cs="宋体" w:hint="eastAsia"/>
          <w:color w:val="1E1E1E"/>
          <w:kern w:val="0"/>
          <w:sz w:val="24"/>
        </w:rPr>
        <w:t>日</w:t>
      </w:r>
      <w:r>
        <w:rPr>
          <w:rFonts w:cs="宋体" w:hint="eastAsia"/>
          <w:color w:val="1E1E1E"/>
          <w:kern w:val="0"/>
          <w:sz w:val="24"/>
        </w:rPr>
        <w:t>止。本基金第</w:t>
      </w:r>
      <w:r w:rsidR="00C639CF">
        <w:rPr>
          <w:rFonts w:cs="宋体" w:hint="eastAsia"/>
          <w:color w:val="1E1E1E"/>
          <w:kern w:val="0"/>
          <w:sz w:val="24"/>
        </w:rPr>
        <w:t>四</w:t>
      </w:r>
      <w:r>
        <w:rPr>
          <w:rFonts w:cs="宋体" w:hint="eastAsia"/>
          <w:color w:val="1E1E1E"/>
          <w:kern w:val="0"/>
          <w:sz w:val="24"/>
        </w:rPr>
        <w:t>次办理申购、赎回业务的开放期为</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1</w:t>
      </w:r>
      <w:r w:rsidR="00C639CF">
        <w:rPr>
          <w:rFonts w:cs="宋体" w:hint="eastAsia"/>
          <w:color w:val="1E1E1E"/>
          <w:kern w:val="0"/>
          <w:sz w:val="24"/>
        </w:rPr>
        <w:t>月</w:t>
      </w:r>
      <w:r w:rsidR="00C639CF">
        <w:rPr>
          <w:rFonts w:cs="宋体" w:hint="eastAsia"/>
          <w:color w:val="1E1E1E"/>
          <w:kern w:val="0"/>
          <w:sz w:val="24"/>
        </w:rPr>
        <w:t>7</w:t>
      </w:r>
      <w:r w:rsidR="00C639CF">
        <w:rPr>
          <w:rFonts w:cs="宋体" w:hint="eastAsia"/>
          <w:color w:val="1E1E1E"/>
          <w:kern w:val="0"/>
          <w:sz w:val="24"/>
        </w:rPr>
        <w:t>日</w:t>
      </w:r>
      <w:r>
        <w:rPr>
          <w:rFonts w:cs="宋体" w:hint="eastAsia"/>
          <w:color w:val="1E1E1E"/>
          <w:kern w:val="0"/>
          <w:sz w:val="24"/>
        </w:rPr>
        <w:t>之后第一个工作日起</w:t>
      </w:r>
      <w:r w:rsidR="00C639CF">
        <w:rPr>
          <w:rFonts w:cs="宋体" w:hint="eastAsia"/>
          <w:color w:val="1E1E1E"/>
          <w:kern w:val="0"/>
          <w:sz w:val="24"/>
        </w:rPr>
        <w:t>10</w:t>
      </w:r>
      <w:r>
        <w:rPr>
          <w:rFonts w:cs="宋体" w:hint="eastAsia"/>
          <w:color w:val="1E1E1E"/>
          <w:kern w:val="0"/>
          <w:sz w:val="24"/>
        </w:rPr>
        <w:t>个工作日的期间，即</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1</w:t>
      </w:r>
      <w:r w:rsidR="00C639CF">
        <w:rPr>
          <w:rFonts w:cs="宋体" w:hint="eastAsia"/>
          <w:color w:val="1E1E1E"/>
          <w:kern w:val="0"/>
          <w:sz w:val="24"/>
        </w:rPr>
        <w:t>月</w:t>
      </w:r>
      <w:r w:rsidR="00C639CF">
        <w:rPr>
          <w:rFonts w:cs="宋体" w:hint="eastAsia"/>
          <w:color w:val="1E1E1E"/>
          <w:kern w:val="0"/>
          <w:sz w:val="24"/>
        </w:rPr>
        <w:t>8</w:t>
      </w:r>
      <w:r w:rsidR="00C639CF">
        <w:rPr>
          <w:rFonts w:cs="宋体" w:hint="eastAsia"/>
          <w:color w:val="1E1E1E"/>
          <w:kern w:val="0"/>
          <w:sz w:val="24"/>
        </w:rPr>
        <w:t>日至</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1</w:t>
      </w:r>
      <w:r w:rsidR="00C639CF">
        <w:rPr>
          <w:rFonts w:cs="宋体" w:hint="eastAsia"/>
          <w:color w:val="1E1E1E"/>
          <w:kern w:val="0"/>
          <w:sz w:val="24"/>
        </w:rPr>
        <w:t>月</w:t>
      </w:r>
      <w:r w:rsidR="00C639CF">
        <w:rPr>
          <w:rFonts w:cs="宋体" w:hint="eastAsia"/>
          <w:color w:val="1E1E1E"/>
          <w:kern w:val="0"/>
          <w:sz w:val="24"/>
        </w:rPr>
        <w:t>19</w:t>
      </w:r>
      <w:r w:rsidR="00C639CF">
        <w:rPr>
          <w:rFonts w:cs="宋体" w:hint="eastAsia"/>
          <w:color w:val="1E1E1E"/>
          <w:kern w:val="0"/>
          <w:sz w:val="24"/>
        </w:rPr>
        <w:t>日</w:t>
      </w:r>
      <w:r w:rsidR="00893748">
        <w:rPr>
          <w:rFonts w:cs="宋体" w:hint="eastAsia"/>
          <w:color w:val="1E1E1E"/>
          <w:kern w:val="0"/>
          <w:sz w:val="24"/>
        </w:rPr>
        <w:t>，</w:t>
      </w:r>
      <w:r w:rsidR="00893748" w:rsidRPr="00893748">
        <w:rPr>
          <w:rFonts w:cs="宋体"/>
          <w:color w:val="1E1E1E"/>
          <w:kern w:val="0"/>
          <w:sz w:val="24"/>
        </w:rPr>
        <w:t>本基金在上述开放期内的每个工作日接受办理本基金份额的申购、赎回业务。</w:t>
      </w:r>
      <w:r>
        <w:rPr>
          <w:rFonts w:cs="宋体" w:hint="eastAsia"/>
          <w:color w:val="1E1E1E"/>
          <w:kern w:val="0"/>
          <w:sz w:val="24"/>
        </w:rPr>
        <w:t>自</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1</w:t>
      </w:r>
      <w:r w:rsidR="00C639CF">
        <w:rPr>
          <w:rFonts w:cs="宋体" w:hint="eastAsia"/>
          <w:color w:val="1E1E1E"/>
          <w:kern w:val="0"/>
          <w:sz w:val="24"/>
        </w:rPr>
        <w:t>月</w:t>
      </w:r>
      <w:r w:rsidR="00C639CF">
        <w:rPr>
          <w:rFonts w:cs="宋体" w:hint="eastAsia"/>
          <w:color w:val="1E1E1E"/>
          <w:kern w:val="0"/>
          <w:sz w:val="24"/>
        </w:rPr>
        <w:t>20</w:t>
      </w:r>
      <w:r w:rsidR="00C639CF">
        <w:rPr>
          <w:rFonts w:cs="宋体" w:hint="eastAsia"/>
          <w:color w:val="1E1E1E"/>
          <w:kern w:val="0"/>
          <w:sz w:val="24"/>
        </w:rPr>
        <w:t>日</w:t>
      </w:r>
      <w:r>
        <w:rPr>
          <w:rFonts w:cs="宋体" w:hint="eastAsia"/>
          <w:color w:val="1E1E1E"/>
          <w:kern w:val="0"/>
          <w:sz w:val="24"/>
        </w:rPr>
        <w:t>起至</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7</w:t>
      </w:r>
      <w:r w:rsidR="00C639CF">
        <w:rPr>
          <w:rFonts w:cs="宋体" w:hint="eastAsia"/>
          <w:color w:val="1E1E1E"/>
          <w:kern w:val="0"/>
          <w:sz w:val="24"/>
        </w:rPr>
        <w:t>月</w:t>
      </w:r>
      <w:r w:rsidR="00C639CF">
        <w:rPr>
          <w:rFonts w:cs="宋体" w:hint="eastAsia"/>
          <w:color w:val="1E1E1E"/>
          <w:kern w:val="0"/>
          <w:sz w:val="24"/>
        </w:rPr>
        <w:t>21</w:t>
      </w:r>
      <w:r w:rsidR="00C639CF">
        <w:rPr>
          <w:rFonts w:cs="宋体" w:hint="eastAsia"/>
          <w:color w:val="1E1E1E"/>
          <w:kern w:val="0"/>
          <w:sz w:val="24"/>
        </w:rPr>
        <w:t>日</w:t>
      </w:r>
      <w:r>
        <w:rPr>
          <w:rFonts w:cs="宋体" w:hint="eastAsia"/>
          <w:color w:val="1E1E1E"/>
          <w:kern w:val="0"/>
          <w:sz w:val="24"/>
        </w:rPr>
        <w:t>止，为本基金第</w:t>
      </w:r>
      <w:r w:rsidR="00C639CF">
        <w:rPr>
          <w:rFonts w:cs="宋体" w:hint="eastAsia"/>
          <w:color w:val="1E1E1E"/>
          <w:kern w:val="0"/>
          <w:sz w:val="24"/>
        </w:rPr>
        <w:t>五</w:t>
      </w:r>
      <w:r>
        <w:rPr>
          <w:rFonts w:cs="宋体" w:hint="eastAsia"/>
          <w:color w:val="1E1E1E"/>
          <w:kern w:val="0"/>
          <w:sz w:val="24"/>
        </w:rPr>
        <w:t>个封闭期，封闭期内本基金不办理申购、赎回业务。</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如在开放期内发生不可抗力或其他情形致使基金无法按时开放或需依据《基金合同》暂停申购与赎回业务的，基金管理人有权合理调整申购或赎回业务的办理期间并予以公告。</w:t>
      </w:r>
      <w:r>
        <w:rPr>
          <w:rFonts w:cs="宋体" w:hint="eastAsia"/>
          <w:color w:val="1E1E1E"/>
          <w:kern w:val="0"/>
          <w:sz w:val="24"/>
        </w:rPr>
        <w:t xml:space="preserve"> </w:t>
      </w:r>
    </w:p>
    <w:p w:rsidR="002A0C86" w:rsidRDefault="002A0C86">
      <w:pPr>
        <w:pStyle w:val="a1"/>
        <w:jc w:val="both"/>
        <w:outlineLvl w:val="2"/>
        <w:rPr>
          <w:rFonts w:ascii="Times New Roman" w:hAnsi="Times New Roman" w:cs="宋体" w:hint="eastAsia"/>
          <w:b w:val="0"/>
          <w:color w:val="1E1E1E"/>
          <w:kern w:val="0"/>
          <w:sz w:val="24"/>
          <w:szCs w:val="24"/>
        </w:rPr>
      </w:pPr>
      <w:r>
        <w:rPr>
          <w:rFonts w:ascii="Times New Roman" w:hAnsi="Times New Roman" w:cs="宋体" w:hint="eastAsia"/>
          <w:b w:val="0"/>
          <w:color w:val="1E1E1E"/>
          <w:kern w:val="0"/>
          <w:sz w:val="24"/>
          <w:szCs w:val="24"/>
        </w:rPr>
        <w:t>2.2</w:t>
      </w:r>
      <w:r>
        <w:rPr>
          <w:rFonts w:ascii="Times New Roman" w:hAnsi="Times New Roman" w:cs="宋体" w:hint="eastAsia"/>
          <w:b w:val="0"/>
          <w:color w:val="1E1E1E"/>
          <w:kern w:val="0"/>
          <w:sz w:val="24"/>
          <w:szCs w:val="24"/>
        </w:rPr>
        <w:t>开放时间</w:t>
      </w:r>
    </w:p>
    <w:p w:rsidR="002A0C86" w:rsidRDefault="002A0C86">
      <w:pPr>
        <w:ind w:firstLine="480"/>
        <w:rPr>
          <w:bCs/>
          <w:sz w:val="24"/>
          <w:szCs w:val="20"/>
        </w:rPr>
      </w:pPr>
      <w:r>
        <w:rPr>
          <w:bCs/>
          <w:sz w:val="24"/>
          <w:szCs w:val="20"/>
        </w:rPr>
        <w:t>本基金开放期内，投资人在开放日办理基金份额的申购和赎回，本基金的开放日为上海证券交易所、深圳证券交易所的正常交易日。若本基金参与港股通交易且该工作日为非港股通交易日时，则基金管理人可根据实际情况决定本基金是否开放申购、赎回业务，具体以届时的公告为准。但基金管理人根据法律法规、中国证监会的要求或本基金合同的规定公告暂停申购、赎回时除外。</w:t>
      </w:r>
    </w:p>
    <w:p w:rsidR="002A0C86" w:rsidRDefault="002A0C86">
      <w:pPr>
        <w:ind w:firstLine="480"/>
        <w:rPr>
          <w:rFonts w:hint="eastAsia"/>
          <w:kern w:val="0"/>
          <w:sz w:val="24"/>
        </w:rPr>
      </w:pPr>
      <w:r>
        <w:rPr>
          <w:bCs/>
          <w:sz w:val="24"/>
          <w:szCs w:val="20"/>
        </w:rPr>
        <w:t>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规定媒介上公告。</w:t>
      </w:r>
    </w:p>
    <w:p w:rsidR="002A0C86" w:rsidRDefault="002A0C86">
      <w:pPr>
        <w:pStyle w:val="a1"/>
        <w:spacing w:line="360" w:lineRule="auto"/>
        <w:jc w:val="left"/>
        <w:outlineLvl w:val="2"/>
        <w:rPr>
          <w:rFonts w:ascii="Times New Roman" w:hAnsi="Times New Roman" w:hint="eastAsia"/>
          <w:kern w:val="0"/>
          <w:sz w:val="24"/>
          <w:szCs w:val="24"/>
        </w:rPr>
      </w:pPr>
      <w:r>
        <w:rPr>
          <w:rFonts w:ascii="Times New Roman" w:hAnsi="Times New Roman" w:hint="eastAsia"/>
          <w:kern w:val="0"/>
          <w:sz w:val="24"/>
          <w:szCs w:val="24"/>
        </w:rPr>
        <w:t xml:space="preserve">3 </w:t>
      </w:r>
      <w:r>
        <w:rPr>
          <w:rFonts w:ascii="Times New Roman" w:hAnsi="Times New Roman" w:hint="eastAsia"/>
          <w:kern w:val="0"/>
          <w:sz w:val="24"/>
          <w:szCs w:val="24"/>
        </w:rPr>
        <w:t>申购业务</w:t>
      </w:r>
    </w:p>
    <w:p w:rsidR="002A0C86" w:rsidRDefault="002A0C86">
      <w:pPr>
        <w:pStyle w:val="a1"/>
        <w:spacing w:line="360" w:lineRule="auto"/>
        <w:jc w:val="both"/>
        <w:outlineLvl w:val="2"/>
        <w:rPr>
          <w:rFonts w:ascii="Times New Roman" w:hAnsi="Times New Roman" w:hint="eastAsia"/>
          <w:b w:val="0"/>
          <w:kern w:val="0"/>
          <w:sz w:val="24"/>
          <w:szCs w:val="24"/>
        </w:rPr>
      </w:pPr>
      <w:r>
        <w:rPr>
          <w:rFonts w:ascii="Times New Roman" w:hAnsi="Times New Roman" w:hint="eastAsia"/>
          <w:b w:val="0"/>
          <w:kern w:val="0"/>
          <w:sz w:val="24"/>
          <w:szCs w:val="24"/>
        </w:rPr>
        <w:t>3.1</w:t>
      </w:r>
      <w:r>
        <w:rPr>
          <w:rFonts w:ascii="Times New Roman" w:hAnsi="Times New Roman" w:hint="eastAsia"/>
          <w:b w:val="0"/>
          <w:kern w:val="0"/>
          <w:sz w:val="24"/>
          <w:szCs w:val="24"/>
        </w:rPr>
        <w:t>申购金额限制</w:t>
      </w:r>
    </w:p>
    <w:p w:rsidR="002A0C86" w:rsidRDefault="002A0C86">
      <w:pPr>
        <w:ind w:firstLine="480"/>
        <w:rPr>
          <w:rFonts w:cs="宋体" w:hint="eastAsia"/>
          <w:b/>
          <w:bCs/>
          <w:color w:val="1E1E1E"/>
          <w:kern w:val="0"/>
          <w:sz w:val="24"/>
        </w:rPr>
      </w:pPr>
      <w:r>
        <w:rPr>
          <w:rFonts w:hint="eastAsia"/>
          <w:bCs/>
          <w:sz w:val="24"/>
        </w:rPr>
        <w:t>投资者场外申购本基金份额时，通过销售机构每笔申购金额不得低于</w:t>
      </w:r>
      <w:r>
        <w:rPr>
          <w:rFonts w:hint="eastAsia"/>
          <w:bCs/>
          <w:sz w:val="24"/>
        </w:rPr>
        <w:t>1</w:t>
      </w:r>
      <w:r>
        <w:rPr>
          <w:rFonts w:hint="eastAsia"/>
          <w:bCs/>
          <w:sz w:val="24"/>
        </w:rPr>
        <w:t>元</w:t>
      </w:r>
      <w:r>
        <w:rPr>
          <w:rFonts w:hint="eastAsia"/>
          <w:bCs/>
          <w:sz w:val="24"/>
        </w:rPr>
        <w:lastRenderedPageBreak/>
        <w:t>（含申购费），通过民生加银基金直销机构每笔申购金额不得低于</w:t>
      </w:r>
      <w:r>
        <w:rPr>
          <w:rFonts w:hint="eastAsia"/>
          <w:bCs/>
          <w:sz w:val="24"/>
        </w:rPr>
        <w:t>1</w:t>
      </w:r>
      <w:r>
        <w:rPr>
          <w:rFonts w:hint="eastAsia"/>
          <w:bCs/>
          <w:sz w:val="24"/>
        </w:rPr>
        <w:t>元（含申购费），超过最低申购金额的部分不设金额级差；定期定额投资计划、比例配售不受此最低申购金额规定限制；投资者可以多次申购，累计申购金额不设上限；销售机构若有不同规定，以销售机构规定为准</w:t>
      </w:r>
      <w:r>
        <w:rPr>
          <w:rFonts w:cs="宋体" w:hint="eastAsia"/>
          <w:spacing w:val="-2"/>
          <w:kern w:val="0"/>
          <w:sz w:val="24"/>
        </w:rPr>
        <w:t>，但不得低于</w:t>
      </w:r>
      <w:r>
        <w:rPr>
          <w:rFonts w:cs="宋体" w:hint="eastAsia"/>
          <w:spacing w:val="-2"/>
          <w:kern w:val="0"/>
          <w:sz w:val="24"/>
        </w:rPr>
        <w:t>1</w:t>
      </w:r>
      <w:r>
        <w:rPr>
          <w:rFonts w:cs="宋体" w:hint="eastAsia"/>
          <w:spacing w:val="-2"/>
          <w:kern w:val="0"/>
          <w:sz w:val="24"/>
        </w:rPr>
        <w:t>元的最低限额规定</w:t>
      </w:r>
      <w:r>
        <w:rPr>
          <w:rFonts w:hint="eastAsia"/>
          <w:bCs/>
          <w:sz w:val="24"/>
        </w:rPr>
        <w:t>。投资者通过场内申购本基金基金份额时，申购金额应当为</w:t>
      </w:r>
      <w:r>
        <w:rPr>
          <w:rFonts w:hint="eastAsia"/>
          <w:bCs/>
          <w:sz w:val="24"/>
        </w:rPr>
        <w:t>1</w:t>
      </w:r>
      <w:r>
        <w:rPr>
          <w:rFonts w:hint="eastAsia"/>
          <w:bCs/>
          <w:sz w:val="24"/>
        </w:rPr>
        <w:t>元的整倍数，且不低于</w:t>
      </w:r>
      <w:r>
        <w:rPr>
          <w:rFonts w:hint="eastAsia"/>
          <w:bCs/>
          <w:sz w:val="24"/>
        </w:rPr>
        <w:t>1000</w:t>
      </w:r>
      <w:r>
        <w:rPr>
          <w:rFonts w:hint="eastAsia"/>
          <w:bCs/>
          <w:sz w:val="24"/>
        </w:rPr>
        <w:t>元。</w:t>
      </w:r>
    </w:p>
    <w:p w:rsidR="002A0C86" w:rsidRDefault="002A0C86">
      <w:pPr>
        <w:pStyle w:val="a1"/>
        <w:jc w:val="both"/>
        <w:outlineLvl w:val="2"/>
        <w:rPr>
          <w:rFonts w:ascii="Times New Roman" w:hAnsi="Times New Roman" w:cs="宋体" w:hint="eastAsia"/>
          <w:b w:val="0"/>
          <w:bCs w:val="0"/>
          <w:color w:val="1E1E1E"/>
          <w:kern w:val="0"/>
          <w:sz w:val="24"/>
          <w:szCs w:val="24"/>
        </w:rPr>
      </w:pPr>
      <w:r>
        <w:rPr>
          <w:rFonts w:ascii="Times New Roman" w:hAnsi="Times New Roman" w:cs="宋体" w:hint="eastAsia"/>
          <w:b w:val="0"/>
          <w:bCs w:val="0"/>
          <w:color w:val="1E1E1E"/>
          <w:kern w:val="0"/>
          <w:sz w:val="24"/>
          <w:szCs w:val="24"/>
        </w:rPr>
        <w:t>3.2</w:t>
      </w:r>
      <w:r>
        <w:rPr>
          <w:rFonts w:ascii="Times New Roman" w:hAnsi="Times New Roman" w:cs="宋体" w:hint="eastAsia"/>
          <w:b w:val="0"/>
          <w:bCs w:val="0"/>
          <w:color w:val="1E1E1E"/>
          <w:kern w:val="0"/>
          <w:sz w:val="24"/>
          <w:szCs w:val="24"/>
        </w:rPr>
        <w:t>申购费率</w:t>
      </w:r>
    </w:p>
    <w:p w:rsidR="002A0C86" w:rsidRDefault="002A0C86">
      <w:pPr>
        <w:ind w:firstLine="480"/>
        <w:rPr>
          <w:rFonts w:cs="宋体" w:hint="eastAsia"/>
          <w:kern w:val="0"/>
          <w:sz w:val="24"/>
        </w:rPr>
      </w:pPr>
      <w:r>
        <w:rPr>
          <w:rFonts w:cs="宋体" w:hint="eastAsia"/>
          <w:kern w:val="0"/>
          <w:sz w:val="24"/>
        </w:rPr>
        <w:t>（</w:t>
      </w:r>
      <w:r>
        <w:rPr>
          <w:rFonts w:cs="宋体" w:hint="eastAsia"/>
          <w:kern w:val="0"/>
          <w:sz w:val="24"/>
        </w:rPr>
        <w:t>1</w:t>
      </w:r>
      <w:r>
        <w:rPr>
          <w:rFonts w:cs="宋体" w:hint="eastAsia"/>
          <w:kern w:val="0"/>
          <w:sz w:val="24"/>
        </w:rPr>
        <w:t>）场外申购费率</w:t>
      </w:r>
    </w:p>
    <w:p w:rsidR="002A0C86" w:rsidRDefault="002A0C86">
      <w:pPr>
        <w:ind w:firstLine="480"/>
        <w:rPr>
          <w:rFonts w:cs="宋体" w:hint="eastAsia"/>
          <w:kern w:val="0"/>
          <w:sz w:val="24"/>
        </w:rPr>
      </w:pPr>
      <w:r>
        <w:rPr>
          <w:rFonts w:cs="宋体" w:hint="eastAsia"/>
          <w:kern w:val="0"/>
          <w:sz w:val="24"/>
        </w:rPr>
        <w:t>本基金申购费用由投资人承担，不列入基金财产，主要用于本基金的市场推广、销售、登记等各项费用。</w:t>
      </w:r>
    </w:p>
    <w:p w:rsidR="002A0C86" w:rsidRDefault="002A0C86">
      <w:pPr>
        <w:ind w:firstLine="480"/>
        <w:rPr>
          <w:rFonts w:hint="eastAsia"/>
          <w:sz w:val="24"/>
        </w:rPr>
      </w:pPr>
      <w:r>
        <w:rPr>
          <w:rFonts w:hint="eastAsia"/>
          <w:sz w:val="24"/>
        </w:rPr>
        <w:t>本基金对通过直销中心申购基金份额的养老金客户与除此之外的其他投资者实施差别的申购费率。养老金账户，包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本公司将依据规定将其纳入养老金账户范围。非养老金客户指除养老金客户外的其他投资者。</w:t>
      </w:r>
    </w:p>
    <w:p w:rsidR="002A0C86" w:rsidRDefault="002A0C86">
      <w:pPr>
        <w:ind w:firstLine="480"/>
        <w:rPr>
          <w:rFonts w:hint="eastAsia"/>
          <w:sz w:val="24"/>
        </w:rPr>
      </w:pPr>
      <w:r>
        <w:rPr>
          <w:rFonts w:hint="eastAsia"/>
          <w:sz w:val="24"/>
        </w:rPr>
        <w:t>投资本基金基金份额的养老金账户，在基金管理人的直销中心办理账户认证手续后，即可享受申购费率</w:t>
      </w:r>
      <w:r>
        <w:rPr>
          <w:rFonts w:hint="eastAsia"/>
          <w:sz w:val="24"/>
        </w:rPr>
        <w:t>1</w:t>
      </w:r>
      <w:r>
        <w:rPr>
          <w:rFonts w:hint="eastAsia"/>
          <w:sz w:val="24"/>
        </w:rPr>
        <w:t>折优惠。基金招募说明书规定申购费率为固定金额的，则按基金招募说明书中费率规定执行，不再享有费率优惠。</w:t>
      </w:r>
    </w:p>
    <w:p w:rsidR="002A0C86" w:rsidRDefault="002A0C86">
      <w:pPr>
        <w:ind w:firstLine="480"/>
        <w:rPr>
          <w:sz w:val="24"/>
        </w:rPr>
      </w:pPr>
      <w:r>
        <w:rPr>
          <w:rFonts w:hint="eastAsia"/>
          <w:sz w:val="24"/>
        </w:rPr>
        <w:t>通过基金管理人的直销中心申购本基金的养老金客户申购费率如下：</w:t>
      </w:r>
    </w:p>
    <w:tbl>
      <w:tblPr>
        <w:tblW w:w="0" w:type="auto"/>
        <w:jc w:val="center"/>
        <w:tblLayout w:type="fixed"/>
        <w:tblCellMar>
          <w:left w:w="0" w:type="dxa"/>
          <w:right w:w="0" w:type="dxa"/>
        </w:tblCellMar>
        <w:tblLook w:val="0000"/>
      </w:tblPr>
      <w:tblGrid>
        <w:gridCol w:w="3901"/>
        <w:gridCol w:w="3422"/>
      </w:tblGrid>
      <w:tr w:rsidR="002A0C86">
        <w:trPr>
          <w:trHeight w:hRule="exact" w:val="487"/>
          <w:jc w:val="center"/>
        </w:trPr>
        <w:tc>
          <w:tcPr>
            <w:tcW w:w="3901"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单次申购金额</w:t>
            </w:r>
            <w:r>
              <w:rPr>
                <w:rFonts w:hint="eastAsia"/>
                <w:sz w:val="24"/>
              </w:rPr>
              <w:t>M</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cs="宋体" w:hint="eastAsia"/>
                <w:kern w:val="0"/>
                <w:sz w:val="24"/>
              </w:rPr>
              <w:t>申购</w:t>
            </w:r>
            <w:r>
              <w:rPr>
                <w:rFonts w:cs="宋体" w:hint="eastAsia"/>
                <w:spacing w:val="-2"/>
                <w:kern w:val="0"/>
                <w:sz w:val="24"/>
              </w:rPr>
              <w:t>费</w:t>
            </w:r>
            <w:r>
              <w:rPr>
                <w:rFonts w:cs="宋体" w:hint="eastAsia"/>
                <w:kern w:val="0"/>
                <w:sz w:val="24"/>
              </w:rPr>
              <w:t>率</w:t>
            </w:r>
          </w:p>
        </w:tc>
      </w:tr>
      <w:tr w:rsidR="002A0C86">
        <w:trPr>
          <w:trHeight w:hRule="exact" w:val="487"/>
          <w:jc w:val="center"/>
        </w:trPr>
        <w:tc>
          <w:tcPr>
            <w:tcW w:w="3901"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M</w:t>
            </w:r>
            <w:r>
              <w:rPr>
                <w:rFonts w:hint="eastAsia"/>
                <w:sz w:val="24"/>
              </w:rPr>
              <w:t>＜</w:t>
            </w:r>
            <w:r>
              <w:rPr>
                <w:rFonts w:hint="eastAsia"/>
                <w:sz w:val="24"/>
              </w:rPr>
              <w:t>100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0.08%</w:t>
            </w:r>
          </w:p>
        </w:tc>
      </w:tr>
      <w:tr w:rsidR="002A0C86">
        <w:trPr>
          <w:trHeight w:hRule="exact" w:val="490"/>
          <w:jc w:val="center"/>
        </w:trPr>
        <w:tc>
          <w:tcPr>
            <w:tcW w:w="3901"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100</w:t>
            </w:r>
            <w:r>
              <w:rPr>
                <w:rFonts w:hint="eastAsia"/>
                <w:sz w:val="24"/>
              </w:rPr>
              <w:t>万元≤</w:t>
            </w:r>
            <w:r>
              <w:rPr>
                <w:rFonts w:hint="eastAsia"/>
                <w:sz w:val="24"/>
              </w:rPr>
              <w:t>M</w:t>
            </w:r>
            <w:r>
              <w:rPr>
                <w:rFonts w:hint="eastAsia"/>
                <w:sz w:val="24"/>
              </w:rPr>
              <w:t>＜</w:t>
            </w:r>
            <w:r>
              <w:rPr>
                <w:rFonts w:hint="eastAsia"/>
                <w:sz w:val="24"/>
              </w:rPr>
              <w:t>200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0.05%</w:t>
            </w:r>
          </w:p>
        </w:tc>
      </w:tr>
      <w:tr w:rsidR="002A0C86">
        <w:trPr>
          <w:trHeight w:hRule="exact" w:val="487"/>
          <w:jc w:val="center"/>
        </w:trPr>
        <w:tc>
          <w:tcPr>
            <w:tcW w:w="3901"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200</w:t>
            </w:r>
            <w:r>
              <w:rPr>
                <w:rFonts w:hint="eastAsia"/>
                <w:sz w:val="24"/>
              </w:rPr>
              <w:t>万元≤</w:t>
            </w:r>
            <w:r>
              <w:rPr>
                <w:rFonts w:hint="eastAsia"/>
                <w:sz w:val="24"/>
              </w:rPr>
              <w:t>M</w:t>
            </w:r>
            <w:r>
              <w:rPr>
                <w:rFonts w:hint="eastAsia"/>
                <w:sz w:val="24"/>
              </w:rPr>
              <w:t>＜</w:t>
            </w:r>
            <w:r>
              <w:rPr>
                <w:rFonts w:hint="eastAsia"/>
                <w:sz w:val="24"/>
              </w:rPr>
              <w:t>500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0.03%</w:t>
            </w:r>
          </w:p>
        </w:tc>
      </w:tr>
      <w:tr w:rsidR="002A0C86">
        <w:trPr>
          <w:trHeight w:hRule="exact" w:val="490"/>
          <w:jc w:val="center"/>
        </w:trPr>
        <w:tc>
          <w:tcPr>
            <w:tcW w:w="3901"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M</w:t>
            </w:r>
            <w:r>
              <w:rPr>
                <w:rFonts w:hint="eastAsia"/>
                <w:sz w:val="24"/>
              </w:rPr>
              <w:t>≥</w:t>
            </w:r>
            <w:r>
              <w:rPr>
                <w:rFonts w:hint="eastAsia"/>
                <w:sz w:val="24"/>
              </w:rPr>
              <w:t>500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cs="宋体" w:hint="eastAsia"/>
                <w:spacing w:val="-2"/>
                <w:kern w:val="0"/>
                <w:sz w:val="24"/>
              </w:rPr>
              <w:t>每笔</w:t>
            </w:r>
            <w:r>
              <w:rPr>
                <w:rFonts w:hint="eastAsia"/>
                <w:kern w:val="0"/>
                <w:sz w:val="24"/>
              </w:rPr>
              <w:t>1000</w:t>
            </w:r>
            <w:r>
              <w:rPr>
                <w:rFonts w:cs="宋体" w:hint="eastAsia"/>
                <w:spacing w:val="-2"/>
                <w:kern w:val="0"/>
                <w:sz w:val="24"/>
              </w:rPr>
              <w:t>元</w:t>
            </w:r>
          </w:p>
        </w:tc>
      </w:tr>
    </w:tbl>
    <w:p w:rsidR="002A0C86" w:rsidRDefault="002A0C86">
      <w:pPr>
        <w:ind w:firstLine="480"/>
        <w:jc w:val="left"/>
        <w:rPr>
          <w:rFonts w:cs="宋体"/>
          <w:kern w:val="0"/>
          <w:sz w:val="24"/>
        </w:rPr>
      </w:pPr>
      <w:r>
        <w:rPr>
          <w:rFonts w:cs="宋体" w:hint="eastAsia"/>
          <w:kern w:val="0"/>
          <w:sz w:val="24"/>
        </w:rPr>
        <w:t>非养老金客户申购本基金的申购费率如下：</w:t>
      </w:r>
    </w:p>
    <w:tbl>
      <w:tblPr>
        <w:tblW w:w="0" w:type="auto"/>
        <w:jc w:val="center"/>
        <w:tblLayout w:type="fixed"/>
        <w:tblCellMar>
          <w:left w:w="0" w:type="dxa"/>
          <w:right w:w="0" w:type="dxa"/>
        </w:tblCellMar>
        <w:tblLook w:val="0000"/>
      </w:tblPr>
      <w:tblGrid>
        <w:gridCol w:w="3900"/>
        <w:gridCol w:w="3422"/>
      </w:tblGrid>
      <w:tr w:rsidR="002A0C86">
        <w:trPr>
          <w:trHeight w:hRule="exact" w:val="487"/>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单次申购金额</w:t>
            </w:r>
            <w:r>
              <w:rPr>
                <w:rFonts w:hint="eastAsia"/>
                <w:sz w:val="24"/>
              </w:rPr>
              <w:t>M</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cs="宋体" w:hint="eastAsia"/>
                <w:kern w:val="0"/>
                <w:sz w:val="24"/>
              </w:rPr>
              <w:t>申购</w:t>
            </w:r>
            <w:r>
              <w:rPr>
                <w:rFonts w:cs="宋体" w:hint="eastAsia"/>
                <w:spacing w:val="-2"/>
                <w:kern w:val="0"/>
                <w:sz w:val="24"/>
              </w:rPr>
              <w:t>费</w:t>
            </w:r>
            <w:r>
              <w:rPr>
                <w:rFonts w:cs="宋体" w:hint="eastAsia"/>
                <w:kern w:val="0"/>
                <w:sz w:val="24"/>
              </w:rPr>
              <w:t>率</w:t>
            </w:r>
          </w:p>
        </w:tc>
      </w:tr>
      <w:tr w:rsidR="002A0C86">
        <w:trPr>
          <w:trHeight w:hRule="exact" w:val="487"/>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M</w:t>
            </w:r>
            <w:r>
              <w:rPr>
                <w:rFonts w:hint="eastAsia"/>
                <w:sz w:val="24"/>
              </w:rPr>
              <w:t>＜</w:t>
            </w:r>
            <w:r>
              <w:rPr>
                <w:rFonts w:hint="eastAsia"/>
                <w:sz w:val="24"/>
              </w:rPr>
              <w:t>100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0.80%</w:t>
            </w:r>
          </w:p>
        </w:tc>
      </w:tr>
      <w:tr w:rsidR="002A0C86">
        <w:trPr>
          <w:trHeight w:hRule="exact" w:val="490"/>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100</w:t>
            </w:r>
            <w:r>
              <w:rPr>
                <w:rFonts w:hint="eastAsia"/>
                <w:sz w:val="24"/>
              </w:rPr>
              <w:t>万元≤</w:t>
            </w:r>
            <w:r>
              <w:rPr>
                <w:rFonts w:hint="eastAsia"/>
                <w:sz w:val="24"/>
              </w:rPr>
              <w:t>M</w:t>
            </w:r>
            <w:r>
              <w:rPr>
                <w:rFonts w:hint="eastAsia"/>
                <w:sz w:val="24"/>
              </w:rPr>
              <w:t>＜</w:t>
            </w:r>
            <w:r>
              <w:rPr>
                <w:rFonts w:hint="eastAsia"/>
                <w:sz w:val="24"/>
              </w:rPr>
              <w:t>200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0.50%</w:t>
            </w:r>
          </w:p>
        </w:tc>
      </w:tr>
      <w:tr w:rsidR="002A0C86">
        <w:trPr>
          <w:trHeight w:hRule="exact" w:val="487"/>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200</w:t>
            </w:r>
            <w:r>
              <w:rPr>
                <w:rFonts w:hint="eastAsia"/>
                <w:sz w:val="24"/>
              </w:rPr>
              <w:t>万元≤</w:t>
            </w:r>
            <w:r>
              <w:rPr>
                <w:rFonts w:hint="eastAsia"/>
                <w:sz w:val="24"/>
              </w:rPr>
              <w:t>M</w:t>
            </w:r>
            <w:r>
              <w:rPr>
                <w:rFonts w:hint="eastAsia"/>
                <w:sz w:val="24"/>
              </w:rPr>
              <w:t>＜</w:t>
            </w:r>
            <w:r>
              <w:rPr>
                <w:rFonts w:hint="eastAsia"/>
                <w:sz w:val="24"/>
              </w:rPr>
              <w:t>500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0.30%</w:t>
            </w:r>
          </w:p>
        </w:tc>
      </w:tr>
      <w:tr w:rsidR="002A0C86">
        <w:trPr>
          <w:trHeight w:hRule="exact" w:val="490"/>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hint="eastAsia"/>
                <w:sz w:val="24"/>
              </w:rPr>
              <w:t>M</w:t>
            </w:r>
            <w:r>
              <w:rPr>
                <w:rFonts w:hint="eastAsia"/>
                <w:sz w:val="24"/>
              </w:rPr>
              <w:t>≥</w:t>
            </w:r>
            <w:r>
              <w:rPr>
                <w:rFonts w:hint="eastAsia"/>
                <w:sz w:val="24"/>
              </w:rPr>
              <w:t>500</w:t>
            </w:r>
            <w:r>
              <w:rPr>
                <w:rFonts w:hint="eastAsia"/>
                <w:sz w:val="24"/>
              </w:rPr>
              <w:t>万元</w:t>
            </w:r>
          </w:p>
        </w:tc>
        <w:tc>
          <w:tcPr>
            <w:tcW w:w="3422" w:type="dxa"/>
            <w:tcBorders>
              <w:top w:val="single" w:sz="8" w:space="0" w:color="000000"/>
              <w:left w:val="single" w:sz="8" w:space="0" w:color="000000"/>
              <w:bottom w:val="single" w:sz="8" w:space="0" w:color="000000"/>
              <w:right w:val="single" w:sz="8" w:space="0" w:color="000000"/>
            </w:tcBorders>
            <w:vAlign w:val="center"/>
          </w:tcPr>
          <w:p w:rsidR="002A0C86" w:rsidRDefault="002A0C86">
            <w:pPr>
              <w:autoSpaceDE w:val="0"/>
              <w:autoSpaceDN w:val="0"/>
              <w:adjustRightInd w:val="0"/>
              <w:ind w:firstLineChars="0" w:firstLine="0"/>
              <w:jc w:val="center"/>
              <w:rPr>
                <w:rFonts w:hint="eastAsia"/>
                <w:kern w:val="0"/>
                <w:sz w:val="24"/>
              </w:rPr>
            </w:pPr>
            <w:r>
              <w:rPr>
                <w:rFonts w:cs="宋体" w:hint="eastAsia"/>
                <w:spacing w:val="-2"/>
                <w:kern w:val="0"/>
                <w:sz w:val="24"/>
              </w:rPr>
              <w:t>每笔</w:t>
            </w:r>
            <w:r>
              <w:rPr>
                <w:rFonts w:hint="eastAsia"/>
                <w:kern w:val="0"/>
                <w:sz w:val="24"/>
              </w:rPr>
              <w:t>1000</w:t>
            </w:r>
            <w:r>
              <w:rPr>
                <w:rFonts w:cs="宋体" w:hint="eastAsia"/>
                <w:spacing w:val="-2"/>
                <w:kern w:val="0"/>
                <w:sz w:val="24"/>
              </w:rPr>
              <w:t>元</w:t>
            </w:r>
          </w:p>
        </w:tc>
      </w:tr>
    </w:tbl>
    <w:p w:rsidR="002A0C86" w:rsidRDefault="002A0C86">
      <w:pPr>
        <w:ind w:firstLine="480"/>
        <w:rPr>
          <w:rFonts w:cs="宋体" w:hint="eastAsia"/>
          <w:kern w:val="0"/>
          <w:sz w:val="24"/>
        </w:rPr>
      </w:pPr>
      <w:r>
        <w:rPr>
          <w:rFonts w:cs="宋体" w:hint="eastAsia"/>
          <w:kern w:val="0"/>
          <w:sz w:val="24"/>
        </w:rPr>
        <w:t>投资人同日或异日多次申购，须按每次申购所对应的费率档次分别计费。当需要采取比例配售方式对有效申购金额进行部分确认时，投资人申购费率按照申购申请确认金额所对应的费率计算，申购申请确认金额不受申购最低限额的限制。</w:t>
      </w:r>
    </w:p>
    <w:p w:rsidR="002A0C86" w:rsidRDefault="002A0C86">
      <w:pPr>
        <w:ind w:firstLine="480"/>
        <w:rPr>
          <w:rFonts w:cs="宋体" w:hint="eastAsia"/>
          <w:kern w:val="0"/>
          <w:sz w:val="24"/>
        </w:rPr>
      </w:pPr>
      <w:r>
        <w:rPr>
          <w:rFonts w:cs="宋体" w:hint="eastAsia"/>
          <w:kern w:val="0"/>
          <w:sz w:val="24"/>
        </w:rPr>
        <w:t>本基金参加各销售机构发起的基金申购费率优惠活动，具体费率优惠方案以销售机构的安排为准，请关注销售机构公告或询问销售机构。</w:t>
      </w:r>
    </w:p>
    <w:p w:rsidR="002A0C86" w:rsidRDefault="002A0C86">
      <w:pPr>
        <w:ind w:firstLine="480"/>
        <w:rPr>
          <w:rFonts w:hint="eastAsia"/>
          <w:kern w:val="0"/>
          <w:sz w:val="24"/>
        </w:rPr>
      </w:pPr>
      <w:r>
        <w:rPr>
          <w:rFonts w:cs="宋体" w:hint="eastAsia"/>
          <w:kern w:val="0"/>
          <w:sz w:val="24"/>
        </w:rPr>
        <w:t>（</w:t>
      </w:r>
      <w:r>
        <w:rPr>
          <w:rFonts w:cs="宋体" w:hint="eastAsia"/>
          <w:kern w:val="0"/>
          <w:sz w:val="24"/>
        </w:rPr>
        <w:t>2</w:t>
      </w:r>
      <w:r>
        <w:rPr>
          <w:rFonts w:cs="宋体" w:hint="eastAsia"/>
          <w:kern w:val="0"/>
          <w:sz w:val="24"/>
        </w:rPr>
        <w:t>）本基金的场内申购费率由上海证券交易所会员单位按照场外申购费率设定。投资者可以多次申购本基金，申购费按每笔申购申请单独计算。当需要采取比例配售方式对有效申购金额进行部分确认时，投资人申购费率按照申购申请确认金额所对应的费率计算，申购申请确认金额不受申购最低限额的限制。</w:t>
      </w:r>
    </w:p>
    <w:p w:rsidR="002A0C86" w:rsidRDefault="002A0C86">
      <w:pPr>
        <w:pStyle w:val="a1"/>
        <w:spacing w:line="360" w:lineRule="auto"/>
        <w:jc w:val="left"/>
        <w:outlineLvl w:val="2"/>
        <w:rPr>
          <w:rFonts w:ascii="Times New Roman" w:hAnsi="Times New Roman" w:hint="eastAsia"/>
          <w:kern w:val="0"/>
          <w:sz w:val="24"/>
          <w:szCs w:val="24"/>
        </w:rPr>
      </w:pPr>
      <w:r>
        <w:rPr>
          <w:rFonts w:ascii="Times New Roman" w:hAnsi="Times New Roman" w:hint="eastAsia"/>
          <w:kern w:val="0"/>
          <w:sz w:val="24"/>
          <w:szCs w:val="24"/>
        </w:rPr>
        <w:t xml:space="preserve">4 </w:t>
      </w:r>
      <w:r>
        <w:rPr>
          <w:rFonts w:ascii="Times New Roman" w:hAnsi="Times New Roman" w:hint="eastAsia"/>
          <w:kern w:val="0"/>
          <w:sz w:val="24"/>
          <w:szCs w:val="24"/>
        </w:rPr>
        <w:t>赎回业务</w:t>
      </w:r>
    </w:p>
    <w:p w:rsidR="002A0C86" w:rsidRDefault="002A0C86">
      <w:pPr>
        <w:pStyle w:val="a1"/>
        <w:spacing w:line="360" w:lineRule="auto"/>
        <w:jc w:val="left"/>
        <w:outlineLvl w:val="2"/>
        <w:rPr>
          <w:rFonts w:ascii="Times New Roman" w:hAnsi="Times New Roman" w:cs="宋体" w:hint="eastAsia"/>
          <w:b w:val="0"/>
          <w:bCs w:val="0"/>
          <w:color w:val="1E1E1E"/>
          <w:kern w:val="0"/>
          <w:sz w:val="24"/>
          <w:szCs w:val="24"/>
        </w:rPr>
      </w:pPr>
      <w:r>
        <w:rPr>
          <w:rFonts w:ascii="Times New Roman" w:hAnsi="Times New Roman" w:hint="eastAsia"/>
          <w:b w:val="0"/>
          <w:kern w:val="0"/>
          <w:sz w:val="24"/>
          <w:szCs w:val="24"/>
        </w:rPr>
        <w:t>4.1</w:t>
      </w:r>
      <w:r>
        <w:rPr>
          <w:rFonts w:ascii="Times New Roman" w:hAnsi="Times New Roman" w:cs="宋体" w:hint="eastAsia"/>
          <w:b w:val="0"/>
          <w:bCs w:val="0"/>
          <w:color w:val="1E1E1E"/>
          <w:kern w:val="0"/>
          <w:sz w:val="24"/>
          <w:szCs w:val="24"/>
        </w:rPr>
        <w:t>赎回份额限制</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bCs/>
          <w:color w:val="1E1E1E"/>
          <w:kern w:val="0"/>
          <w:sz w:val="24"/>
        </w:rPr>
      </w:pPr>
      <w:r>
        <w:rPr>
          <w:rFonts w:cs="宋体" w:hint="eastAsia"/>
          <w:bCs/>
          <w:color w:val="1E1E1E"/>
          <w:kern w:val="0"/>
          <w:sz w:val="24"/>
        </w:rPr>
        <w:t>投资者赎回本基金份额时，可申请将其持有的部分或全部基金份额赎回。本基金的场外投资者每个交易账户每笔最低赎回份额为</w:t>
      </w:r>
      <w:r>
        <w:rPr>
          <w:rFonts w:cs="宋体" w:hint="eastAsia"/>
          <w:bCs/>
          <w:color w:val="1E1E1E"/>
          <w:kern w:val="0"/>
          <w:sz w:val="24"/>
        </w:rPr>
        <w:t>1</w:t>
      </w:r>
      <w:r>
        <w:rPr>
          <w:rFonts w:cs="宋体" w:hint="eastAsia"/>
          <w:bCs/>
          <w:color w:val="1E1E1E"/>
          <w:kern w:val="0"/>
          <w:sz w:val="24"/>
        </w:rPr>
        <w:t>份，销售机构若有不同规定，以销售机构规定为准，但不得低于</w:t>
      </w:r>
      <w:r>
        <w:rPr>
          <w:rFonts w:cs="宋体" w:hint="eastAsia"/>
          <w:bCs/>
          <w:color w:val="1E1E1E"/>
          <w:kern w:val="0"/>
          <w:sz w:val="24"/>
        </w:rPr>
        <w:t>1</w:t>
      </w:r>
      <w:r>
        <w:rPr>
          <w:rFonts w:cs="宋体" w:hint="eastAsia"/>
          <w:bCs/>
          <w:color w:val="1E1E1E"/>
          <w:kern w:val="0"/>
          <w:sz w:val="24"/>
        </w:rPr>
        <w:t>份的最低限额规定。场内赎回份额申请份额必须是整数份，单笔最低赎回份额的限制按照上海证券交易所、中国证券登记结算有限责任公司的相关业务规则执行。</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bCs/>
          <w:sz w:val="24"/>
        </w:rPr>
      </w:pPr>
      <w:r>
        <w:rPr>
          <w:rFonts w:hint="eastAsia"/>
          <w:bCs/>
          <w:sz w:val="24"/>
        </w:rPr>
        <w:t>本基金的场外投资者每个交易账户的最低基金份额余额为</w:t>
      </w:r>
      <w:r>
        <w:rPr>
          <w:rFonts w:hint="eastAsia"/>
          <w:bCs/>
          <w:sz w:val="24"/>
        </w:rPr>
        <w:t>1</w:t>
      </w:r>
      <w:r>
        <w:rPr>
          <w:rFonts w:hint="eastAsia"/>
          <w:bCs/>
          <w:sz w:val="24"/>
        </w:rPr>
        <w:t>份，本基金不对单个投资者累计持有的基金份额上限进行限制，但本基金单一投资者持有基金份额数不得达到或超过基金份额总数的</w:t>
      </w:r>
      <w:r>
        <w:rPr>
          <w:rFonts w:hint="eastAsia"/>
          <w:bCs/>
          <w:sz w:val="24"/>
        </w:rPr>
        <w:t>50%</w:t>
      </w:r>
      <w:r>
        <w:rPr>
          <w:rFonts w:hint="eastAsia"/>
          <w:bCs/>
          <w:sz w:val="24"/>
        </w:rPr>
        <w:t>（在基金运作过程中因基金份额赎回等情形导致被动达到或超过</w:t>
      </w:r>
      <w:r>
        <w:rPr>
          <w:rFonts w:hint="eastAsia"/>
          <w:bCs/>
          <w:sz w:val="24"/>
        </w:rPr>
        <w:t>50%</w:t>
      </w:r>
      <w:r>
        <w:rPr>
          <w:rFonts w:hint="eastAsia"/>
          <w:bCs/>
          <w:sz w:val="24"/>
        </w:rPr>
        <w:t>的除外）；销售机构若有不同规定，以销售机构规定为准，但不得低于</w:t>
      </w:r>
      <w:r>
        <w:rPr>
          <w:rFonts w:hint="eastAsia"/>
          <w:bCs/>
          <w:sz w:val="24"/>
        </w:rPr>
        <w:t>1</w:t>
      </w:r>
      <w:r>
        <w:rPr>
          <w:rFonts w:hint="eastAsia"/>
          <w:bCs/>
          <w:sz w:val="24"/>
        </w:rPr>
        <w:t>份的最低限额规定。</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bCs/>
          <w:color w:val="1E1E1E"/>
          <w:kern w:val="0"/>
          <w:sz w:val="24"/>
        </w:rPr>
      </w:pPr>
      <w:r>
        <w:rPr>
          <w:rFonts w:cs="宋体"/>
          <w:bCs/>
          <w:color w:val="1E1E1E"/>
          <w:sz w:val="24"/>
        </w:rPr>
        <w:t>对于场内申购、赎回及持有场内份额的数量限制等，上海证券交易所和中国证券登记结算有限责任公司的相关业务规则有规定的，从其最新规定办理。</w:t>
      </w:r>
    </w:p>
    <w:p w:rsidR="002A0C86" w:rsidRDefault="002A0C86">
      <w:pPr>
        <w:pStyle w:val="a1"/>
        <w:jc w:val="both"/>
        <w:outlineLvl w:val="2"/>
        <w:rPr>
          <w:rFonts w:ascii="Times New Roman" w:hAnsi="Times New Roman" w:cs="宋体" w:hint="eastAsia"/>
          <w:b w:val="0"/>
          <w:bCs w:val="0"/>
          <w:color w:val="1E1E1E"/>
          <w:kern w:val="0"/>
          <w:sz w:val="24"/>
          <w:szCs w:val="24"/>
        </w:rPr>
      </w:pPr>
      <w:r>
        <w:rPr>
          <w:rFonts w:ascii="Times New Roman" w:hAnsi="Times New Roman" w:cs="宋体" w:hint="eastAsia"/>
          <w:b w:val="0"/>
          <w:bCs w:val="0"/>
          <w:color w:val="1E1E1E"/>
          <w:kern w:val="0"/>
          <w:sz w:val="24"/>
          <w:szCs w:val="24"/>
        </w:rPr>
        <w:t>4.2</w:t>
      </w:r>
      <w:r>
        <w:rPr>
          <w:rFonts w:ascii="Times New Roman" w:hAnsi="Times New Roman" w:cs="宋体" w:hint="eastAsia"/>
          <w:b w:val="0"/>
          <w:bCs w:val="0"/>
          <w:color w:val="1E1E1E"/>
          <w:kern w:val="0"/>
          <w:sz w:val="24"/>
          <w:szCs w:val="24"/>
        </w:rPr>
        <w:t>赎回费率</w:t>
      </w:r>
    </w:p>
    <w:p w:rsidR="002A0C86" w:rsidRDefault="002A0C86">
      <w:pPr>
        <w:ind w:firstLine="480"/>
        <w:rPr>
          <w:rFonts w:cs="宋体" w:hint="eastAsia"/>
          <w:kern w:val="0"/>
          <w:sz w:val="24"/>
        </w:rPr>
      </w:pPr>
      <w:r>
        <w:rPr>
          <w:rFonts w:cs="宋体" w:hint="eastAsia"/>
          <w:kern w:val="0"/>
          <w:sz w:val="24"/>
        </w:rPr>
        <w:t>（</w:t>
      </w:r>
      <w:r>
        <w:rPr>
          <w:rFonts w:cs="宋体" w:hint="eastAsia"/>
          <w:kern w:val="0"/>
          <w:sz w:val="24"/>
        </w:rPr>
        <w:t>1</w:t>
      </w:r>
      <w:r>
        <w:rPr>
          <w:rFonts w:cs="宋体" w:hint="eastAsia"/>
          <w:kern w:val="0"/>
          <w:sz w:val="24"/>
        </w:rPr>
        <w:t>）本基金的赎回费用由基金份额的赎回人承担。投资者赎回本基金基金份额所对应的赎回费率随持有时间递减，本基金场内和场外的赎回费率一致，具体见下表：</w:t>
      </w: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5"/>
        <w:gridCol w:w="3725"/>
      </w:tblGrid>
      <w:tr w:rsidR="002A0C86">
        <w:trPr>
          <w:trHeight w:val="300"/>
          <w:jc w:val="center"/>
        </w:trPr>
        <w:tc>
          <w:tcPr>
            <w:tcW w:w="3635" w:type="dxa"/>
            <w:shd w:val="clear" w:color="000000" w:fill="FFFFFF"/>
            <w:vAlign w:val="center"/>
          </w:tcPr>
          <w:p w:rsidR="002A0C86" w:rsidRDefault="002A0C86">
            <w:pPr>
              <w:widowControl/>
              <w:ind w:firstLineChars="0" w:firstLine="0"/>
              <w:jc w:val="center"/>
              <w:rPr>
                <w:rFonts w:cs="宋体" w:hint="eastAsia"/>
                <w:bCs/>
                <w:color w:val="000000"/>
                <w:kern w:val="0"/>
                <w:sz w:val="24"/>
              </w:rPr>
            </w:pPr>
            <w:r>
              <w:rPr>
                <w:rFonts w:cs="宋体" w:hint="eastAsia"/>
                <w:bCs/>
                <w:color w:val="000000"/>
                <w:kern w:val="0"/>
                <w:sz w:val="24"/>
              </w:rPr>
              <w:t>持有基金时间</w:t>
            </w:r>
            <w:r>
              <w:rPr>
                <w:rFonts w:cs="宋体" w:hint="eastAsia"/>
                <w:bCs/>
                <w:color w:val="000000"/>
                <w:kern w:val="0"/>
                <w:sz w:val="24"/>
              </w:rPr>
              <w:t>T</w:t>
            </w:r>
          </w:p>
        </w:tc>
        <w:tc>
          <w:tcPr>
            <w:tcW w:w="3725" w:type="dxa"/>
            <w:shd w:val="clear" w:color="000000" w:fill="FFFFFF"/>
            <w:noWrap/>
            <w:vAlign w:val="center"/>
          </w:tcPr>
          <w:p w:rsidR="002A0C86" w:rsidRDefault="002A0C86">
            <w:pPr>
              <w:widowControl/>
              <w:ind w:firstLineChars="0" w:firstLine="0"/>
              <w:jc w:val="center"/>
              <w:rPr>
                <w:rFonts w:cs="宋体" w:hint="eastAsia"/>
                <w:bCs/>
                <w:color w:val="000000"/>
                <w:kern w:val="0"/>
                <w:sz w:val="24"/>
              </w:rPr>
            </w:pPr>
            <w:r>
              <w:rPr>
                <w:rFonts w:cs="宋体" w:hint="eastAsia"/>
                <w:bCs/>
                <w:color w:val="000000"/>
                <w:kern w:val="0"/>
                <w:sz w:val="24"/>
              </w:rPr>
              <w:t>赎回费率</w:t>
            </w:r>
          </w:p>
        </w:tc>
      </w:tr>
      <w:tr w:rsidR="002A0C86">
        <w:trPr>
          <w:trHeight w:val="300"/>
          <w:jc w:val="center"/>
        </w:trPr>
        <w:tc>
          <w:tcPr>
            <w:tcW w:w="3635" w:type="dxa"/>
            <w:shd w:val="clear" w:color="auto" w:fill="auto"/>
            <w:vAlign w:val="center"/>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T&lt;7</w:t>
            </w:r>
            <w:r>
              <w:rPr>
                <w:rFonts w:cs="宋体" w:hint="eastAsia"/>
                <w:color w:val="000000"/>
                <w:kern w:val="0"/>
                <w:sz w:val="24"/>
              </w:rPr>
              <w:t>天</w:t>
            </w:r>
          </w:p>
        </w:tc>
        <w:tc>
          <w:tcPr>
            <w:tcW w:w="3725" w:type="dxa"/>
            <w:shd w:val="clear" w:color="auto" w:fill="auto"/>
            <w:noWrap/>
            <w:vAlign w:val="center"/>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1.50%</w:t>
            </w:r>
          </w:p>
        </w:tc>
      </w:tr>
      <w:tr w:rsidR="002A0C86">
        <w:trPr>
          <w:trHeight w:val="300"/>
          <w:jc w:val="center"/>
        </w:trPr>
        <w:tc>
          <w:tcPr>
            <w:tcW w:w="3635" w:type="dxa"/>
            <w:shd w:val="clear" w:color="auto" w:fill="auto"/>
            <w:vAlign w:val="center"/>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7</w:t>
            </w:r>
            <w:r>
              <w:rPr>
                <w:rFonts w:cs="宋体" w:hint="eastAsia"/>
                <w:color w:val="000000"/>
                <w:kern w:val="0"/>
                <w:sz w:val="24"/>
              </w:rPr>
              <w:t>天≤</w:t>
            </w:r>
            <w:r>
              <w:rPr>
                <w:rFonts w:cs="宋体" w:hint="eastAsia"/>
                <w:color w:val="000000"/>
                <w:kern w:val="0"/>
                <w:sz w:val="24"/>
              </w:rPr>
              <w:t>T</w:t>
            </w:r>
            <w:r>
              <w:rPr>
                <w:rFonts w:cs="宋体" w:hint="eastAsia"/>
                <w:color w:val="000000"/>
                <w:kern w:val="0"/>
                <w:sz w:val="24"/>
              </w:rPr>
              <w:t>＜</w:t>
            </w:r>
            <w:r>
              <w:rPr>
                <w:rFonts w:cs="宋体" w:hint="eastAsia"/>
                <w:color w:val="000000"/>
                <w:kern w:val="0"/>
                <w:sz w:val="24"/>
              </w:rPr>
              <w:t>30</w:t>
            </w:r>
            <w:r>
              <w:rPr>
                <w:rFonts w:cs="宋体" w:hint="eastAsia"/>
                <w:color w:val="000000"/>
                <w:kern w:val="0"/>
                <w:sz w:val="24"/>
              </w:rPr>
              <w:t>天</w:t>
            </w:r>
          </w:p>
        </w:tc>
        <w:tc>
          <w:tcPr>
            <w:tcW w:w="3725" w:type="dxa"/>
            <w:shd w:val="clear" w:color="auto" w:fill="auto"/>
            <w:noWrap/>
            <w:vAlign w:val="center"/>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0.75%</w:t>
            </w:r>
          </w:p>
        </w:tc>
      </w:tr>
      <w:tr w:rsidR="002A0C86">
        <w:trPr>
          <w:trHeight w:val="300"/>
          <w:jc w:val="center"/>
        </w:trPr>
        <w:tc>
          <w:tcPr>
            <w:tcW w:w="3635" w:type="dxa"/>
            <w:shd w:val="clear" w:color="auto" w:fill="auto"/>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30</w:t>
            </w:r>
            <w:r>
              <w:rPr>
                <w:rFonts w:cs="宋体" w:hint="eastAsia"/>
                <w:color w:val="000000"/>
                <w:kern w:val="0"/>
                <w:sz w:val="24"/>
              </w:rPr>
              <w:t>天≤</w:t>
            </w:r>
            <w:r>
              <w:rPr>
                <w:rFonts w:cs="宋体" w:hint="eastAsia"/>
                <w:color w:val="000000"/>
                <w:kern w:val="0"/>
                <w:sz w:val="24"/>
              </w:rPr>
              <w:t>T</w:t>
            </w:r>
            <w:r>
              <w:rPr>
                <w:rFonts w:cs="宋体" w:hint="eastAsia"/>
                <w:color w:val="000000"/>
                <w:kern w:val="0"/>
                <w:sz w:val="24"/>
              </w:rPr>
              <w:t>＜</w:t>
            </w:r>
            <w:r>
              <w:rPr>
                <w:rFonts w:cs="宋体" w:hint="eastAsia"/>
                <w:color w:val="000000"/>
                <w:kern w:val="0"/>
                <w:sz w:val="24"/>
              </w:rPr>
              <w:t>90</w:t>
            </w:r>
            <w:r>
              <w:rPr>
                <w:rFonts w:cs="宋体" w:hint="eastAsia"/>
                <w:color w:val="000000"/>
                <w:kern w:val="0"/>
                <w:sz w:val="24"/>
              </w:rPr>
              <w:t>天</w:t>
            </w:r>
          </w:p>
        </w:tc>
        <w:tc>
          <w:tcPr>
            <w:tcW w:w="3725" w:type="dxa"/>
            <w:shd w:val="clear" w:color="auto" w:fill="auto"/>
            <w:noWrap/>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0.50%</w:t>
            </w:r>
          </w:p>
        </w:tc>
      </w:tr>
      <w:tr w:rsidR="002A0C86">
        <w:trPr>
          <w:trHeight w:val="300"/>
          <w:jc w:val="center"/>
        </w:trPr>
        <w:tc>
          <w:tcPr>
            <w:tcW w:w="3635" w:type="dxa"/>
            <w:shd w:val="clear" w:color="auto" w:fill="auto"/>
            <w:vAlign w:val="center"/>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90</w:t>
            </w:r>
            <w:r>
              <w:rPr>
                <w:rFonts w:cs="宋体" w:hint="eastAsia"/>
                <w:color w:val="000000"/>
                <w:kern w:val="0"/>
                <w:sz w:val="24"/>
              </w:rPr>
              <w:t>天≤</w:t>
            </w:r>
            <w:r>
              <w:rPr>
                <w:rFonts w:cs="宋体" w:hint="eastAsia"/>
                <w:color w:val="000000"/>
                <w:kern w:val="0"/>
                <w:sz w:val="24"/>
              </w:rPr>
              <w:t>T</w:t>
            </w:r>
          </w:p>
        </w:tc>
        <w:tc>
          <w:tcPr>
            <w:tcW w:w="3725" w:type="dxa"/>
            <w:shd w:val="clear" w:color="auto" w:fill="auto"/>
            <w:noWrap/>
            <w:vAlign w:val="center"/>
          </w:tcPr>
          <w:p w:rsidR="002A0C86" w:rsidRDefault="002A0C86">
            <w:pPr>
              <w:widowControl/>
              <w:ind w:firstLineChars="0" w:firstLine="0"/>
              <w:jc w:val="center"/>
              <w:rPr>
                <w:rFonts w:cs="宋体" w:hint="eastAsia"/>
                <w:color w:val="000000"/>
                <w:kern w:val="0"/>
                <w:sz w:val="24"/>
              </w:rPr>
            </w:pPr>
            <w:r>
              <w:rPr>
                <w:rFonts w:cs="宋体" w:hint="eastAsia"/>
                <w:color w:val="000000"/>
                <w:kern w:val="0"/>
                <w:sz w:val="24"/>
              </w:rPr>
              <w:t>0.00%</w:t>
            </w:r>
          </w:p>
        </w:tc>
      </w:tr>
    </w:tbl>
    <w:p w:rsidR="002A0C86" w:rsidRDefault="002A0C86">
      <w:pPr>
        <w:autoSpaceDE w:val="0"/>
        <w:autoSpaceDN w:val="0"/>
        <w:adjustRightInd w:val="0"/>
        <w:spacing w:line="202" w:lineRule="exact"/>
        <w:ind w:rightChars="6" w:right="13" w:firstLine="480"/>
        <w:jc w:val="center"/>
        <w:rPr>
          <w:rFonts w:cs="宋体" w:hint="eastAsia"/>
          <w:kern w:val="0"/>
          <w:position w:val="-2"/>
          <w:sz w:val="24"/>
        </w:rPr>
      </w:pPr>
    </w:p>
    <w:p w:rsidR="002A0C86" w:rsidRDefault="002A0C86">
      <w:pPr>
        <w:ind w:firstLine="480"/>
        <w:rPr>
          <w:rFonts w:hint="eastAsia"/>
          <w:b/>
          <w:bCs/>
          <w:sz w:val="24"/>
        </w:rPr>
      </w:pPr>
      <w:r>
        <w:rPr>
          <w:rFonts w:cs="宋体" w:hint="eastAsia"/>
          <w:kern w:val="0"/>
          <w:sz w:val="24"/>
        </w:rPr>
        <w:t>（</w:t>
      </w:r>
      <w:r>
        <w:rPr>
          <w:rFonts w:cs="宋体" w:hint="eastAsia"/>
          <w:kern w:val="0"/>
          <w:sz w:val="24"/>
        </w:rPr>
        <w:t>2</w:t>
      </w:r>
      <w:r>
        <w:rPr>
          <w:rFonts w:cs="宋体" w:hint="eastAsia"/>
          <w:kern w:val="0"/>
          <w:sz w:val="24"/>
        </w:rPr>
        <w:t>）对持续持有期少于</w:t>
      </w:r>
      <w:r>
        <w:rPr>
          <w:rFonts w:cs="宋体" w:hint="eastAsia"/>
          <w:kern w:val="0"/>
          <w:sz w:val="24"/>
        </w:rPr>
        <w:t>30</w:t>
      </w:r>
      <w:r>
        <w:rPr>
          <w:rFonts w:cs="宋体" w:hint="eastAsia"/>
          <w:kern w:val="0"/>
          <w:sz w:val="24"/>
        </w:rPr>
        <w:t>日的投资人收取的赎回费，将全额计入基金财产；对持续持有期大于</w:t>
      </w:r>
      <w:r>
        <w:rPr>
          <w:rFonts w:cs="宋体" w:hint="eastAsia"/>
          <w:kern w:val="0"/>
          <w:sz w:val="24"/>
        </w:rPr>
        <w:t>30</w:t>
      </w:r>
      <w:r>
        <w:rPr>
          <w:rFonts w:cs="宋体" w:hint="eastAsia"/>
          <w:kern w:val="0"/>
          <w:sz w:val="24"/>
        </w:rPr>
        <w:t>日（含）但少于</w:t>
      </w:r>
      <w:r>
        <w:rPr>
          <w:rFonts w:cs="宋体" w:hint="eastAsia"/>
          <w:kern w:val="0"/>
          <w:sz w:val="24"/>
        </w:rPr>
        <w:t>90</w:t>
      </w:r>
      <w:r>
        <w:rPr>
          <w:rFonts w:cs="宋体" w:hint="eastAsia"/>
          <w:kern w:val="0"/>
          <w:sz w:val="24"/>
        </w:rPr>
        <w:t>日的投资人收取的赎回费，将赎回费总额的</w:t>
      </w:r>
      <w:r>
        <w:rPr>
          <w:rFonts w:cs="宋体" w:hint="eastAsia"/>
          <w:kern w:val="0"/>
          <w:sz w:val="24"/>
        </w:rPr>
        <w:t>75%</w:t>
      </w:r>
      <w:r>
        <w:rPr>
          <w:rFonts w:cs="宋体" w:hint="eastAsia"/>
          <w:kern w:val="0"/>
          <w:sz w:val="24"/>
        </w:rPr>
        <w:t>计入基金财产。未计入基金财产的部分用于支付登记费和其他必要的手续费。</w:t>
      </w:r>
    </w:p>
    <w:p w:rsidR="002A0C86" w:rsidRDefault="002A0C86">
      <w:pPr>
        <w:pStyle w:val="a1"/>
        <w:jc w:val="both"/>
        <w:outlineLvl w:val="2"/>
        <w:rPr>
          <w:rFonts w:ascii="Times New Roman" w:hAnsi="Times New Roman" w:hint="eastAsia"/>
          <w:b w:val="0"/>
          <w:bCs w:val="0"/>
          <w:sz w:val="24"/>
          <w:szCs w:val="24"/>
        </w:rPr>
      </w:pPr>
      <w:r>
        <w:rPr>
          <w:rFonts w:ascii="Times New Roman" w:hAnsi="Times New Roman" w:hint="eastAsia"/>
          <w:b w:val="0"/>
          <w:bCs w:val="0"/>
          <w:sz w:val="24"/>
          <w:szCs w:val="24"/>
        </w:rPr>
        <w:t>4.3</w:t>
      </w:r>
      <w:r>
        <w:rPr>
          <w:rFonts w:ascii="Times New Roman" w:hAnsi="Times New Roman" w:hint="eastAsia"/>
          <w:b w:val="0"/>
          <w:bCs w:val="0"/>
          <w:sz w:val="24"/>
          <w:szCs w:val="24"/>
        </w:rPr>
        <w:t>其他与赎回相关的事项</w:t>
      </w:r>
    </w:p>
    <w:p w:rsidR="002A0C86" w:rsidRDefault="002A0C86">
      <w:pPr>
        <w:ind w:firstLine="480"/>
        <w:rPr>
          <w:rFonts w:hint="eastAsia"/>
          <w:bCs/>
          <w:sz w:val="24"/>
        </w:rPr>
      </w:pPr>
      <w:r>
        <w:rPr>
          <w:rFonts w:hint="eastAsia"/>
          <w:bCs/>
          <w:sz w:val="24"/>
        </w:rPr>
        <w:t>基金管理人可在法律法规允许的情况下，调整上述规定申购金额和赎回份额的数量限制。基金管理人必须在调整实施前依照《信息披露办法》的有关规定在规定媒介上公告。</w:t>
      </w:r>
    </w:p>
    <w:p w:rsidR="002A0C86" w:rsidRDefault="002A0C86">
      <w:pPr>
        <w:ind w:firstLine="480"/>
        <w:rPr>
          <w:rFonts w:hint="eastAsia"/>
          <w:kern w:val="0"/>
          <w:sz w:val="24"/>
        </w:rPr>
      </w:pPr>
      <w:r>
        <w:rPr>
          <w:rFonts w:cs="宋体" w:hint="eastAsia"/>
          <w:sz w:val="24"/>
        </w:rPr>
        <w:t>基金管理人可以在基金合同约定的范围内调整费率或收费方式，并最迟应于新的费率或收费方式实施日前依照《信息披露办法》的有关规定在规定媒介上公告。</w:t>
      </w:r>
    </w:p>
    <w:p w:rsidR="002A0C86" w:rsidRDefault="002A0C86">
      <w:pPr>
        <w:pStyle w:val="a1"/>
        <w:spacing w:line="360" w:lineRule="auto"/>
        <w:jc w:val="left"/>
        <w:outlineLvl w:val="2"/>
        <w:rPr>
          <w:rFonts w:ascii="Times New Roman" w:hAnsi="Times New Roman" w:hint="eastAsia"/>
          <w:kern w:val="0"/>
          <w:sz w:val="24"/>
          <w:szCs w:val="24"/>
        </w:rPr>
      </w:pPr>
      <w:r>
        <w:rPr>
          <w:rFonts w:ascii="Times New Roman" w:hAnsi="Times New Roman" w:hint="eastAsia"/>
          <w:kern w:val="0"/>
          <w:sz w:val="24"/>
          <w:szCs w:val="24"/>
        </w:rPr>
        <w:t xml:space="preserve">5 </w:t>
      </w:r>
      <w:r>
        <w:rPr>
          <w:rFonts w:ascii="Times New Roman" w:hAnsi="Times New Roman" w:hint="eastAsia"/>
          <w:kern w:val="0"/>
          <w:sz w:val="24"/>
          <w:szCs w:val="24"/>
        </w:rPr>
        <w:t>基金销售机构</w:t>
      </w:r>
    </w:p>
    <w:p w:rsidR="002A0C86" w:rsidRDefault="002A0C86">
      <w:pPr>
        <w:pStyle w:val="a1"/>
        <w:spacing w:before="0" w:after="0" w:line="360" w:lineRule="auto"/>
        <w:jc w:val="both"/>
        <w:outlineLvl w:val="2"/>
        <w:rPr>
          <w:rFonts w:ascii="Times New Roman" w:hAnsi="Times New Roman" w:cs="宋体"/>
          <w:kern w:val="0"/>
          <w:sz w:val="24"/>
        </w:rPr>
      </w:pPr>
      <w:r>
        <w:rPr>
          <w:rFonts w:ascii="Times New Roman" w:hAnsi="Times New Roman" w:cs="宋体" w:hint="eastAsia"/>
          <w:kern w:val="0"/>
          <w:sz w:val="24"/>
          <w:szCs w:val="24"/>
        </w:rPr>
        <w:t>5.1</w:t>
      </w:r>
      <w:r>
        <w:rPr>
          <w:rFonts w:ascii="Times New Roman" w:hAnsi="Times New Roman" w:cs="宋体" w:hint="eastAsia"/>
          <w:kern w:val="0"/>
          <w:sz w:val="24"/>
          <w:szCs w:val="24"/>
        </w:rPr>
        <w:t>场外销售</w:t>
      </w:r>
      <w:r>
        <w:rPr>
          <w:rFonts w:ascii="Times New Roman" w:hAnsi="Times New Roman" w:cs="宋体" w:hint="eastAsia"/>
          <w:kern w:val="0"/>
          <w:sz w:val="24"/>
        </w:rPr>
        <w:t>机构</w:t>
      </w:r>
    </w:p>
    <w:p w:rsidR="002A0C86" w:rsidRDefault="002A0C86">
      <w:pPr>
        <w:ind w:firstLine="480"/>
        <w:rPr>
          <w:color w:val="1E1E1E"/>
          <w:kern w:val="0"/>
          <w:sz w:val="24"/>
        </w:rPr>
      </w:pPr>
      <w:r>
        <w:rPr>
          <w:rFonts w:hint="eastAsia"/>
          <w:color w:val="1E1E1E"/>
          <w:kern w:val="0"/>
          <w:sz w:val="24"/>
        </w:rPr>
        <w:t>（</w:t>
      </w:r>
      <w:r>
        <w:rPr>
          <w:rFonts w:hint="eastAsia"/>
          <w:color w:val="1E1E1E"/>
          <w:kern w:val="0"/>
          <w:sz w:val="24"/>
        </w:rPr>
        <w:t>1</w:t>
      </w:r>
      <w:r>
        <w:rPr>
          <w:rFonts w:hint="eastAsia"/>
          <w:color w:val="1E1E1E"/>
          <w:kern w:val="0"/>
          <w:sz w:val="24"/>
        </w:rPr>
        <w:t>）</w:t>
      </w:r>
      <w:r>
        <w:rPr>
          <w:color w:val="1E1E1E"/>
          <w:kern w:val="0"/>
          <w:sz w:val="24"/>
        </w:rPr>
        <w:t>直销机构</w:t>
      </w:r>
    </w:p>
    <w:p w:rsidR="002A0C86" w:rsidRDefault="002A0C86">
      <w:pPr>
        <w:autoSpaceDE w:val="0"/>
        <w:autoSpaceDN w:val="0"/>
        <w:adjustRightInd w:val="0"/>
        <w:ind w:firstLineChars="184" w:firstLine="442"/>
        <w:rPr>
          <w:color w:val="1E1E1E"/>
          <w:kern w:val="0"/>
          <w:sz w:val="24"/>
        </w:rPr>
      </w:pPr>
      <w:r>
        <w:rPr>
          <w:color w:val="1E1E1E"/>
          <w:kern w:val="0"/>
          <w:sz w:val="24"/>
        </w:rPr>
        <w:t>本基金直销机构为民生加银基金管理有限公司。</w:t>
      </w:r>
    </w:p>
    <w:p w:rsidR="002A0C86" w:rsidRDefault="002A0C86">
      <w:pPr>
        <w:autoSpaceDE w:val="0"/>
        <w:autoSpaceDN w:val="0"/>
        <w:adjustRightInd w:val="0"/>
        <w:ind w:firstLineChars="184" w:firstLine="442"/>
        <w:rPr>
          <w:color w:val="1E1E1E"/>
          <w:kern w:val="0"/>
          <w:sz w:val="24"/>
        </w:rPr>
      </w:pPr>
      <w:r>
        <w:rPr>
          <w:color w:val="1E1E1E"/>
          <w:kern w:val="0"/>
          <w:sz w:val="24"/>
        </w:rPr>
        <w:t>地址：深圳市福田区莲花街道福中三路</w:t>
      </w:r>
      <w:r>
        <w:rPr>
          <w:color w:val="1E1E1E"/>
          <w:kern w:val="0"/>
          <w:sz w:val="24"/>
        </w:rPr>
        <w:t>2005</w:t>
      </w:r>
      <w:r>
        <w:rPr>
          <w:color w:val="1E1E1E"/>
          <w:kern w:val="0"/>
          <w:sz w:val="24"/>
        </w:rPr>
        <w:t>号民生金融大厦</w:t>
      </w:r>
      <w:r>
        <w:rPr>
          <w:color w:val="1E1E1E"/>
          <w:kern w:val="0"/>
          <w:sz w:val="24"/>
        </w:rPr>
        <w:t>13</w:t>
      </w:r>
      <w:r>
        <w:rPr>
          <w:color w:val="1E1E1E"/>
          <w:kern w:val="0"/>
          <w:sz w:val="24"/>
        </w:rPr>
        <w:t>楼</w:t>
      </w:r>
      <w:r>
        <w:rPr>
          <w:color w:val="1E1E1E"/>
          <w:kern w:val="0"/>
          <w:sz w:val="24"/>
        </w:rPr>
        <w:t xml:space="preserve">13A </w:t>
      </w:r>
    </w:p>
    <w:p w:rsidR="002A0C86" w:rsidRDefault="002A0C86">
      <w:pPr>
        <w:autoSpaceDE w:val="0"/>
        <w:autoSpaceDN w:val="0"/>
        <w:adjustRightInd w:val="0"/>
        <w:ind w:firstLineChars="184" w:firstLine="442"/>
        <w:rPr>
          <w:color w:val="1E1E1E"/>
          <w:kern w:val="0"/>
          <w:sz w:val="24"/>
        </w:rPr>
      </w:pPr>
      <w:r>
        <w:rPr>
          <w:color w:val="1E1E1E"/>
          <w:kern w:val="0"/>
          <w:sz w:val="24"/>
        </w:rPr>
        <w:t>网址：</w:t>
      </w:r>
      <w:r>
        <w:rPr>
          <w:color w:val="1E1E1E"/>
          <w:kern w:val="0"/>
          <w:sz w:val="24"/>
        </w:rPr>
        <w:t xml:space="preserve">www.msjyfund.com.cn </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color w:val="1E1E1E"/>
          <w:kern w:val="0"/>
          <w:sz w:val="24"/>
        </w:rPr>
      </w:pPr>
      <w:r>
        <w:rPr>
          <w:color w:val="1E1E1E"/>
          <w:kern w:val="0"/>
          <w:sz w:val="24"/>
        </w:rPr>
        <w:t>客户服务电话：</w:t>
      </w:r>
      <w:r>
        <w:rPr>
          <w:color w:val="1E1E1E"/>
          <w:kern w:val="0"/>
          <w:sz w:val="24"/>
        </w:rPr>
        <w:t>400-8888-388</w:t>
      </w:r>
    </w:p>
    <w:p w:rsidR="002A0C86" w:rsidRDefault="002A0C86">
      <w:pPr>
        <w:autoSpaceDE w:val="0"/>
        <w:autoSpaceDN w:val="0"/>
        <w:adjustRightInd w:val="0"/>
        <w:ind w:firstLineChars="184" w:firstLine="442"/>
        <w:rPr>
          <w:rFonts w:cs="宋体" w:hint="eastAsia"/>
          <w:color w:val="1E1E1E"/>
          <w:kern w:val="0"/>
          <w:sz w:val="24"/>
        </w:rPr>
      </w:pPr>
      <w:r>
        <w:rPr>
          <w:rFonts w:cs="宋体" w:hint="eastAsia"/>
          <w:color w:val="1E1E1E"/>
          <w:kern w:val="0"/>
          <w:sz w:val="24"/>
        </w:rPr>
        <w:t>投资者如需办理直销网上交易，可登录本公司网站</w:t>
      </w:r>
      <w:r>
        <w:rPr>
          <w:rFonts w:cs="宋体" w:hint="eastAsia"/>
          <w:color w:val="1E1E1E"/>
          <w:kern w:val="0"/>
          <w:sz w:val="24"/>
        </w:rPr>
        <w:t>www.msjyfund.com.cn</w:t>
      </w:r>
      <w:r>
        <w:rPr>
          <w:rFonts w:cs="宋体" w:hint="eastAsia"/>
          <w:color w:val="1E1E1E"/>
          <w:kern w:val="0"/>
          <w:sz w:val="24"/>
        </w:rPr>
        <w:t>参阅《民生加银基金管理有限公司开放式基金业务规则》办理相关开户、申购、赎回业务。</w:t>
      </w:r>
    </w:p>
    <w:p w:rsidR="002A0C86" w:rsidRDefault="002A0C86">
      <w:pPr>
        <w:ind w:firstLine="480"/>
        <w:rPr>
          <w:bCs/>
          <w:color w:val="1E1E1E"/>
          <w:kern w:val="0"/>
          <w:sz w:val="24"/>
        </w:rPr>
      </w:pPr>
      <w:r>
        <w:rPr>
          <w:rFonts w:hint="eastAsia"/>
          <w:bCs/>
          <w:color w:val="1E1E1E"/>
          <w:kern w:val="0"/>
          <w:sz w:val="24"/>
        </w:rPr>
        <w:t>（</w:t>
      </w:r>
      <w:r>
        <w:rPr>
          <w:rFonts w:hint="eastAsia"/>
          <w:bCs/>
          <w:color w:val="1E1E1E"/>
          <w:kern w:val="0"/>
          <w:sz w:val="24"/>
        </w:rPr>
        <w:t>2</w:t>
      </w:r>
      <w:r>
        <w:rPr>
          <w:rFonts w:hint="eastAsia"/>
          <w:bCs/>
          <w:color w:val="1E1E1E"/>
          <w:kern w:val="0"/>
          <w:sz w:val="24"/>
        </w:rPr>
        <w:t>）其他场外</w:t>
      </w:r>
      <w:r>
        <w:rPr>
          <w:bCs/>
          <w:color w:val="1E1E1E"/>
          <w:kern w:val="0"/>
          <w:sz w:val="24"/>
        </w:rPr>
        <w:t>销售机构</w:t>
      </w:r>
    </w:p>
    <w:p w:rsidR="002A0C86" w:rsidRDefault="00245517">
      <w:pPr>
        <w:ind w:firstLine="480"/>
        <w:rPr>
          <w:bCs/>
          <w:color w:val="1E1E1E"/>
          <w:kern w:val="0"/>
          <w:sz w:val="24"/>
        </w:rPr>
      </w:pPr>
      <w:r>
        <w:rPr>
          <w:rFonts w:hint="eastAsia"/>
          <w:bCs/>
          <w:color w:val="1E1E1E"/>
          <w:kern w:val="0"/>
          <w:sz w:val="24"/>
        </w:rPr>
        <w:t>兴业银行股份有限公司、</w:t>
      </w:r>
      <w:r w:rsidR="002A0C86">
        <w:rPr>
          <w:bCs/>
          <w:color w:val="1E1E1E"/>
          <w:kern w:val="0"/>
          <w:sz w:val="24"/>
        </w:rPr>
        <w:t>江苏江南农村商业银行股份有限公司、深圳前海微众银行股份有限公司、杭州银行股份有限公司、宁波银行股份有限公司、华夏银行股份有限公司、平安银行股份有限公司、江苏银行股份有限公司、北京银行股份有限公司、交通银行股份有限公司、中国民生银行股份有限公司、南京银行股份有限公司、中信银行股份有限公司、海通证券股份有限公司、中信证券（山东）有限责任公司、华泰证券股份有限公司、国信证券股份有限公司、华安证券股份有限公司、中信证券华南股份有限公司、光大证券股份有限公司、中泰证券股份有限公司、长江证券股份有限公司、申万宏源西部证券有限公司、东方财富证券股份有限公司、中信期货有限公司、招商证券股份有限公司、中国银河证券股份有限公司、中信建投证券股份有限公司、兴业证券股份有限公司、申万宏源证券有限公司、恒泰证券股份有限公司、国金证券股份有限公司、华宝证券有限责任公司、国泰君安证券股份有限公司、中信证券股份有限公司、安信证券股份有限公司、诺亚正行基金销售有限公司、北京虹点基金销售有限公司、浙江同花顺基金销售有限公司、上海陆金所基金销售有限公司、上海天天基金销售有限公司、蚂蚁（杭州）基金销售有限公司、深圳众禄基金销售股份有限公司、上海好买基金销售有限公司、珠海盈米基金销售有限公司、深圳市新兰德证券投资咨询有限公司、京东肯特瑞基金销售有限公司、北京汇成基金销售有限公司、上海基煜基金销售有限公司、北京雪球基金销售有限公司、上海万得基金销售有限公司、弘业期货股份有限公司、南京苏宁基金销售有限公司、北京中植基金销售有限公司、腾安基金销售（深圳）有限公司、北京创金启富基金销售有限公司、北京度小满基金销售有限公司、上海联泰基金销售有限公司、阳光人寿保险股份有限公司、泛华普益基金销售有限公司、泰信财富基金销售有限公司、上海长量基金销售有限公司、上海利得基金销售有限公司、通华财富（上海）基金销售有限公司、上海攀赢基金销售有限公司、和耕传承基金销售有限公司、济安财富（北京）基金销售有限公司、上海陆享基金销售有限公司（以上排名不分先后）</w:t>
      </w:r>
      <w:r w:rsidR="002A0C86">
        <w:rPr>
          <w:rFonts w:hint="eastAsia"/>
          <w:bCs/>
          <w:color w:val="1E1E1E"/>
          <w:kern w:val="0"/>
          <w:sz w:val="24"/>
        </w:rPr>
        <w:t>。</w:t>
      </w:r>
      <w:r w:rsidR="002A0C86">
        <w:rPr>
          <w:bCs/>
          <w:color w:val="1E1E1E"/>
          <w:kern w:val="0"/>
          <w:sz w:val="24"/>
        </w:rPr>
        <w:t>基金管理人可根据《中华人民共和国证券投资基金法》、《公开募集证券投资基金运作管理办法》、《公开募集证券投资基金销售机构监督管理办法》和《基金合同》等相关规定，选择其他符合要求的机构销售本基金，并在基金管理人网站公示。</w:t>
      </w:r>
    </w:p>
    <w:p w:rsidR="002A0C86" w:rsidRDefault="002A0C86">
      <w:pPr>
        <w:ind w:firstLineChars="0" w:firstLine="0"/>
        <w:outlineLvl w:val="2"/>
        <w:rPr>
          <w:rFonts w:cs="宋体"/>
          <w:b/>
          <w:bCs/>
          <w:kern w:val="0"/>
          <w:sz w:val="24"/>
        </w:rPr>
      </w:pPr>
      <w:r>
        <w:rPr>
          <w:rFonts w:cs="宋体" w:hint="eastAsia"/>
          <w:b/>
          <w:bCs/>
          <w:kern w:val="0"/>
          <w:sz w:val="24"/>
        </w:rPr>
        <w:t>5</w:t>
      </w:r>
      <w:r>
        <w:rPr>
          <w:rFonts w:cs="宋体"/>
          <w:b/>
          <w:bCs/>
          <w:kern w:val="0"/>
          <w:sz w:val="24"/>
        </w:rPr>
        <w:t>.</w:t>
      </w:r>
      <w:r>
        <w:rPr>
          <w:rFonts w:cs="宋体" w:hint="eastAsia"/>
          <w:b/>
          <w:bCs/>
          <w:kern w:val="0"/>
          <w:sz w:val="24"/>
        </w:rPr>
        <w:t>2</w:t>
      </w:r>
      <w:r>
        <w:rPr>
          <w:rFonts w:cs="宋体"/>
          <w:b/>
          <w:bCs/>
          <w:kern w:val="0"/>
          <w:sz w:val="24"/>
        </w:rPr>
        <w:t>场内销售机构</w:t>
      </w:r>
      <w:r>
        <w:rPr>
          <w:rFonts w:cs="宋体"/>
          <w:b/>
          <w:bCs/>
          <w:kern w:val="0"/>
          <w:sz w:val="24"/>
        </w:rPr>
        <w:t xml:space="preserve"> </w:t>
      </w:r>
    </w:p>
    <w:p w:rsidR="002A0C86" w:rsidRDefault="002A0C86">
      <w:pPr>
        <w:autoSpaceDE w:val="0"/>
        <w:autoSpaceDN w:val="0"/>
        <w:adjustRightInd w:val="0"/>
        <w:ind w:firstLine="480"/>
        <w:rPr>
          <w:rFonts w:hint="eastAsia"/>
          <w:color w:val="1E1E1E"/>
          <w:kern w:val="0"/>
          <w:sz w:val="24"/>
        </w:rPr>
      </w:pPr>
      <w:r>
        <w:rPr>
          <w:color w:val="1E1E1E"/>
          <w:kern w:val="0"/>
          <w:sz w:val="24"/>
        </w:rPr>
        <w:t>具有基金销售业务资格、且经上海证券交易所和中国证券登记结算有限责任公司认可的上海证券交易所会员单位。具体会员单位名单可在上海证券交易所网站查询。</w:t>
      </w:r>
    </w:p>
    <w:p w:rsidR="002A0C86" w:rsidRDefault="002A0C86">
      <w:pPr>
        <w:pStyle w:val="a1"/>
        <w:spacing w:line="360" w:lineRule="auto"/>
        <w:jc w:val="left"/>
        <w:outlineLvl w:val="2"/>
        <w:rPr>
          <w:rFonts w:ascii="Times New Roman" w:hAnsi="Times New Roman" w:hint="eastAsia"/>
          <w:kern w:val="0"/>
          <w:sz w:val="24"/>
          <w:szCs w:val="24"/>
        </w:rPr>
      </w:pPr>
      <w:r>
        <w:rPr>
          <w:rFonts w:ascii="Times New Roman" w:hAnsi="Times New Roman" w:hint="eastAsia"/>
          <w:kern w:val="0"/>
          <w:sz w:val="24"/>
          <w:szCs w:val="24"/>
        </w:rPr>
        <w:t>6</w:t>
      </w:r>
      <w:r>
        <w:rPr>
          <w:rFonts w:ascii="Times New Roman" w:hAnsi="Times New Roman"/>
          <w:kern w:val="0"/>
          <w:sz w:val="24"/>
          <w:szCs w:val="24"/>
        </w:rPr>
        <w:t xml:space="preserve"> </w:t>
      </w:r>
      <w:r>
        <w:rPr>
          <w:rFonts w:ascii="Times New Roman" w:hAnsi="Times New Roman"/>
          <w:sz w:val="24"/>
        </w:rPr>
        <w:t>基金份额净值</w:t>
      </w:r>
      <w:r>
        <w:rPr>
          <w:rFonts w:ascii="Times New Roman" w:hAnsi="Times New Roman" w:hint="eastAsia"/>
          <w:sz w:val="24"/>
        </w:rPr>
        <w:t>公告</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hint="eastAsia"/>
          <w:bCs/>
          <w:sz w:val="24"/>
        </w:rPr>
      </w:pPr>
      <w:r>
        <w:rPr>
          <w:rFonts w:hint="eastAsia"/>
          <w:bCs/>
          <w:sz w:val="24"/>
        </w:rPr>
        <w:t>自</w:t>
      </w:r>
      <w:r>
        <w:rPr>
          <w:rFonts w:hint="eastAsia"/>
          <w:bCs/>
          <w:sz w:val="24"/>
        </w:rPr>
        <w:t>2021</w:t>
      </w:r>
      <w:r>
        <w:rPr>
          <w:rFonts w:hint="eastAsia"/>
          <w:bCs/>
          <w:sz w:val="24"/>
        </w:rPr>
        <w:t>年</w:t>
      </w:r>
      <w:r>
        <w:rPr>
          <w:rFonts w:hint="eastAsia"/>
          <w:bCs/>
          <w:sz w:val="24"/>
        </w:rPr>
        <w:t>12</w:t>
      </w:r>
      <w:r>
        <w:rPr>
          <w:rFonts w:hint="eastAsia"/>
          <w:bCs/>
          <w:sz w:val="24"/>
        </w:rPr>
        <w:t>月</w:t>
      </w:r>
      <w:r>
        <w:rPr>
          <w:rFonts w:hint="eastAsia"/>
          <w:bCs/>
          <w:sz w:val="24"/>
        </w:rPr>
        <w:t>22</w:t>
      </w:r>
      <w:r>
        <w:rPr>
          <w:rFonts w:hint="eastAsia"/>
          <w:bCs/>
          <w:sz w:val="24"/>
        </w:rPr>
        <w:t>日本基金上市交易起，基金管理人已在不晚于每个开放日</w:t>
      </w:r>
      <w:r>
        <w:rPr>
          <w:rFonts w:hint="eastAsia"/>
          <w:bCs/>
          <w:sz w:val="24"/>
        </w:rPr>
        <w:t>/</w:t>
      </w:r>
      <w:r>
        <w:rPr>
          <w:rFonts w:hint="eastAsia"/>
          <w:bCs/>
          <w:sz w:val="24"/>
        </w:rPr>
        <w:t>交易日的次三个工作日内，通过规定网站、基金销售机构网站或者营业网点披露开放日</w:t>
      </w:r>
      <w:r>
        <w:rPr>
          <w:rFonts w:hint="eastAsia"/>
          <w:bCs/>
          <w:sz w:val="24"/>
        </w:rPr>
        <w:t>/</w:t>
      </w:r>
      <w:r>
        <w:rPr>
          <w:rFonts w:hint="eastAsia"/>
          <w:bCs/>
          <w:sz w:val="24"/>
        </w:rPr>
        <w:t>交易日的基金份额净值和基金份额累计净值。</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hint="eastAsia"/>
          <w:kern w:val="0"/>
          <w:sz w:val="24"/>
        </w:rPr>
      </w:pPr>
      <w:r>
        <w:rPr>
          <w:rFonts w:hint="eastAsia"/>
          <w:bCs/>
          <w:sz w:val="24"/>
        </w:rPr>
        <w:t>基金管理人应当在不晚于半年度和年度最后一日的后两个工作日的次日内，在规定网站披露半年度和年度最后一日的基金份额净值和基金份额累计净值。</w:t>
      </w:r>
    </w:p>
    <w:p w:rsidR="002A0C86" w:rsidRDefault="002A0C86">
      <w:pPr>
        <w:pStyle w:val="a1"/>
        <w:spacing w:line="360" w:lineRule="auto"/>
        <w:jc w:val="left"/>
        <w:outlineLvl w:val="2"/>
        <w:rPr>
          <w:rFonts w:ascii="Times New Roman" w:hAnsi="Times New Roman" w:hint="eastAsia"/>
          <w:kern w:val="0"/>
          <w:sz w:val="24"/>
          <w:szCs w:val="24"/>
        </w:rPr>
      </w:pPr>
      <w:r>
        <w:rPr>
          <w:rFonts w:ascii="Times New Roman" w:hAnsi="Times New Roman" w:hint="eastAsia"/>
          <w:kern w:val="0"/>
          <w:sz w:val="24"/>
          <w:szCs w:val="24"/>
        </w:rPr>
        <w:t>7</w:t>
      </w:r>
      <w:r>
        <w:rPr>
          <w:rFonts w:ascii="Times New Roman" w:hAnsi="Times New Roman"/>
          <w:kern w:val="0"/>
          <w:sz w:val="24"/>
          <w:szCs w:val="24"/>
        </w:rPr>
        <w:t xml:space="preserve"> </w:t>
      </w:r>
      <w:r>
        <w:rPr>
          <w:rFonts w:ascii="Times New Roman" w:hAnsi="Times New Roman" w:hint="eastAsia"/>
          <w:kern w:val="0"/>
          <w:sz w:val="24"/>
          <w:szCs w:val="24"/>
        </w:rPr>
        <w:t>其他需要提示的事项</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w:t>
      </w:r>
      <w:r>
        <w:rPr>
          <w:rFonts w:cs="宋体" w:hint="eastAsia"/>
          <w:color w:val="1E1E1E"/>
          <w:kern w:val="0"/>
          <w:sz w:val="24"/>
        </w:rPr>
        <w:t>1</w:t>
      </w:r>
      <w:r>
        <w:rPr>
          <w:rFonts w:cs="宋体" w:hint="eastAsia"/>
          <w:color w:val="1E1E1E"/>
          <w:kern w:val="0"/>
          <w:sz w:val="24"/>
        </w:rPr>
        <w:t>）本公告仅对</w:t>
      </w:r>
      <w:r w:rsidR="0037064C">
        <w:rPr>
          <w:rFonts w:cs="宋体" w:hint="eastAsia"/>
          <w:color w:val="1E1E1E"/>
          <w:kern w:val="0"/>
          <w:sz w:val="24"/>
        </w:rPr>
        <w:t>本基金</w:t>
      </w:r>
      <w:r>
        <w:rPr>
          <w:rFonts w:cs="宋体" w:hint="eastAsia"/>
          <w:color w:val="1E1E1E"/>
          <w:kern w:val="0"/>
          <w:sz w:val="24"/>
        </w:rPr>
        <w:t>第</w:t>
      </w:r>
      <w:r w:rsidR="0037064C">
        <w:rPr>
          <w:rFonts w:cs="宋体" w:hint="eastAsia"/>
          <w:color w:val="1E1E1E"/>
          <w:kern w:val="0"/>
          <w:sz w:val="24"/>
        </w:rPr>
        <w:t>四</w:t>
      </w:r>
      <w:r>
        <w:rPr>
          <w:rFonts w:cs="宋体" w:hint="eastAsia"/>
          <w:color w:val="1E1E1E"/>
          <w:kern w:val="0"/>
          <w:sz w:val="24"/>
        </w:rPr>
        <w:t>次办理申购、赎回业务等相关事项予以说明。投资者欲了解本基金的详细情况，可于本基金管理人网站或相关销售机构查阅本基金相关法律文件及资料。本公告的解释权归本公司所有。</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w:t>
      </w:r>
      <w:r>
        <w:rPr>
          <w:rFonts w:cs="宋体" w:hint="eastAsia"/>
          <w:color w:val="1E1E1E"/>
          <w:kern w:val="0"/>
          <w:sz w:val="24"/>
        </w:rPr>
        <w:t>2</w:t>
      </w:r>
      <w:r>
        <w:rPr>
          <w:rFonts w:cs="宋体" w:hint="eastAsia"/>
          <w:color w:val="1E1E1E"/>
          <w:kern w:val="0"/>
          <w:sz w:val="24"/>
        </w:rPr>
        <w:t>）</w:t>
      </w:r>
      <w:r>
        <w:rPr>
          <w:rFonts w:cs="宋体" w:hint="eastAsia"/>
          <w:bCs/>
          <w:color w:val="1E1E1E"/>
          <w:kern w:val="0"/>
          <w:sz w:val="24"/>
        </w:rPr>
        <w:t>本基金的封闭期为自《基金合同》生效日起（包括该日）或每一个开放期结束之日的次日起（包括该日）至</w:t>
      </w:r>
      <w:r>
        <w:rPr>
          <w:rFonts w:cs="宋体" w:hint="eastAsia"/>
          <w:color w:val="1E1E1E"/>
          <w:kern w:val="0"/>
          <w:sz w:val="24"/>
        </w:rPr>
        <w:t>该封闭期首日所对应的</w:t>
      </w:r>
      <w:r>
        <w:rPr>
          <w:rFonts w:cs="宋体" w:hint="eastAsia"/>
          <w:bCs/>
          <w:color w:val="1E1E1E"/>
          <w:kern w:val="0"/>
          <w:sz w:val="24"/>
        </w:rPr>
        <w:t>6</w:t>
      </w:r>
      <w:r>
        <w:rPr>
          <w:rFonts w:cs="宋体" w:hint="eastAsia"/>
          <w:bCs/>
          <w:color w:val="1E1E1E"/>
          <w:kern w:val="0"/>
          <w:sz w:val="24"/>
        </w:rPr>
        <w:t>个月月度对日的前一日止。本基金自每个封闭期结束之后第一个工作日起（包括该日）进入开放期，期间可以办理申购与赎回业务。本基金每个开放期不少于</w:t>
      </w:r>
      <w:r>
        <w:rPr>
          <w:rFonts w:cs="宋体" w:hint="eastAsia"/>
          <w:bCs/>
          <w:color w:val="1E1E1E"/>
          <w:kern w:val="0"/>
          <w:sz w:val="24"/>
        </w:rPr>
        <w:t>5</w:t>
      </w:r>
      <w:r>
        <w:rPr>
          <w:rFonts w:cs="宋体" w:hint="eastAsia"/>
          <w:bCs/>
          <w:color w:val="1E1E1E"/>
          <w:kern w:val="0"/>
          <w:sz w:val="24"/>
        </w:rPr>
        <w:t>个工作日且最长不超过</w:t>
      </w:r>
      <w:r>
        <w:rPr>
          <w:rFonts w:cs="宋体" w:hint="eastAsia"/>
          <w:bCs/>
          <w:color w:val="1E1E1E"/>
          <w:kern w:val="0"/>
          <w:sz w:val="24"/>
        </w:rPr>
        <w:t>20</w:t>
      </w:r>
      <w:r>
        <w:rPr>
          <w:rFonts w:cs="宋体" w:hint="eastAsia"/>
          <w:bCs/>
          <w:color w:val="1E1E1E"/>
          <w:kern w:val="0"/>
          <w:sz w:val="24"/>
        </w:rPr>
        <w:t>个工作日，开放期的具体时间以基金管理人届时公告为准。如封闭期结束后或在开放期内发生不可抗力或其他情形致使基金无法按时开放申购与赎回业务，或依据基金合同需暂停申购或赎回业务的，开放期时间顺延，直至满足开放期的时间要求，具体时间以基金管理人届时公告为准。</w:t>
      </w:r>
      <w:r>
        <w:rPr>
          <w:rFonts w:cs="宋体" w:hint="eastAsia"/>
          <w:color w:val="1E1E1E"/>
          <w:kern w:val="0"/>
          <w:sz w:val="24"/>
        </w:rPr>
        <w:t xml:space="preserve"> </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b/>
          <w:color w:val="1E1E1E"/>
          <w:kern w:val="0"/>
          <w:sz w:val="24"/>
        </w:rPr>
      </w:pPr>
      <w:r>
        <w:rPr>
          <w:rFonts w:cs="宋体" w:hint="eastAsia"/>
          <w:color w:val="1E1E1E"/>
          <w:kern w:val="0"/>
          <w:sz w:val="24"/>
        </w:rPr>
        <w:t>（</w:t>
      </w:r>
      <w:r>
        <w:rPr>
          <w:rFonts w:cs="宋体" w:hint="eastAsia"/>
          <w:color w:val="1E1E1E"/>
          <w:kern w:val="0"/>
          <w:sz w:val="24"/>
        </w:rPr>
        <w:t>3</w:t>
      </w:r>
      <w:r>
        <w:rPr>
          <w:rFonts w:cs="宋体" w:hint="eastAsia"/>
          <w:color w:val="1E1E1E"/>
          <w:kern w:val="0"/>
          <w:sz w:val="24"/>
        </w:rPr>
        <w:t>）自</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1</w:t>
      </w:r>
      <w:r w:rsidR="00C639CF">
        <w:rPr>
          <w:rFonts w:cs="宋体" w:hint="eastAsia"/>
          <w:color w:val="1E1E1E"/>
          <w:kern w:val="0"/>
          <w:sz w:val="24"/>
        </w:rPr>
        <w:t>月</w:t>
      </w:r>
      <w:r w:rsidR="00C639CF">
        <w:rPr>
          <w:rFonts w:cs="宋体" w:hint="eastAsia"/>
          <w:color w:val="1E1E1E"/>
          <w:kern w:val="0"/>
          <w:sz w:val="24"/>
        </w:rPr>
        <w:t>20</w:t>
      </w:r>
      <w:r w:rsidR="00C639CF">
        <w:rPr>
          <w:rFonts w:cs="宋体" w:hint="eastAsia"/>
          <w:color w:val="1E1E1E"/>
          <w:kern w:val="0"/>
          <w:sz w:val="24"/>
        </w:rPr>
        <w:t>日</w:t>
      </w:r>
      <w:r>
        <w:rPr>
          <w:rFonts w:cs="宋体" w:hint="eastAsia"/>
          <w:color w:val="1E1E1E"/>
          <w:kern w:val="0"/>
          <w:sz w:val="24"/>
        </w:rPr>
        <w:t>起至</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7</w:t>
      </w:r>
      <w:r w:rsidR="00C639CF">
        <w:rPr>
          <w:rFonts w:cs="宋体" w:hint="eastAsia"/>
          <w:color w:val="1E1E1E"/>
          <w:kern w:val="0"/>
          <w:sz w:val="24"/>
        </w:rPr>
        <w:t>月</w:t>
      </w:r>
      <w:r w:rsidR="00C639CF">
        <w:rPr>
          <w:rFonts w:cs="宋体" w:hint="eastAsia"/>
          <w:color w:val="1E1E1E"/>
          <w:kern w:val="0"/>
          <w:sz w:val="24"/>
        </w:rPr>
        <w:t>21</w:t>
      </w:r>
      <w:r w:rsidR="00C639CF">
        <w:rPr>
          <w:rFonts w:cs="宋体" w:hint="eastAsia"/>
          <w:color w:val="1E1E1E"/>
          <w:kern w:val="0"/>
          <w:sz w:val="24"/>
        </w:rPr>
        <w:t>日</w:t>
      </w:r>
      <w:r>
        <w:rPr>
          <w:rFonts w:cs="宋体" w:hint="eastAsia"/>
          <w:color w:val="1E1E1E"/>
          <w:kern w:val="0"/>
          <w:sz w:val="24"/>
        </w:rPr>
        <w:t>止，为本基金第</w:t>
      </w:r>
      <w:r w:rsidR="0037064C">
        <w:rPr>
          <w:rFonts w:cs="宋体" w:hint="eastAsia"/>
          <w:color w:val="1E1E1E"/>
          <w:kern w:val="0"/>
          <w:sz w:val="24"/>
        </w:rPr>
        <w:t>五</w:t>
      </w:r>
      <w:r>
        <w:rPr>
          <w:rFonts w:cs="宋体" w:hint="eastAsia"/>
          <w:color w:val="1E1E1E"/>
          <w:kern w:val="0"/>
          <w:sz w:val="24"/>
        </w:rPr>
        <w:t>个封闭期，封闭期内本基金不办理申购、赎回业务。</w:t>
      </w:r>
      <w:r w:rsidR="00C639CF">
        <w:rPr>
          <w:rFonts w:cs="宋体" w:hint="eastAsia"/>
          <w:color w:val="1E1E1E"/>
          <w:kern w:val="0"/>
          <w:sz w:val="24"/>
        </w:rPr>
        <w:t>2024</w:t>
      </w:r>
      <w:r w:rsidR="00C639CF">
        <w:rPr>
          <w:rFonts w:cs="宋体" w:hint="eastAsia"/>
          <w:color w:val="1E1E1E"/>
          <w:kern w:val="0"/>
          <w:sz w:val="24"/>
        </w:rPr>
        <w:t>年</w:t>
      </w:r>
      <w:r w:rsidR="00C639CF">
        <w:rPr>
          <w:rFonts w:cs="宋体" w:hint="eastAsia"/>
          <w:color w:val="1E1E1E"/>
          <w:kern w:val="0"/>
          <w:sz w:val="24"/>
        </w:rPr>
        <w:t>1</w:t>
      </w:r>
      <w:r w:rsidR="00C639CF">
        <w:rPr>
          <w:rFonts w:cs="宋体" w:hint="eastAsia"/>
          <w:color w:val="1E1E1E"/>
          <w:kern w:val="0"/>
          <w:sz w:val="24"/>
        </w:rPr>
        <w:t>月</w:t>
      </w:r>
      <w:r w:rsidR="00C639CF">
        <w:rPr>
          <w:rFonts w:cs="宋体" w:hint="eastAsia"/>
          <w:color w:val="1E1E1E"/>
          <w:kern w:val="0"/>
          <w:sz w:val="24"/>
        </w:rPr>
        <w:t>19</w:t>
      </w:r>
      <w:r w:rsidR="00C639CF">
        <w:rPr>
          <w:rFonts w:cs="宋体" w:hint="eastAsia"/>
          <w:color w:val="1E1E1E"/>
          <w:kern w:val="0"/>
          <w:sz w:val="24"/>
        </w:rPr>
        <w:t>日</w:t>
      </w:r>
      <w:r>
        <w:rPr>
          <w:rFonts w:cs="宋体" w:hint="eastAsia"/>
          <w:color w:val="1E1E1E"/>
          <w:kern w:val="0"/>
          <w:sz w:val="24"/>
        </w:rPr>
        <w:t>15</w:t>
      </w:r>
      <w:r>
        <w:rPr>
          <w:rFonts w:cs="宋体" w:hint="eastAsia"/>
          <w:color w:val="1E1E1E"/>
          <w:kern w:val="0"/>
          <w:sz w:val="24"/>
        </w:rPr>
        <w:t>：</w:t>
      </w:r>
      <w:r>
        <w:rPr>
          <w:rFonts w:cs="宋体" w:hint="eastAsia"/>
          <w:color w:val="1E1E1E"/>
          <w:kern w:val="0"/>
          <w:sz w:val="24"/>
        </w:rPr>
        <w:t>00</w:t>
      </w:r>
      <w:r>
        <w:rPr>
          <w:rFonts w:cs="宋体" w:hint="eastAsia"/>
          <w:color w:val="1E1E1E"/>
          <w:kern w:val="0"/>
          <w:sz w:val="24"/>
        </w:rPr>
        <w:t>以后暂停接受办理本基金的申购、赎回业务直至下一个开放期。届时将不再另行公告。</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w:t>
      </w:r>
      <w:r>
        <w:rPr>
          <w:rFonts w:cs="宋体" w:hint="eastAsia"/>
          <w:color w:val="1E1E1E"/>
          <w:kern w:val="0"/>
          <w:sz w:val="24"/>
        </w:rPr>
        <w:t>4</w:t>
      </w:r>
      <w:r>
        <w:rPr>
          <w:rFonts w:cs="宋体" w:hint="eastAsia"/>
          <w:color w:val="1E1E1E"/>
          <w:kern w:val="0"/>
          <w:sz w:val="24"/>
        </w:rPr>
        <w:t>）投资者欲了解详细情况，可到本基金各销售机构网点或通过本公司客户服务中心查询。</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1</w:t>
      </w:r>
      <w:r>
        <w:rPr>
          <w:rFonts w:cs="宋体" w:hint="eastAsia"/>
          <w:color w:val="1E1E1E"/>
          <w:kern w:val="0"/>
          <w:sz w:val="24"/>
        </w:rPr>
        <w:t>）民生加银基金管理有限公司网站：</w:t>
      </w:r>
      <w:r>
        <w:rPr>
          <w:rFonts w:cs="宋体" w:hint="eastAsia"/>
          <w:color w:val="1E1E1E"/>
          <w:kern w:val="0"/>
          <w:sz w:val="24"/>
        </w:rPr>
        <w:t>www.msjyfund.com.cn</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2</w:t>
      </w:r>
      <w:r>
        <w:rPr>
          <w:rFonts w:cs="宋体" w:hint="eastAsia"/>
          <w:color w:val="1E1E1E"/>
          <w:kern w:val="0"/>
          <w:sz w:val="24"/>
        </w:rPr>
        <w:t>）民生加银基金管理有限公司客户服务热线：</w:t>
      </w:r>
      <w:r>
        <w:rPr>
          <w:rFonts w:cs="宋体" w:hint="eastAsia"/>
          <w:color w:val="1E1E1E"/>
          <w:kern w:val="0"/>
          <w:sz w:val="24"/>
        </w:rPr>
        <w:t>400-8888-388</w:t>
      </w:r>
      <w:r>
        <w:rPr>
          <w:rFonts w:cs="宋体" w:hint="eastAsia"/>
          <w:color w:val="1E1E1E"/>
          <w:kern w:val="0"/>
          <w:sz w:val="24"/>
        </w:rPr>
        <w:t>（免长途通话费用）</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1E1E1E"/>
          <w:kern w:val="0"/>
          <w:sz w:val="24"/>
        </w:rPr>
      </w:pPr>
      <w:r>
        <w:rPr>
          <w:rFonts w:cs="宋体" w:hint="eastAsia"/>
          <w:color w:val="1E1E1E"/>
          <w:kern w:val="0"/>
          <w:sz w:val="24"/>
        </w:rPr>
        <w:t>风险提示：</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cs="宋体" w:hint="eastAsia"/>
          <w:b/>
          <w:color w:val="1E1E1E"/>
          <w:kern w:val="0"/>
          <w:sz w:val="24"/>
        </w:rPr>
      </w:pPr>
      <w:r>
        <w:rPr>
          <w:rFonts w:cs="宋体" w:hint="eastAsia"/>
          <w:b/>
          <w:color w:val="1E1E1E"/>
          <w:kern w:val="0"/>
          <w:sz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hint="eastAsia"/>
          <w:color w:val="1E1E1E"/>
          <w:kern w:val="0"/>
          <w:sz w:val="24"/>
        </w:rPr>
      </w:pPr>
      <w:r>
        <w:rPr>
          <w:rFonts w:cs="宋体" w:hint="eastAsia"/>
          <w:color w:val="1E1E1E"/>
          <w:kern w:val="0"/>
          <w:sz w:val="24"/>
        </w:rPr>
        <w:t>特此公告。</w:t>
      </w: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cs="宋体"/>
          <w:color w:val="1E1E1E"/>
          <w:kern w:val="0"/>
          <w:sz w:val="24"/>
        </w:rPr>
      </w:pPr>
    </w:p>
    <w:p w:rsidR="002A0C86" w:rsidRDefault="002A0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cs="宋体"/>
          <w:color w:val="1E1E1E"/>
          <w:kern w:val="0"/>
          <w:sz w:val="24"/>
        </w:rPr>
      </w:pPr>
      <w:r>
        <w:rPr>
          <w:rFonts w:cs="宋体" w:hint="eastAsia"/>
          <w:color w:val="1E1E1E"/>
          <w:kern w:val="0"/>
          <w:sz w:val="24"/>
        </w:rPr>
        <w:t>民生加银基金管理有限公司</w:t>
      </w:r>
    </w:p>
    <w:p w:rsidR="002A0C86" w:rsidRDefault="00C63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cs="宋体" w:hint="eastAsia"/>
          <w:color w:val="1E1E1E"/>
          <w:kern w:val="0"/>
          <w:sz w:val="24"/>
        </w:rPr>
      </w:pPr>
      <w:r>
        <w:rPr>
          <w:rFonts w:cs="宋体" w:hint="eastAsia"/>
          <w:color w:val="1E1E1E"/>
          <w:kern w:val="0"/>
          <w:sz w:val="24"/>
        </w:rPr>
        <w:t>2024</w:t>
      </w:r>
      <w:r>
        <w:rPr>
          <w:rFonts w:cs="宋体" w:hint="eastAsia"/>
          <w:color w:val="1E1E1E"/>
          <w:kern w:val="0"/>
          <w:sz w:val="24"/>
        </w:rPr>
        <w:t>年</w:t>
      </w:r>
      <w:r>
        <w:rPr>
          <w:rFonts w:cs="宋体" w:hint="eastAsia"/>
          <w:color w:val="1E1E1E"/>
          <w:kern w:val="0"/>
          <w:sz w:val="24"/>
        </w:rPr>
        <w:t>1</w:t>
      </w:r>
      <w:r>
        <w:rPr>
          <w:rFonts w:cs="宋体" w:hint="eastAsia"/>
          <w:color w:val="1E1E1E"/>
          <w:kern w:val="0"/>
          <w:sz w:val="24"/>
        </w:rPr>
        <w:t>月</w:t>
      </w:r>
      <w:r>
        <w:rPr>
          <w:rFonts w:cs="宋体" w:hint="eastAsia"/>
          <w:color w:val="1E1E1E"/>
          <w:kern w:val="0"/>
          <w:sz w:val="24"/>
        </w:rPr>
        <w:t>2</w:t>
      </w:r>
      <w:r>
        <w:rPr>
          <w:rFonts w:cs="宋体" w:hint="eastAsia"/>
          <w:color w:val="1E1E1E"/>
          <w:kern w:val="0"/>
          <w:sz w:val="24"/>
        </w:rPr>
        <w:t>日</w:t>
      </w:r>
    </w:p>
    <w:sectPr w:rsidR="002A0C8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F8" w:rsidRDefault="00662DF8">
      <w:pPr>
        <w:spacing w:line="240" w:lineRule="auto"/>
        <w:ind w:firstLine="420"/>
      </w:pPr>
      <w:r>
        <w:separator/>
      </w:r>
    </w:p>
  </w:endnote>
  <w:endnote w:type="continuationSeparator" w:id="0">
    <w:p w:rsidR="00662DF8" w:rsidRDefault="00662DF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ˎ̥">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A4" w:rsidRDefault="007468A4">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6" w:rsidRDefault="002A0C86">
    <w:pPr>
      <w:pStyle w:val="a8"/>
      <w:ind w:firstLine="360"/>
      <w:jc w:val="center"/>
    </w:pPr>
    <w:r>
      <w:rPr>
        <w:rStyle w:val="ae"/>
      </w:rPr>
      <w:fldChar w:fldCharType="begin"/>
    </w:r>
    <w:r>
      <w:rPr>
        <w:rStyle w:val="ae"/>
      </w:rPr>
      <w:instrText xml:space="preserve"> PAGE </w:instrText>
    </w:r>
    <w:r>
      <w:rPr>
        <w:rStyle w:val="ae"/>
      </w:rPr>
      <w:fldChar w:fldCharType="separate"/>
    </w:r>
    <w:r w:rsidR="00F629B1">
      <w:rPr>
        <w:rStyle w:val="ae"/>
        <w:noProof/>
      </w:rPr>
      <w:t>2</w:t>
    </w:r>
    <w:r>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6" w:rsidRDefault="002A0C86">
    <w:pPr>
      <w:pStyle w:val="a8"/>
      <w:ind w:firstLine="360"/>
      <w:jc w:val="center"/>
    </w:pPr>
    <w:fldSimple w:instr=" PAGE   \* MERGEFORMAT ">
      <w:r w:rsidR="00F629B1" w:rsidRPr="00F629B1">
        <w:rPr>
          <w:noProof/>
          <w:lang w:val="zh-CN" w:eastAsia="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F8" w:rsidRDefault="00662DF8">
      <w:pPr>
        <w:spacing w:line="240" w:lineRule="auto"/>
        <w:ind w:firstLine="420"/>
      </w:pPr>
      <w:r>
        <w:separator/>
      </w:r>
    </w:p>
  </w:footnote>
  <w:footnote w:type="continuationSeparator" w:id="0">
    <w:p w:rsidR="00662DF8" w:rsidRDefault="00662DF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A4" w:rsidRDefault="007468A4">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6" w:rsidRDefault="002A0C86">
    <w:pPr>
      <w:pStyle w:val="a7"/>
      <w:ind w:firstLine="360"/>
    </w:pPr>
    <w:r>
      <w:rPr>
        <w:rFonts w:hint="eastAsia"/>
      </w:rPr>
      <w:t>民生加银优享</w:t>
    </w:r>
    <w:r>
      <w:rPr>
        <w:rFonts w:hint="eastAsia"/>
      </w:rPr>
      <w:t>6</w:t>
    </w:r>
    <w:r>
      <w:rPr>
        <w:rFonts w:hint="eastAsia"/>
      </w:rPr>
      <w:t>个月定期开放混合型基金中基金（</w:t>
    </w:r>
    <w:r>
      <w:rPr>
        <w:rFonts w:hint="eastAsia"/>
      </w:rPr>
      <w:t>FOF-LOF</w:t>
    </w:r>
    <w:r>
      <w:rPr>
        <w:rFonts w:hint="eastAsia"/>
      </w:rPr>
      <w:t>）开放申购、赎回业务的公告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6" w:rsidRDefault="002A0C86">
    <w:pPr>
      <w:pStyle w:val="a7"/>
      <w:wordWrap w:val="0"/>
      <w:ind w:right="360" w:firstLineChars="0" w:firstLine="0"/>
      <w:rPr>
        <w:i/>
      </w:rPr>
    </w:pPr>
    <w:r>
      <w:rPr>
        <w:rFonts w:hint="eastAsia"/>
      </w:rPr>
      <w:t>民生加银优享</w:t>
    </w:r>
    <w:r>
      <w:rPr>
        <w:rFonts w:hint="eastAsia"/>
      </w:rPr>
      <w:t>6</w:t>
    </w:r>
    <w:r>
      <w:rPr>
        <w:rFonts w:hint="eastAsia"/>
      </w:rPr>
      <w:t>个月定期开放混合型基金中基金（</w:t>
    </w:r>
    <w:r>
      <w:rPr>
        <w:rFonts w:hint="eastAsia"/>
      </w:rPr>
      <w:t>FOF-LOF</w:t>
    </w:r>
    <w:r>
      <w:rPr>
        <w:rFonts w:hint="eastAsia"/>
      </w:rPr>
      <w:t>）开放申购、赎回业务的公告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88E40B32"/>
    <w:lvl w:ilvl="0">
      <w:start w:val="1"/>
      <w:numFmt w:val="decimal"/>
      <w:pStyle w:val="a"/>
      <w:lvlText w:val="%1."/>
      <w:lvlJc w:val="left"/>
      <w:pPr>
        <w:tabs>
          <w:tab w:val="num" w:pos="2040"/>
        </w:tabs>
        <w:ind w:left="2040" w:hanging="360"/>
      </w:pPr>
    </w:lvl>
  </w:abstractNum>
  <w:abstractNum w:abstractNumId="1">
    <w:nsid w:val="0FFFFF7D"/>
    <w:multiLevelType w:val="singleLevel"/>
    <w:tmpl w:val="E50EDE32"/>
    <w:lvl w:ilvl="0">
      <w:start w:val="1"/>
      <w:numFmt w:val="decimal"/>
      <w:pStyle w:val="a0"/>
      <w:lvlText w:val="%1."/>
      <w:lvlJc w:val="left"/>
      <w:pPr>
        <w:tabs>
          <w:tab w:val="num" w:pos="1620"/>
        </w:tabs>
        <w:ind w:left="1620" w:hanging="360"/>
      </w:pPr>
    </w:lvl>
  </w:abstractNum>
  <w:abstractNum w:abstractNumId="2">
    <w:nsid w:val="0FFFFF7E"/>
    <w:multiLevelType w:val="singleLevel"/>
    <w:tmpl w:val="CBCAB00A"/>
    <w:lvl w:ilvl="0">
      <w:start w:val="1"/>
      <w:numFmt w:val="decimal"/>
      <w:pStyle w:val="a1"/>
      <w:lvlText w:val="%1."/>
      <w:lvlJc w:val="left"/>
      <w:pPr>
        <w:tabs>
          <w:tab w:val="num" w:pos="1200"/>
        </w:tabs>
        <w:ind w:left="1200" w:hanging="360"/>
      </w:pPr>
    </w:lvl>
  </w:abstractNum>
  <w:abstractNum w:abstractNumId="3">
    <w:nsid w:val="0FFFFF7F"/>
    <w:multiLevelType w:val="singleLevel"/>
    <w:tmpl w:val="F4CCF4F8"/>
    <w:lvl w:ilvl="0">
      <w:start w:val="1"/>
      <w:numFmt w:val="decimal"/>
      <w:pStyle w:val="txtcontent11"/>
      <w:lvlText w:val="%1."/>
      <w:lvlJc w:val="left"/>
      <w:pPr>
        <w:tabs>
          <w:tab w:val="num" w:pos="780"/>
        </w:tabs>
        <w:ind w:left="780" w:hanging="360"/>
      </w:pPr>
    </w:lvl>
  </w:abstractNum>
  <w:abstractNum w:abstractNumId="4">
    <w:nsid w:val="0FFFFF80"/>
    <w:multiLevelType w:val="singleLevel"/>
    <w:tmpl w:val="57B8ABC2"/>
    <w:lvl w:ilvl="0">
      <w:start w:val="1"/>
      <w:numFmt w:val="bullet"/>
      <w:pStyle w:val="HTML"/>
      <w:lvlText w:val="●"/>
      <w:lvlJc w:val="left"/>
      <w:pPr>
        <w:tabs>
          <w:tab w:val="num" w:pos="2040"/>
        </w:tabs>
        <w:ind w:left="2040" w:hanging="360"/>
      </w:pPr>
      <w:rPr>
        <w:rFonts w:ascii="宋体" w:hAnsi="宋体" w:hint="default"/>
      </w:rPr>
    </w:lvl>
  </w:abstractNum>
  <w:abstractNum w:abstractNumId="5">
    <w:nsid w:val="0FFFFF81"/>
    <w:multiLevelType w:val="singleLevel"/>
    <w:tmpl w:val="E4C02BC2"/>
    <w:lvl w:ilvl="0">
      <w:start w:val="1"/>
      <w:numFmt w:val="bullet"/>
      <w:pStyle w:val="3"/>
      <w:lvlText w:val="●"/>
      <w:lvlJc w:val="left"/>
      <w:pPr>
        <w:tabs>
          <w:tab w:val="num" w:pos="1620"/>
        </w:tabs>
        <w:ind w:left="1620" w:hanging="360"/>
      </w:pPr>
      <w:rPr>
        <w:rFonts w:ascii="宋体" w:hAnsi="宋体" w:hint="default"/>
      </w:rPr>
    </w:lvl>
  </w:abstractNum>
  <w:abstractNum w:abstractNumId="6">
    <w:nsid w:val="0FFFFF82"/>
    <w:multiLevelType w:val="singleLevel"/>
    <w:tmpl w:val="361658B8"/>
    <w:lvl w:ilvl="0">
      <w:start w:val="1"/>
      <w:numFmt w:val="bullet"/>
      <w:pStyle w:val="2"/>
      <w:lvlText w:val="●"/>
      <w:lvlJc w:val="left"/>
      <w:pPr>
        <w:tabs>
          <w:tab w:val="num" w:pos="1200"/>
        </w:tabs>
        <w:ind w:left="1200" w:hanging="360"/>
      </w:pPr>
      <w:rPr>
        <w:rFonts w:ascii="宋体" w:hAnsi="宋体" w:hint="default"/>
      </w:rPr>
    </w:lvl>
  </w:abstractNum>
  <w:abstractNum w:abstractNumId="7">
    <w:nsid w:val="0FFFFF83"/>
    <w:multiLevelType w:val="singleLevel"/>
    <w:tmpl w:val="FF3C62B6"/>
    <w:lvl w:ilvl="0">
      <w:start w:val="1"/>
      <w:numFmt w:val="bullet"/>
      <w:pStyle w:val="20"/>
      <w:lvlText w:val="●"/>
      <w:lvlJc w:val="left"/>
      <w:pPr>
        <w:tabs>
          <w:tab w:val="num" w:pos="780"/>
        </w:tabs>
        <w:ind w:left="780" w:hanging="360"/>
      </w:pPr>
      <w:rPr>
        <w:rFonts w:ascii="宋体" w:hAnsi="宋体" w:hint="default"/>
      </w:rPr>
    </w:lvl>
  </w:abstractNum>
  <w:abstractNum w:abstractNumId="8">
    <w:nsid w:val="0FFFFF88"/>
    <w:multiLevelType w:val="singleLevel"/>
    <w:tmpl w:val="57F6029A"/>
    <w:lvl w:ilvl="0">
      <w:start w:val="1"/>
      <w:numFmt w:val="decimal"/>
      <w:pStyle w:val="1"/>
      <w:lvlText w:val="%1."/>
      <w:lvlJc w:val="left"/>
      <w:pPr>
        <w:tabs>
          <w:tab w:val="num" w:pos="360"/>
        </w:tabs>
        <w:ind w:left="360" w:hanging="360"/>
      </w:pPr>
    </w:lvl>
  </w:abstractNum>
  <w:abstractNum w:abstractNumId="9">
    <w:nsid w:val="0FFFFF89"/>
    <w:multiLevelType w:val="singleLevel"/>
    <w:tmpl w:val="4E6E470A"/>
    <w:lvl w:ilvl="0">
      <w:start w:val="1"/>
      <w:numFmt w:val="bullet"/>
      <w:pStyle w:val="a2"/>
      <w:lvlText w:val="●"/>
      <w:lvlJc w:val="left"/>
      <w:pPr>
        <w:tabs>
          <w:tab w:val="num" w:pos="360"/>
        </w:tabs>
        <w:ind w:left="360" w:hanging="360"/>
      </w:pPr>
      <w:rPr>
        <w:rFonts w:ascii="宋体" w:hAnsi="宋体" w:hint="default"/>
      </w:rPr>
    </w:lvl>
  </w:abstractNum>
  <w:abstractNum w:abstractNumId="10">
    <w:nsid w:val="64832FB5"/>
    <w:multiLevelType w:val="hybridMultilevel"/>
    <w:tmpl w:val="79FE96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hideSpellingErrors/>
  <w:hideGrammaticalErrors/>
  <w:stylePaneFormatFilter w:val="3F01"/>
  <w:doNotTrackMoves/>
  <w:defaultTabStop w:val="420"/>
  <w:defaultTableStyle w:val="a3"/>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D14"/>
    <w:rsid w:val="001C28D1"/>
    <w:rsid w:val="00245517"/>
    <w:rsid w:val="002A0C86"/>
    <w:rsid w:val="0037064C"/>
    <w:rsid w:val="00662DF8"/>
    <w:rsid w:val="007468A4"/>
    <w:rsid w:val="00812E32"/>
    <w:rsid w:val="00893748"/>
    <w:rsid w:val="00C422FD"/>
    <w:rsid w:val="00C639CF"/>
    <w:rsid w:val="00CE5B95"/>
    <w:rsid w:val="00D03354"/>
    <w:rsid w:val="00F629B1"/>
    <w:rsid w:val="00FE2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spacing w:line="360" w:lineRule="auto"/>
      <w:ind w:firstLineChars="200" w:firstLine="200"/>
      <w:jc w:val="both"/>
    </w:pPr>
    <w:rPr>
      <w:rFonts w:eastAsia="宋体"/>
      <w:kern w:val="2"/>
      <w:sz w:val="21"/>
      <w:szCs w:val="24"/>
    </w:rPr>
  </w:style>
  <w:style w:type="paragraph" w:styleId="10">
    <w:name w:val="heading 1"/>
    <w:basedOn w:val="a3"/>
    <w:next w:val="a3"/>
    <w:qFormat/>
    <w:pPr>
      <w:keepNext/>
      <w:keepLines/>
      <w:spacing w:before="340" w:after="330" w:line="578" w:lineRule="auto"/>
      <w:outlineLvl w:val="0"/>
    </w:pPr>
    <w:rPr>
      <w:b/>
      <w:bCs/>
      <w:kern w:val="44"/>
      <w:sz w:val="44"/>
      <w:szCs w:val="44"/>
    </w:rPr>
  </w:style>
  <w:style w:type="paragraph" w:styleId="21">
    <w:name w:val="heading 2"/>
    <w:basedOn w:val="a3"/>
    <w:next w:val="a3"/>
    <w:qFormat/>
    <w:pPr>
      <w:keepNext/>
      <w:keepLines/>
      <w:spacing w:before="260" w:after="260" w:line="415" w:lineRule="auto"/>
      <w:outlineLvl w:val="1"/>
    </w:pPr>
    <w:rPr>
      <w:rFonts w:ascii="Arial" w:eastAsia="黑体" w:hAnsi="Arial"/>
      <w:b/>
      <w:bCs/>
      <w:sz w:val="32"/>
      <w:szCs w:val="32"/>
    </w:rPr>
  </w:style>
  <w:style w:type="paragraph" w:styleId="30">
    <w:name w:val="heading 3"/>
    <w:basedOn w:val="a3"/>
    <w:next w:val="a3"/>
    <w:qFormat/>
    <w:pPr>
      <w:keepNext/>
      <w:keepLines/>
      <w:spacing w:before="260" w:after="260" w:line="415" w:lineRule="auto"/>
      <w:outlineLvl w:val="2"/>
    </w:pPr>
    <w:rPr>
      <w:b/>
      <w:bCs/>
      <w:sz w:val="32"/>
      <w:szCs w:val="32"/>
    </w:rPr>
  </w:style>
  <w:style w:type="paragraph" w:styleId="4">
    <w:name w:val="heading 4"/>
    <w:basedOn w:val="a3"/>
    <w:next w:val="a3"/>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3"/>
    <w:qFormat/>
    <w:pPr>
      <w:keepNext/>
      <w:keepLines/>
      <w:spacing w:before="280" w:after="290" w:line="376" w:lineRule="auto"/>
      <w:outlineLvl w:val="4"/>
    </w:pPr>
    <w:rPr>
      <w:b/>
      <w:bCs/>
      <w:sz w:val="28"/>
      <w:szCs w:val="28"/>
    </w:rPr>
  </w:style>
  <w:style w:type="paragraph" w:styleId="6">
    <w:name w:val="heading 6"/>
    <w:basedOn w:val="a3"/>
    <w:next w:val="a3"/>
    <w:qFormat/>
    <w:pPr>
      <w:keepNext/>
      <w:keepLines/>
      <w:spacing w:before="240" w:after="64" w:line="319" w:lineRule="auto"/>
      <w:ind w:left="851"/>
      <w:outlineLvl w:val="5"/>
    </w:pPr>
    <w:rPr>
      <w:rFonts w:ascii="Arial" w:eastAsia="黑体" w:hAnsi="Arial"/>
      <w:b/>
      <w:bCs/>
      <w:sz w:val="24"/>
    </w:rPr>
  </w:style>
  <w:style w:type="paragraph" w:styleId="7">
    <w:name w:val="heading 7"/>
    <w:basedOn w:val="a3"/>
    <w:next w:val="a3"/>
    <w:qFormat/>
    <w:pPr>
      <w:keepNext/>
      <w:keepLines/>
      <w:spacing w:before="240" w:after="64" w:line="319" w:lineRule="auto"/>
      <w:ind w:left="851"/>
      <w:outlineLvl w:val="6"/>
    </w:pPr>
    <w:rPr>
      <w:b/>
      <w:bCs/>
      <w:sz w:val="24"/>
    </w:rPr>
  </w:style>
  <w:style w:type="paragraph" w:styleId="8">
    <w:name w:val="heading 8"/>
    <w:basedOn w:val="a3"/>
    <w:next w:val="a3"/>
    <w:qFormat/>
    <w:pPr>
      <w:keepNext/>
      <w:keepLines/>
      <w:spacing w:before="240" w:after="64" w:line="319" w:lineRule="auto"/>
      <w:ind w:left="851"/>
      <w:outlineLvl w:val="7"/>
    </w:pPr>
    <w:rPr>
      <w:rFonts w:ascii="Arial" w:eastAsia="黑体" w:hAnsi="Arial"/>
      <w:sz w:val="24"/>
    </w:rPr>
  </w:style>
  <w:style w:type="paragraph" w:styleId="9">
    <w:name w:val="heading 9"/>
    <w:basedOn w:val="a3"/>
    <w:next w:val="a3"/>
    <w:qFormat/>
    <w:pPr>
      <w:keepNext/>
      <w:keepLines/>
      <w:spacing w:before="240" w:after="64" w:line="319" w:lineRule="auto"/>
      <w:ind w:left="851"/>
      <w:outlineLvl w:val="8"/>
    </w:pPr>
    <w:rPr>
      <w:rFonts w:ascii="Arial" w:eastAsia="黑体" w:hAnsi="Arial"/>
      <w:sz w:val="24"/>
      <w:szCs w:val="21"/>
    </w:rPr>
  </w:style>
  <w:style w:type="character" w:default="1" w:styleId="a4">
    <w:name w:val="Default Paragraph Font"/>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har">
    <w:name w:val=" Char"/>
    <w:basedOn w:val="a3"/>
  </w:style>
  <w:style w:type="paragraph" w:styleId="a7">
    <w:name w:val="header"/>
    <w:basedOn w:val="a3"/>
    <w:pPr>
      <w:pBdr>
        <w:bottom w:val="single" w:sz="6" w:space="1" w:color="auto"/>
      </w:pBdr>
      <w:tabs>
        <w:tab w:val="center" w:pos="4153"/>
        <w:tab w:val="right" w:pos="8306"/>
      </w:tabs>
      <w:snapToGrid w:val="0"/>
      <w:jc w:val="center"/>
    </w:pPr>
    <w:rPr>
      <w:sz w:val="18"/>
      <w:szCs w:val="18"/>
    </w:rPr>
  </w:style>
  <w:style w:type="paragraph" w:styleId="a8">
    <w:name w:val="footer"/>
    <w:basedOn w:val="a3"/>
    <w:pPr>
      <w:tabs>
        <w:tab w:val="center" w:pos="4153"/>
        <w:tab w:val="right" w:pos="8306"/>
      </w:tabs>
      <w:snapToGrid w:val="0"/>
      <w:jc w:val="left"/>
    </w:pPr>
    <w:rPr>
      <w:sz w:val="18"/>
      <w:szCs w:val="18"/>
    </w:rPr>
  </w:style>
  <w:style w:type="character" w:styleId="a9">
    <w:name w:val="annotation reference"/>
    <w:rPr>
      <w:sz w:val="21"/>
      <w:szCs w:val="21"/>
    </w:rPr>
  </w:style>
  <w:style w:type="paragraph" w:styleId="aa">
    <w:name w:val="Body Text"/>
    <w:basedOn w:val="a3"/>
    <w:pPr>
      <w:adjustRightInd w:val="0"/>
      <w:snapToGrid w:val="0"/>
      <w:spacing w:line="324" w:lineRule="auto"/>
      <w:ind w:right="28"/>
      <w:jc w:val="left"/>
    </w:pPr>
    <w:rPr>
      <w:rFonts w:ascii="仿宋_GB2312" w:eastAsia="仿宋_GB2312"/>
      <w:kern w:val="0"/>
      <w:sz w:val="28"/>
      <w:szCs w:val="20"/>
    </w:rPr>
  </w:style>
  <w:style w:type="paragraph" w:styleId="ab">
    <w:name w:val="Normal (Web)"/>
    <w:basedOn w:val="a3"/>
    <w:pPr>
      <w:widowControl/>
      <w:spacing w:before="100" w:beforeAutospacing="1" w:after="100" w:afterAutospacing="1"/>
      <w:jc w:val="left"/>
    </w:pPr>
    <w:rPr>
      <w:rFonts w:ascii="宋体"/>
      <w:kern w:val="0"/>
      <w:sz w:val="24"/>
    </w:rPr>
  </w:style>
  <w:style w:type="paragraph" w:styleId="ac">
    <w:name w:val="Document Map"/>
    <w:basedOn w:val="a3"/>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sz w:val="21"/>
      <w:szCs w:val="21"/>
    </w:rPr>
  </w:style>
  <w:style w:type="paragraph" w:customStyle="1" w:styleId="CharChar">
    <w:name w:val=" Char Char"/>
    <w:basedOn w:val="a3"/>
  </w:style>
  <w:style w:type="paragraph" w:customStyle="1" w:styleId="Default">
    <w:name w:val="Default"/>
    <w:pPr>
      <w:widowControl w:val="0"/>
      <w:autoSpaceDE w:val="0"/>
      <w:autoSpaceDN w:val="0"/>
      <w:adjustRightInd w:val="0"/>
      <w:spacing w:line="360" w:lineRule="auto"/>
      <w:ind w:firstLineChars="200" w:firstLine="200"/>
    </w:pPr>
    <w:rPr>
      <w:rFonts w:ascii="宋体" w:eastAsia="宋体" w:cs="宋体"/>
      <w:color w:val="000000"/>
      <w:sz w:val="24"/>
      <w:szCs w:val="24"/>
    </w:rPr>
  </w:style>
  <w:style w:type="paragraph" w:styleId="ad">
    <w:name w:val="Date"/>
    <w:basedOn w:val="a3"/>
    <w:next w:val="a3"/>
    <w:rPr>
      <w:sz w:val="24"/>
      <w:szCs w:val="20"/>
    </w:rPr>
  </w:style>
  <w:style w:type="paragraph" w:customStyle="1" w:styleId="CharCharCharChar">
    <w:name w:val=" Char Char Char Char"/>
    <w:basedOn w:val="a3"/>
    <w:autoRedefine/>
    <w:pPr>
      <w:tabs>
        <w:tab w:val="num" w:pos="840"/>
      </w:tabs>
      <w:adjustRightInd w:val="0"/>
      <w:spacing w:line="360" w:lineRule="atLeast"/>
      <w:ind w:left="840"/>
      <w:textAlignment w:val="baseline"/>
    </w:pPr>
    <w:rPr>
      <w:sz w:val="24"/>
    </w:rPr>
  </w:style>
  <w:style w:type="character" w:styleId="ae">
    <w:name w:val="page number"/>
    <w:basedOn w:val="a4"/>
  </w:style>
  <w:style w:type="paragraph" w:customStyle="1" w:styleId="xl33">
    <w:name w:val="xl33"/>
    <w:basedOn w:val="a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3"/>
    <w:pPr>
      <w:keepNext/>
      <w:keepLines/>
      <w:numPr>
        <w:ilvl w:val="1"/>
        <w:numId w:val="11"/>
      </w:numPr>
      <w:spacing w:beforeLines="100" w:afterLines="100"/>
      <w:ind w:firstLineChars="0"/>
      <w:outlineLvl w:val="1"/>
    </w:pPr>
    <w:rPr>
      <w:rFonts w:ascii="Arial" w:hAnsi="Arial"/>
      <w:b/>
      <w:bCs/>
      <w:sz w:val="28"/>
      <w:szCs w:val="20"/>
    </w:rPr>
  </w:style>
  <w:style w:type="paragraph" w:customStyle="1" w:styleId="115">
    <w:name w:val="样式 标题 1 + 段前: 1.5 行"/>
    <w:basedOn w:val="a3"/>
    <w:pPr>
      <w:numPr>
        <w:numId w:val="11"/>
      </w:numPr>
      <w:ind w:firstLineChars="0"/>
    </w:pPr>
    <w:rPr>
      <w:sz w:val="24"/>
      <w:szCs w:val="20"/>
    </w:rPr>
  </w:style>
  <w:style w:type="paragraph" w:customStyle="1" w:styleId="af">
    <w:name w:val="简单回函地址"/>
    <w:basedOn w:val="a3"/>
  </w:style>
  <w:style w:type="paragraph" w:customStyle="1" w:styleId="FormLabel">
    <w:name w:val="Form Label"/>
    <w:basedOn w:val="a3"/>
    <w:pPr>
      <w:widowControl/>
      <w:spacing w:line="280" w:lineRule="exact"/>
      <w:jc w:val="left"/>
    </w:pPr>
    <w:rPr>
      <w:kern w:val="0"/>
      <w:sz w:val="18"/>
      <w:szCs w:val="20"/>
      <w:lang w:val="en-GB" w:eastAsia="en-GB"/>
    </w:rPr>
  </w:style>
  <w:style w:type="character" w:styleId="af0">
    <w:name w:val="Strong"/>
    <w:qFormat/>
    <w:rPr>
      <w:b/>
      <w:bCs/>
    </w:rPr>
  </w:style>
  <w:style w:type="paragraph" w:customStyle="1" w:styleId="Char0">
    <w:name w:val="Char"/>
    <w:basedOn w:val="a3"/>
  </w:style>
  <w:style w:type="character" w:customStyle="1" w:styleId="2CharCharChar">
    <w:name w:val="标题 2 Char Char Char"/>
    <w:rPr>
      <w:rFonts w:ascii="Arial" w:eastAsia="宋体" w:hAnsi="Arial"/>
      <w:b/>
      <w:kern w:val="2"/>
      <w:sz w:val="28"/>
      <w:szCs w:val="28"/>
      <w:lang w:val="en-US" w:eastAsia="zh-CN" w:bidi="ar-SA"/>
    </w:rPr>
  </w:style>
  <w:style w:type="paragraph" w:styleId="af1">
    <w:name w:val="Balloon Text"/>
    <w:basedOn w:val="a3"/>
    <w:rPr>
      <w:sz w:val="18"/>
      <w:szCs w:val="18"/>
    </w:rPr>
  </w:style>
  <w:style w:type="paragraph" w:styleId="af2">
    <w:name w:val="footnote text"/>
    <w:basedOn w:val="a3"/>
    <w:pPr>
      <w:snapToGrid w:val="0"/>
      <w:jc w:val="left"/>
    </w:pPr>
    <w:rPr>
      <w:sz w:val="18"/>
      <w:szCs w:val="18"/>
    </w:rPr>
  </w:style>
  <w:style w:type="character" w:styleId="af3">
    <w:name w:val="footnote reference"/>
    <w:rPr>
      <w:vertAlign w:val="superscript"/>
    </w:rPr>
  </w:style>
  <w:style w:type="character" w:styleId="af4">
    <w:name w:val="Hyperlink"/>
    <w:rPr>
      <w:color w:val="0000FF"/>
      <w:u w:val="single"/>
    </w:rPr>
  </w:style>
  <w:style w:type="paragraph" w:customStyle="1" w:styleId="xl31">
    <w:name w:val="xl31"/>
    <w:basedOn w:val="a3"/>
    <w:pPr>
      <w:widowControl/>
      <w:spacing w:before="100" w:beforeAutospacing="1" w:after="100" w:afterAutospacing="1"/>
      <w:jc w:val="center"/>
      <w:textAlignment w:val="center"/>
    </w:pPr>
    <w:rPr>
      <w:rFonts w:asci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3"/>
    <w:pPr>
      <w:widowControl/>
      <w:spacing w:after="160" w:line="240" w:lineRule="exact"/>
      <w:jc w:val="left"/>
    </w:pPr>
    <w:rPr>
      <w:rFonts w:ascii="Verdana" w:eastAsia="Times New Roman" w:hAnsi="Verdana"/>
      <w:kern w:val="0"/>
      <w:sz w:val="20"/>
      <w:szCs w:val="20"/>
    </w:rPr>
  </w:style>
  <w:style w:type="paragraph" w:customStyle="1" w:styleId="Char1CharCharCharChar">
    <w:name w:val="Char1 Char Char Char Char"/>
    <w:basedOn w:val="a3"/>
    <w:pPr>
      <w:widowControl/>
      <w:spacing w:after="160" w:line="240" w:lineRule="exact"/>
      <w:jc w:val="left"/>
    </w:pPr>
    <w:rPr>
      <w:rFonts w:ascii="Verdana" w:hAnsi="Verdana" w:cs="Verdana"/>
      <w:kern w:val="0"/>
      <w:sz w:val="20"/>
      <w:szCs w:val="20"/>
    </w:rPr>
  </w:style>
  <w:style w:type="paragraph" w:styleId="af5">
    <w:name w:val="annotation text"/>
    <w:basedOn w:val="a3"/>
    <w:pPr>
      <w:jc w:val="left"/>
    </w:pPr>
  </w:style>
  <w:style w:type="paragraph" w:styleId="af6">
    <w:name w:val="annotation subject"/>
    <w:basedOn w:val="af5"/>
    <w:next w:val="af5"/>
    <w:rPr>
      <w:b/>
      <w:bCs/>
    </w:rPr>
  </w:style>
  <w:style w:type="paragraph" w:customStyle="1" w:styleId="CharCharCharCharCharChar1CharCharChar">
    <w:name w:val=" Char Char Char Char Char Char1 Char Char Char"/>
    <w:basedOn w:val="a3"/>
    <w:pPr>
      <w:autoSpaceDE w:val="0"/>
      <w:autoSpaceDN w:val="0"/>
      <w:adjustRightInd w:val="0"/>
      <w:jc w:val="left"/>
      <w:textAlignment w:val="baseline"/>
    </w:pPr>
    <w:rPr>
      <w:rFonts w:ascii="宋体"/>
      <w:kern w:val="0"/>
      <w:sz w:val="34"/>
      <w:szCs w:val="20"/>
    </w:rPr>
  </w:style>
  <w:style w:type="paragraph" w:customStyle="1" w:styleId="xl30">
    <w:name w:val="xl30"/>
    <w:basedOn w:val="a3"/>
    <w:pPr>
      <w:widowControl/>
      <w:spacing w:before="100" w:beforeAutospacing="1" w:after="100" w:afterAutospacing="1"/>
      <w:jc w:val="right"/>
    </w:pPr>
    <w:rPr>
      <w:rFonts w:eastAsia="Arial Unicode MS"/>
      <w:kern w:val="0"/>
      <w:szCs w:val="21"/>
    </w:rPr>
  </w:style>
  <w:style w:type="paragraph" w:styleId="a2">
    <w:name w:val="Plain Text"/>
    <w:basedOn w:val="a3"/>
    <w:rPr>
      <w:rFonts w:ascii="宋体"/>
      <w:szCs w:val="21"/>
    </w:rPr>
  </w:style>
  <w:style w:type="paragraph" w:styleId="1">
    <w:name w:val="toc 1"/>
    <w:basedOn w:val="a3"/>
    <w:next w:val="a3"/>
    <w:autoRedefine/>
  </w:style>
  <w:style w:type="paragraph" w:styleId="40">
    <w:name w:val="toc 4"/>
    <w:basedOn w:val="a3"/>
    <w:next w:val="a3"/>
    <w:autoRedefine/>
    <w:pPr>
      <w:ind w:left="1260"/>
    </w:pPr>
  </w:style>
  <w:style w:type="paragraph" w:styleId="af7">
    <w:name w:val="endnote text"/>
    <w:basedOn w:val="a3"/>
    <w:pPr>
      <w:snapToGrid w:val="0"/>
      <w:jc w:val="left"/>
    </w:pPr>
  </w:style>
  <w:style w:type="character" w:styleId="af8">
    <w:name w:val="endnote reference"/>
    <w:rPr>
      <w:vertAlign w:val="superscript"/>
    </w:rPr>
  </w:style>
  <w:style w:type="paragraph" w:styleId="50">
    <w:name w:val="toc 5"/>
    <w:basedOn w:val="a3"/>
    <w:next w:val="a3"/>
    <w:autoRedefine/>
    <w:pPr>
      <w:ind w:left="1680"/>
    </w:pPr>
  </w:style>
  <w:style w:type="paragraph" w:styleId="20">
    <w:name w:val="Body Text 2"/>
    <w:basedOn w:val="a3"/>
    <w:pPr>
      <w:spacing w:after="120" w:line="480" w:lineRule="auto"/>
    </w:pPr>
    <w:rPr>
      <w:szCs w:val="20"/>
    </w:rPr>
  </w:style>
  <w:style w:type="paragraph" w:styleId="2">
    <w:name w:val="toc 2"/>
    <w:basedOn w:val="a3"/>
    <w:next w:val="a3"/>
    <w:autoRedefine/>
    <w:pPr>
      <w:tabs>
        <w:tab w:val="left" w:pos="1260"/>
        <w:tab w:val="right" w:leader="dot" w:pos="8834"/>
      </w:tabs>
      <w:ind w:leftChars="200" w:left="200"/>
    </w:pPr>
    <w:rPr>
      <w:lang w:val="en-US" w:eastAsia="zh-CN"/>
    </w:rPr>
  </w:style>
  <w:style w:type="paragraph" w:styleId="3">
    <w:name w:val="toc 3"/>
    <w:basedOn w:val="a3"/>
    <w:next w:val="a3"/>
    <w:autoRedefine/>
    <w:pPr>
      <w:tabs>
        <w:tab w:val="right" w:leader="dot" w:pos="8820"/>
      </w:tabs>
      <w:ind w:leftChars="400" w:left="400"/>
    </w:pPr>
  </w:style>
  <w:style w:type="character" w:styleId="HTML">
    <w:name w:val="HTML Typewriter"/>
    <w:rPr>
      <w:rFonts w:ascii="宋体" w:eastAsia="宋体" w:cs="宋体"/>
      <w:sz w:val="24"/>
      <w:szCs w:val="24"/>
      <w:lang w:bidi="ar-SA"/>
    </w:rPr>
  </w:style>
  <w:style w:type="character" w:customStyle="1" w:styleId="txtcontent11">
    <w:name w:val="txtcontent11"/>
    <w:rPr>
      <w:rFonts w:ascii="ˎ̥" w:hAnsi="ˎ̥"/>
      <w:color w:val="000000"/>
      <w:sz w:val="21"/>
      <w:szCs w:val="21"/>
    </w:rPr>
  </w:style>
  <w:style w:type="paragraph" w:styleId="a1">
    <w:name w:val="Title"/>
    <w:basedOn w:val="a3"/>
    <w:next w:val="a3"/>
    <w:qFormat/>
    <w:pPr>
      <w:spacing w:before="240" w:after="60" w:line="240" w:lineRule="auto"/>
      <w:ind w:firstLineChars="0" w:firstLine="0"/>
      <w:jc w:val="center"/>
      <w:outlineLvl w:val="0"/>
    </w:pPr>
    <w:rPr>
      <w:rFonts w:ascii="Cambria" w:hAnsi="Cambria"/>
      <w:b/>
      <w:bCs/>
      <w:sz w:val="32"/>
      <w:szCs w:val="32"/>
    </w:rPr>
  </w:style>
  <w:style w:type="paragraph" w:styleId="a0">
    <w:name w:val="No Spacing"/>
    <w:qFormat/>
    <w:pPr>
      <w:widowControl w:val="0"/>
      <w:jc w:val="both"/>
    </w:pPr>
    <w:rPr>
      <w:rFonts w:ascii="Calibri" w:eastAsia="宋体" w:hAnsi="Calibri"/>
      <w:kern w:val="2"/>
      <w:sz w:val="21"/>
      <w:szCs w:val="22"/>
    </w:rPr>
  </w:style>
  <w:style w:type="paragraph" w:styleId="a">
    <w:name w:val="List Paragraph"/>
    <w:basedOn w:val="a3"/>
    <w:qFormat/>
    <w:pPr>
      <w:spacing w:line="240" w:lineRule="auto"/>
    </w:pPr>
    <w:rPr>
      <w:rFonts w:ascii="Calibri" w:hAnsi="Calibri"/>
      <w:szCs w:val="22"/>
    </w:rPr>
  </w:style>
  <w:style w:type="character" w:customStyle="1" w:styleId="dib">
    <w:name w:val="dib"/>
  </w:style>
  <w:style w:type="paragraph" w:styleId="af9">
    <w:name w:val="Revision"/>
    <w:rPr>
      <w:rFonts w:eastAsia="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4749</Characters>
  <Application>Microsoft Office Word</Application>
  <DocSecurity>4</DocSecurity>
  <Lines>39</Lines>
  <Paragraphs>11</Paragraphs>
  <ScaleCrop>false</ScaleCrop>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肖志伟</dc:creator>
  <cp:keywords/>
  <cp:lastModifiedBy>ZHONGM</cp:lastModifiedBy>
  <cp:revision>2</cp:revision>
  <cp:lastPrinted>2020-01-08T02:44:00Z</cp:lastPrinted>
  <dcterms:created xsi:type="dcterms:W3CDTF">2023-12-31T16:00:00Z</dcterms:created>
  <dcterms:modified xsi:type="dcterms:W3CDTF">2023-12-31T16:00:00Z</dcterms:modified>
</cp:coreProperties>
</file>