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CC2" w:rsidRDefault="00730CC2" w:rsidP="00730CC2">
      <w:pPr>
        <w:pStyle w:val="Default"/>
      </w:pPr>
    </w:p>
    <w:p w:rsidR="00730CC2" w:rsidRPr="00730CC2" w:rsidRDefault="00730CC2" w:rsidP="00730CC2">
      <w:pPr>
        <w:pStyle w:val="Default"/>
        <w:jc w:val="center"/>
        <w:rPr>
          <w:rFonts w:ascii="黑体" w:eastAsia="黑体" w:hAnsi="黑体" w:cs="Times New Roman"/>
          <w:bCs/>
          <w:sz w:val="32"/>
          <w:szCs w:val="32"/>
        </w:rPr>
      </w:pPr>
      <w:r w:rsidRPr="00376D28">
        <w:rPr>
          <w:rFonts w:ascii="黑体" w:eastAsia="黑体" w:hAnsi="黑体" w:cs="Times New Roman" w:hint="eastAsia"/>
          <w:bCs/>
          <w:sz w:val="32"/>
          <w:szCs w:val="32"/>
        </w:rPr>
        <w:t>宏利基金管理有限公司</w:t>
      </w:r>
      <w:r w:rsidR="00971FD4" w:rsidRPr="00971FD4">
        <w:rPr>
          <w:rFonts w:ascii="黑体" w:eastAsia="黑体" w:hAnsi="黑体" w:cs="Times New Roman" w:hint="eastAsia"/>
          <w:bCs/>
          <w:sz w:val="32"/>
          <w:szCs w:val="32"/>
        </w:rPr>
        <w:t>关于调低旗下部分基金费率并修改基金合同等法律文件的公告</w:t>
      </w:r>
    </w:p>
    <w:p w:rsidR="00971FD4" w:rsidRPr="00971FD4" w:rsidRDefault="00971FD4" w:rsidP="00971FD4">
      <w:pPr>
        <w:widowControl/>
        <w:spacing w:line="360" w:lineRule="auto"/>
        <w:ind w:firstLineChars="200" w:firstLine="480"/>
        <w:rPr>
          <w:rFonts w:ascii="Times New Roman" w:eastAsia="宋体" w:hAnsi="Times New Roman" w:cs="Times New Roman"/>
          <w:bCs/>
          <w:sz w:val="24"/>
          <w:szCs w:val="24"/>
        </w:rPr>
      </w:pPr>
      <w:bookmarkStart w:id="0" w:name="_Hlk143681994"/>
      <w:r w:rsidRPr="00971FD4">
        <w:rPr>
          <w:rFonts w:ascii="Times New Roman" w:eastAsia="宋体" w:hAnsi="Times New Roman" w:cs="Times New Roman" w:hint="eastAsia"/>
          <w:bCs/>
          <w:sz w:val="24"/>
          <w:szCs w:val="24"/>
        </w:rPr>
        <w:t>为更好地满足广大投资者的投资理财需求，降低投资者的理财成本，经与相关公开募集证券投资基金（以下简称“基金”）的基金托管人协商一致，宏利基金管理有限公司（以下简称“本公司”）决定自</w:t>
      </w:r>
      <w:r w:rsidR="00196F00" w:rsidRPr="00971FD4">
        <w:rPr>
          <w:rFonts w:ascii="Times New Roman" w:eastAsia="宋体" w:hAnsi="Times New Roman" w:cs="Times New Roman"/>
          <w:bCs/>
          <w:sz w:val="24"/>
          <w:szCs w:val="24"/>
        </w:rPr>
        <w:t>2023</w:t>
      </w:r>
      <w:r w:rsidR="00196F00" w:rsidRPr="00971FD4">
        <w:rPr>
          <w:rFonts w:ascii="Times New Roman" w:eastAsia="宋体" w:hAnsi="Times New Roman" w:cs="Times New Roman"/>
          <w:bCs/>
          <w:sz w:val="24"/>
          <w:szCs w:val="24"/>
        </w:rPr>
        <w:t>年</w:t>
      </w:r>
      <w:r w:rsidR="00B87940">
        <w:rPr>
          <w:rFonts w:ascii="Times New Roman" w:eastAsia="宋体" w:hAnsi="Times New Roman" w:cs="Times New Roman"/>
          <w:bCs/>
          <w:sz w:val="24"/>
          <w:szCs w:val="24"/>
        </w:rPr>
        <w:t>10</w:t>
      </w:r>
      <w:r w:rsidR="00196F00" w:rsidRPr="00971FD4">
        <w:rPr>
          <w:rFonts w:ascii="Times New Roman" w:eastAsia="宋体" w:hAnsi="Times New Roman" w:cs="Times New Roman"/>
          <w:bCs/>
          <w:sz w:val="24"/>
          <w:szCs w:val="24"/>
        </w:rPr>
        <w:t>月</w:t>
      </w:r>
      <w:r w:rsidR="00BF4D5A">
        <w:rPr>
          <w:rFonts w:ascii="Times New Roman" w:eastAsia="宋体" w:hAnsi="Times New Roman" w:cs="Times New Roman"/>
          <w:bCs/>
          <w:sz w:val="24"/>
          <w:szCs w:val="24"/>
        </w:rPr>
        <w:t>9</w:t>
      </w:r>
      <w:r w:rsidRPr="00971FD4">
        <w:rPr>
          <w:rFonts w:ascii="Times New Roman" w:eastAsia="宋体" w:hAnsi="Times New Roman" w:cs="Times New Roman"/>
          <w:bCs/>
          <w:sz w:val="24"/>
          <w:szCs w:val="24"/>
        </w:rPr>
        <w:t>日起，</w:t>
      </w:r>
      <w:r w:rsidRPr="00971FD4">
        <w:rPr>
          <w:rFonts w:ascii="Times New Roman" w:eastAsia="宋体" w:hAnsi="Times New Roman" w:cs="Times New Roman" w:hint="eastAsia"/>
          <w:bCs/>
          <w:sz w:val="24"/>
          <w:szCs w:val="24"/>
        </w:rPr>
        <w:t>调低旗下部分基金的管理费率及托管费率，并对基金合同等法律文件的有关条款进行修订</w:t>
      </w:r>
      <w:r w:rsidRPr="00971FD4">
        <w:rPr>
          <w:rFonts w:ascii="Times New Roman" w:eastAsia="宋体" w:hAnsi="Times New Roman" w:cs="Times New Roman"/>
          <w:bCs/>
          <w:sz w:val="24"/>
          <w:szCs w:val="24"/>
        </w:rPr>
        <w:t>。现将</w:t>
      </w:r>
      <w:r w:rsidRPr="00971FD4">
        <w:rPr>
          <w:rFonts w:ascii="Times New Roman" w:eastAsia="宋体" w:hAnsi="Times New Roman" w:cs="Times New Roman" w:hint="eastAsia"/>
          <w:bCs/>
          <w:sz w:val="24"/>
          <w:szCs w:val="24"/>
        </w:rPr>
        <w:t>有关修订内容说明如下：</w:t>
      </w:r>
    </w:p>
    <w:p w:rsidR="00971FD4" w:rsidRPr="00971FD4" w:rsidRDefault="00971FD4" w:rsidP="00971FD4">
      <w:pPr>
        <w:widowControl/>
        <w:spacing w:line="360" w:lineRule="auto"/>
        <w:ind w:firstLineChars="200" w:firstLine="480"/>
        <w:rPr>
          <w:rFonts w:ascii="Times New Roman" w:eastAsia="宋体" w:hAnsi="Times New Roman" w:cs="Times New Roman"/>
          <w:bCs/>
          <w:sz w:val="24"/>
          <w:szCs w:val="24"/>
        </w:rPr>
      </w:pPr>
      <w:r w:rsidRPr="00971FD4">
        <w:rPr>
          <w:rFonts w:ascii="Times New Roman" w:eastAsia="宋体" w:hAnsi="Times New Roman" w:cs="Times New Roman"/>
          <w:bCs/>
          <w:sz w:val="24"/>
          <w:szCs w:val="24"/>
        </w:rPr>
        <w:t>1</w:t>
      </w:r>
      <w:r w:rsidRPr="00971FD4">
        <w:rPr>
          <w:rFonts w:ascii="Times New Roman" w:eastAsia="宋体" w:hAnsi="Times New Roman" w:cs="Times New Roman" w:hint="eastAsia"/>
          <w:bCs/>
          <w:sz w:val="24"/>
          <w:szCs w:val="24"/>
        </w:rPr>
        <w:t>、根据相关法律法规和基金合同的约定，本公司决定调低旗下部分基金的管理费率及</w:t>
      </w:r>
      <w:r w:rsidRPr="00971FD4">
        <w:rPr>
          <w:rFonts w:ascii="Times New Roman" w:eastAsia="宋体" w:hAnsi="Times New Roman" w:cs="Times New Roman"/>
          <w:bCs/>
          <w:sz w:val="24"/>
          <w:szCs w:val="24"/>
        </w:rPr>
        <w:t>托管费率，</w:t>
      </w:r>
      <w:r w:rsidRPr="00971FD4">
        <w:rPr>
          <w:rFonts w:ascii="Times New Roman" w:eastAsia="宋体" w:hAnsi="Times New Roman" w:cs="Times New Roman" w:hint="eastAsia"/>
          <w:bCs/>
          <w:sz w:val="24"/>
          <w:szCs w:val="24"/>
        </w:rPr>
        <w:t>并对</w:t>
      </w:r>
      <w:r w:rsidR="00593078">
        <w:rPr>
          <w:rFonts w:ascii="Times New Roman" w:eastAsia="宋体" w:hAnsi="Times New Roman" w:cs="Times New Roman" w:hint="eastAsia"/>
          <w:bCs/>
          <w:sz w:val="24"/>
          <w:szCs w:val="24"/>
        </w:rPr>
        <w:t>相关</w:t>
      </w:r>
      <w:r w:rsidRPr="00971FD4">
        <w:rPr>
          <w:rFonts w:ascii="Times New Roman" w:eastAsia="宋体" w:hAnsi="Times New Roman" w:cs="Times New Roman" w:hint="eastAsia"/>
          <w:bCs/>
          <w:sz w:val="24"/>
          <w:szCs w:val="24"/>
        </w:rPr>
        <w:t>基金合同进行必要的修订。相关基金的名单及费率调整情况详见附件</w:t>
      </w:r>
      <w:r w:rsidRPr="00971FD4">
        <w:rPr>
          <w:rFonts w:ascii="Times New Roman" w:eastAsia="宋体" w:hAnsi="Times New Roman" w:cs="Times New Roman"/>
          <w:bCs/>
          <w:sz w:val="24"/>
          <w:szCs w:val="24"/>
        </w:rPr>
        <w:t>，相关基金的托管协议、招募说明书、基金产品资料概要据</w:t>
      </w:r>
      <w:r w:rsidRPr="00971FD4">
        <w:rPr>
          <w:rFonts w:ascii="Times New Roman" w:eastAsia="宋体" w:hAnsi="Times New Roman" w:cs="Times New Roman" w:hint="eastAsia"/>
          <w:bCs/>
          <w:sz w:val="24"/>
          <w:szCs w:val="24"/>
        </w:rPr>
        <w:t>此相应进行必要修订。</w:t>
      </w:r>
    </w:p>
    <w:p w:rsidR="004363F5" w:rsidRDefault="00971FD4" w:rsidP="00EE0828">
      <w:pPr>
        <w:widowControl/>
        <w:spacing w:line="360" w:lineRule="auto"/>
        <w:ind w:firstLineChars="200" w:firstLine="480"/>
        <w:rPr>
          <w:rFonts w:ascii="Times New Roman" w:eastAsia="宋体" w:hAnsi="Times New Roman" w:cs="Times New Roman"/>
          <w:bCs/>
          <w:sz w:val="24"/>
          <w:szCs w:val="24"/>
        </w:rPr>
      </w:pPr>
      <w:r w:rsidRPr="00971FD4">
        <w:rPr>
          <w:rFonts w:ascii="Times New Roman" w:eastAsia="宋体" w:hAnsi="Times New Roman" w:cs="Times New Roman"/>
          <w:bCs/>
          <w:sz w:val="24"/>
          <w:szCs w:val="24"/>
        </w:rPr>
        <w:t>2</w:t>
      </w:r>
      <w:r w:rsidRPr="00971FD4">
        <w:rPr>
          <w:rFonts w:ascii="Times New Roman" w:eastAsia="宋体" w:hAnsi="Times New Roman" w:cs="Times New Roman" w:hint="eastAsia"/>
          <w:bCs/>
          <w:sz w:val="24"/>
          <w:szCs w:val="24"/>
        </w:rPr>
        <w:t>、本次相关基金的基金合同、托管协议、招募说明书和基金产品资料概要修订的内容和程序符合有关法律法规和基金合同的规定。</w:t>
      </w:r>
      <w:r w:rsidR="004363F5" w:rsidRPr="004363F5">
        <w:rPr>
          <w:rFonts w:ascii="Times New Roman" w:eastAsia="宋体" w:hAnsi="Times New Roman" w:cs="Times New Roman" w:hint="eastAsia"/>
          <w:bCs/>
          <w:sz w:val="24"/>
          <w:szCs w:val="24"/>
        </w:rPr>
        <w:t>本次调低管理费率及托管费率对基金份额持有人利益无实质性不利影响且不涉及基金合同当事人权利义务关系发生重大变化，符合基金合同的约定，因此无需召开份额持有人大会。</w:t>
      </w:r>
    </w:p>
    <w:p w:rsidR="00971FD4" w:rsidRPr="00730CC2" w:rsidRDefault="004363F5" w:rsidP="00EE0828">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hint="eastAsia"/>
          <w:bCs/>
          <w:sz w:val="24"/>
          <w:szCs w:val="24"/>
        </w:rPr>
        <w:t>、</w:t>
      </w:r>
      <w:r w:rsidR="00971FD4" w:rsidRPr="00971FD4">
        <w:rPr>
          <w:rFonts w:ascii="Times New Roman" w:eastAsia="宋体" w:hAnsi="Times New Roman" w:cs="Times New Roman" w:hint="eastAsia"/>
          <w:bCs/>
          <w:sz w:val="24"/>
          <w:szCs w:val="24"/>
        </w:rPr>
        <w:t>本次修订后的基金合同、托管协议、招募说明书（更新）和基金产品资料概要（更新）将在本公司网站（</w:t>
      </w:r>
      <w:r w:rsidR="00D53073" w:rsidRPr="00D53073">
        <w:rPr>
          <w:rFonts w:ascii="Times New Roman" w:eastAsia="宋体" w:hAnsi="Times New Roman" w:cs="Times New Roman"/>
          <w:bCs/>
          <w:sz w:val="24"/>
          <w:szCs w:val="24"/>
        </w:rPr>
        <w:t>https://www.manulifefund.com.cn</w:t>
      </w:r>
      <w:r w:rsidR="00971FD4" w:rsidRPr="00971FD4">
        <w:rPr>
          <w:rFonts w:ascii="Times New Roman" w:eastAsia="宋体" w:hAnsi="Times New Roman" w:cs="Times New Roman"/>
          <w:bCs/>
          <w:sz w:val="24"/>
          <w:szCs w:val="24"/>
        </w:rPr>
        <w:t>）和中国证监会基金电子披露网站</w:t>
      </w:r>
      <w:r w:rsidR="00D53073" w:rsidRPr="00971FD4">
        <w:rPr>
          <w:rFonts w:ascii="Times New Roman" w:eastAsia="宋体" w:hAnsi="Times New Roman" w:cs="Times New Roman" w:hint="eastAsia"/>
          <w:bCs/>
          <w:sz w:val="24"/>
          <w:szCs w:val="24"/>
        </w:rPr>
        <w:t>（</w:t>
      </w:r>
      <w:r w:rsidR="00971FD4" w:rsidRPr="00971FD4">
        <w:rPr>
          <w:rFonts w:ascii="Times New Roman" w:eastAsia="宋体" w:hAnsi="Times New Roman" w:cs="Times New Roman"/>
          <w:bCs/>
          <w:sz w:val="24"/>
          <w:szCs w:val="24"/>
        </w:rPr>
        <w:t>http://eid.csrc.gov.cn/fund</w:t>
      </w:r>
      <w:r w:rsidR="00971FD4" w:rsidRPr="00971FD4">
        <w:rPr>
          <w:rFonts w:ascii="Times New Roman" w:eastAsia="宋体" w:hAnsi="Times New Roman" w:cs="Times New Roman"/>
          <w:bCs/>
          <w:sz w:val="24"/>
          <w:szCs w:val="24"/>
        </w:rPr>
        <w:t>）发布。投资人办理基金交易等相</w:t>
      </w:r>
      <w:r w:rsidR="00971FD4" w:rsidRPr="00971FD4">
        <w:rPr>
          <w:rFonts w:ascii="Times New Roman" w:eastAsia="宋体" w:hAnsi="Times New Roman" w:cs="Times New Roman" w:hint="eastAsia"/>
          <w:bCs/>
          <w:sz w:val="24"/>
          <w:szCs w:val="24"/>
        </w:rPr>
        <w:t>关业务前，应仔细阅读各基金的基金合同、招募说</w:t>
      </w:r>
      <w:r w:rsidR="00971FD4" w:rsidRPr="00971FD4">
        <w:rPr>
          <w:rFonts w:ascii="Times New Roman" w:eastAsia="宋体" w:hAnsi="Times New Roman" w:cs="Times New Roman"/>
          <w:bCs/>
          <w:sz w:val="24"/>
          <w:szCs w:val="24"/>
        </w:rPr>
        <w:t>明书、基金产品资</w:t>
      </w:r>
      <w:r w:rsidR="00971FD4" w:rsidRPr="00971FD4">
        <w:rPr>
          <w:rFonts w:ascii="Times New Roman" w:eastAsia="宋体" w:hAnsi="Times New Roman" w:cs="Times New Roman" w:hint="eastAsia"/>
          <w:bCs/>
          <w:sz w:val="24"/>
          <w:szCs w:val="24"/>
        </w:rPr>
        <w:t>料概要、风险提示及相关业务规则等文件。</w:t>
      </w:r>
      <w:r w:rsidR="00971FD4" w:rsidRPr="00730CC2">
        <w:rPr>
          <w:rFonts w:ascii="Times New Roman" w:eastAsia="宋体" w:hAnsi="Times New Roman" w:cs="Times New Roman" w:hint="eastAsia"/>
          <w:bCs/>
          <w:sz w:val="24"/>
          <w:szCs w:val="24"/>
        </w:rPr>
        <w:t>投资者可拨打本基金管理人客户服务电话（</w:t>
      </w:r>
      <w:r w:rsidR="00971FD4" w:rsidRPr="004B1FE9">
        <w:rPr>
          <w:rFonts w:ascii="Times New Roman" w:eastAsia="宋体" w:hAnsi="Times New Roman" w:cs="Times New Roman"/>
          <w:bCs/>
          <w:sz w:val="24"/>
          <w:szCs w:val="24"/>
        </w:rPr>
        <w:t>4006-988-888</w:t>
      </w:r>
      <w:r w:rsidR="00971FD4" w:rsidRPr="00730CC2">
        <w:rPr>
          <w:rFonts w:ascii="Times New Roman" w:eastAsia="宋体" w:hAnsi="Times New Roman" w:cs="Times New Roman" w:hint="eastAsia"/>
          <w:bCs/>
          <w:sz w:val="24"/>
          <w:szCs w:val="24"/>
        </w:rPr>
        <w:t>）了解相关信息。</w:t>
      </w:r>
    </w:p>
    <w:p w:rsidR="00971FD4" w:rsidRDefault="00971FD4" w:rsidP="00971FD4">
      <w:pPr>
        <w:widowControl/>
        <w:spacing w:line="360" w:lineRule="auto"/>
        <w:ind w:firstLineChars="200" w:firstLine="480"/>
        <w:rPr>
          <w:rFonts w:ascii="Times New Roman" w:eastAsia="宋体" w:hAnsi="Times New Roman" w:cs="Times New Roman"/>
          <w:bCs/>
          <w:sz w:val="24"/>
          <w:szCs w:val="24"/>
        </w:rPr>
      </w:pPr>
    </w:p>
    <w:p w:rsidR="00971FD4" w:rsidRPr="00730CC2" w:rsidRDefault="00971FD4" w:rsidP="00971FD4">
      <w:pPr>
        <w:widowControl/>
        <w:spacing w:line="360" w:lineRule="auto"/>
        <w:ind w:firstLineChars="200" w:firstLine="480"/>
        <w:rPr>
          <w:rFonts w:ascii="Times New Roman" w:eastAsia="宋体" w:hAnsi="Times New Roman" w:cs="Times New Roman"/>
          <w:bCs/>
          <w:sz w:val="24"/>
          <w:szCs w:val="24"/>
        </w:rPr>
      </w:pPr>
      <w:r w:rsidRPr="00730CC2">
        <w:rPr>
          <w:rFonts w:ascii="Times New Roman" w:eastAsia="宋体" w:hAnsi="Times New Roman" w:cs="Times New Roman" w:hint="eastAsia"/>
          <w:bCs/>
          <w:sz w:val="24"/>
          <w:szCs w:val="24"/>
        </w:rPr>
        <w:t>风险提示</w:t>
      </w:r>
    </w:p>
    <w:p w:rsidR="00971FD4" w:rsidRPr="00730CC2" w:rsidRDefault="00971FD4" w:rsidP="00971FD4">
      <w:pPr>
        <w:widowControl/>
        <w:spacing w:line="360" w:lineRule="auto"/>
        <w:ind w:firstLineChars="200" w:firstLine="480"/>
        <w:rPr>
          <w:rFonts w:ascii="Times New Roman" w:eastAsia="宋体" w:hAnsi="Times New Roman" w:cs="Times New Roman"/>
          <w:bCs/>
          <w:sz w:val="24"/>
          <w:szCs w:val="24"/>
        </w:rPr>
      </w:pPr>
      <w:r w:rsidRPr="00730CC2">
        <w:rPr>
          <w:rFonts w:ascii="Times New Roman" w:eastAsia="宋体" w:hAnsi="Times New Roman" w:cs="Times New Roman" w:hint="eastAsia"/>
          <w:bCs/>
          <w:sz w:val="24"/>
          <w:szCs w:val="24"/>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730CC2">
        <w:rPr>
          <w:rFonts w:ascii="Times New Roman" w:eastAsia="宋体" w:hAnsi="Times New Roman" w:cs="Times New Roman"/>
          <w:bCs/>
          <w:sz w:val="24"/>
          <w:szCs w:val="24"/>
        </w:rPr>
        <w:t>“</w:t>
      </w:r>
      <w:r w:rsidRPr="00730CC2">
        <w:rPr>
          <w:rFonts w:ascii="Times New Roman" w:eastAsia="宋体" w:hAnsi="Times New Roman" w:cs="Times New Roman" w:hint="eastAsia"/>
          <w:bCs/>
          <w:sz w:val="24"/>
          <w:szCs w:val="24"/>
        </w:rPr>
        <w:t>买者自负</w:t>
      </w:r>
      <w:r w:rsidRPr="00730CC2">
        <w:rPr>
          <w:rFonts w:ascii="Times New Roman" w:eastAsia="宋体" w:hAnsi="Times New Roman" w:cs="Times New Roman"/>
          <w:bCs/>
          <w:sz w:val="24"/>
          <w:szCs w:val="24"/>
        </w:rPr>
        <w:t>”</w:t>
      </w:r>
      <w:r w:rsidRPr="00730CC2">
        <w:rPr>
          <w:rFonts w:ascii="Times New Roman" w:eastAsia="宋体" w:hAnsi="Times New Roman" w:cs="Times New Roman" w:hint="eastAsia"/>
          <w:bCs/>
          <w:sz w:val="24"/>
          <w:szCs w:val="24"/>
        </w:rPr>
        <w:t>原则，在做出投资决策后，基金运营状况与基金净值变化引致的投资风险，由投资者自行负担。</w:t>
      </w:r>
    </w:p>
    <w:p w:rsidR="00971FD4" w:rsidRPr="00730CC2" w:rsidRDefault="00971FD4" w:rsidP="00971FD4">
      <w:pPr>
        <w:widowControl/>
        <w:spacing w:line="360" w:lineRule="auto"/>
        <w:ind w:firstLineChars="200" w:firstLine="480"/>
        <w:rPr>
          <w:rFonts w:ascii="Times New Roman" w:eastAsia="宋体" w:hAnsi="Times New Roman" w:cs="Times New Roman"/>
          <w:bCs/>
          <w:sz w:val="24"/>
          <w:szCs w:val="24"/>
        </w:rPr>
      </w:pPr>
      <w:r w:rsidRPr="00730CC2">
        <w:rPr>
          <w:rFonts w:ascii="Times New Roman" w:eastAsia="宋体" w:hAnsi="Times New Roman" w:cs="Times New Roman" w:hint="eastAsia"/>
          <w:bCs/>
          <w:sz w:val="24"/>
          <w:szCs w:val="24"/>
        </w:rPr>
        <w:lastRenderedPageBreak/>
        <w:t>投资者在投资基金之前，请仔细阅读基金的基金产品资料概要、招募说明书和基金合同等信息披露文件，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w:t>
      </w:r>
    </w:p>
    <w:p w:rsidR="00971FD4" w:rsidRDefault="00971FD4" w:rsidP="00971FD4">
      <w:pPr>
        <w:widowControl/>
        <w:spacing w:line="360" w:lineRule="auto"/>
        <w:ind w:firstLineChars="200" w:firstLine="480"/>
        <w:rPr>
          <w:rFonts w:ascii="Times New Roman" w:eastAsia="宋体" w:hAnsi="Times New Roman" w:cs="Times New Roman"/>
          <w:bCs/>
          <w:sz w:val="24"/>
          <w:szCs w:val="24"/>
        </w:rPr>
      </w:pPr>
      <w:r w:rsidRPr="00730CC2">
        <w:rPr>
          <w:rFonts w:ascii="Times New Roman" w:eastAsia="宋体" w:hAnsi="Times New Roman" w:cs="Times New Roman" w:hint="eastAsia"/>
          <w:bCs/>
          <w:sz w:val="24"/>
          <w:szCs w:val="24"/>
        </w:rPr>
        <w:t>特此公告</w:t>
      </w:r>
      <w:r>
        <w:rPr>
          <w:rFonts w:ascii="Times New Roman" w:eastAsia="宋体" w:hAnsi="Times New Roman" w:cs="Times New Roman" w:hint="eastAsia"/>
          <w:bCs/>
          <w:sz w:val="24"/>
          <w:szCs w:val="24"/>
        </w:rPr>
        <w:t>。</w:t>
      </w:r>
    </w:p>
    <w:p w:rsidR="00971FD4" w:rsidRPr="000819BB" w:rsidRDefault="00971FD4" w:rsidP="00971FD4">
      <w:pPr>
        <w:widowControl/>
        <w:spacing w:line="360" w:lineRule="auto"/>
        <w:ind w:right="120" w:firstLineChars="100" w:firstLine="240"/>
        <w:jc w:val="right"/>
        <w:rPr>
          <w:rFonts w:ascii="宋体" w:eastAsia="宋体" w:hAnsi="宋体" w:cs="Times New Roman"/>
          <w:bCs/>
          <w:sz w:val="24"/>
          <w:szCs w:val="24"/>
        </w:rPr>
      </w:pPr>
      <w:r>
        <w:rPr>
          <w:rFonts w:ascii="宋体" w:eastAsia="宋体" w:hAnsi="宋体" w:cs="Times New Roman" w:hint="eastAsia"/>
          <w:bCs/>
          <w:sz w:val="24"/>
          <w:szCs w:val="24"/>
        </w:rPr>
        <w:t xml:space="preserve"> </w:t>
      </w:r>
      <w:r w:rsidRPr="000819BB">
        <w:rPr>
          <w:rFonts w:ascii="宋体" w:eastAsia="宋体" w:hAnsi="宋体" w:cs="Times New Roman" w:hint="eastAsia"/>
          <w:bCs/>
          <w:sz w:val="24"/>
          <w:szCs w:val="24"/>
        </w:rPr>
        <w:t>宏利基金管理有限公司</w:t>
      </w:r>
    </w:p>
    <w:p w:rsidR="00971FD4" w:rsidRPr="004B1FE9" w:rsidRDefault="00971FD4" w:rsidP="00971FD4">
      <w:pPr>
        <w:widowControl/>
        <w:spacing w:line="360" w:lineRule="auto"/>
        <w:ind w:right="120" w:firstLineChars="100" w:firstLine="240"/>
        <w:jc w:val="right"/>
        <w:rPr>
          <w:rFonts w:ascii="宋体" w:eastAsia="宋体" w:hAnsi="宋体" w:cs="Times New Roman"/>
          <w:bCs/>
          <w:sz w:val="24"/>
          <w:szCs w:val="24"/>
        </w:rPr>
      </w:pPr>
      <w:r w:rsidRPr="000819BB">
        <w:rPr>
          <w:rFonts w:ascii="宋体" w:eastAsia="宋体" w:hAnsi="宋体" w:cs="Times New Roman"/>
          <w:bCs/>
          <w:sz w:val="24"/>
          <w:szCs w:val="24"/>
        </w:rPr>
        <w:t xml:space="preserve">                                          </w:t>
      </w:r>
      <w:r w:rsidR="00196F00" w:rsidRPr="000819BB">
        <w:rPr>
          <w:rFonts w:ascii="宋体" w:eastAsia="宋体" w:hAnsi="宋体" w:cs="Times New Roman"/>
          <w:bCs/>
          <w:sz w:val="24"/>
          <w:szCs w:val="24"/>
        </w:rPr>
        <w:t>2023</w:t>
      </w:r>
      <w:r w:rsidR="00196F00" w:rsidRPr="000819BB">
        <w:rPr>
          <w:rFonts w:ascii="宋体" w:eastAsia="宋体" w:hAnsi="宋体" w:cs="Times New Roman" w:hint="eastAsia"/>
          <w:bCs/>
          <w:sz w:val="24"/>
          <w:szCs w:val="24"/>
        </w:rPr>
        <w:t>年</w:t>
      </w:r>
      <w:r w:rsidR="00196F00">
        <w:rPr>
          <w:rFonts w:ascii="宋体" w:eastAsia="宋体" w:hAnsi="宋体" w:cs="Times New Roman"/>
          <w:bCs/>
          <w:sz w:val="24"/>
          <w:szCs w:val="24"/>
        </w:rPr>
        <w:t>9</w:t>
      </w:r>
      <w:r w:rsidR="00196F00" w:rsidRPr="000819BB">
        <w:rPr>
          <w:rFonts w:ascii="宋体" w:eastAsia="宋体" w:hAnsi="宋体" w:cs="Times New Roman" w:hint="eastAsia"/>
          <w:bCs/>
          <w:sz w:val="24"/>
          <w:szCs w:val="24"/>
        </w:rPr>
        <w:t>月</w:t>
      </w:r>
      <w:r w:rsidR="00BF4D5A">
        <w:rPr>
          <w:rFonts w:ascii="宋体" w:eastAsia="宋体" w:hAnsi="宋体" w:cs="Times New Roman"/>
          <w:bCs/>
          <w:sz w:val="24"/>
          <w:szCs w:val="24"/>
        </w:rPr>
        <w:t>27</w:t>
      </w:r>
      <w:r w:rsidRPr="000819BB">
        <w:rPr>
          <w:rFonts w:ascii="宋体" w:eastAsia="宋体" w:hAnsi="宋体" w:cs="Times New Roman" w:hint="eastAsia"/>
          <w:bCs/>
          <w:sz w:val="24"/>
          <w:szCs w:val="24"/>
        </w:rPr>
        <w:t>日</w:t>
      </w:r>
    </w:p>
    <w:p w:rsidR="00730CC2" w:rsidRPr="004B1FE9" w:rsidRDefault="00D53073" w:rsidP="00971FD4">
      <w:pPr>
        <w:widowControl/>
        <w:spacing w:line="360" w:lineRule="auto"/>
        <w:ind w:firstLineChars="200" w:firstLine="482"/>
        <w:rPr>
          <w:rFonts w:ascii="Times New Roman" w:eastAsia="宋体" w:hAnsi="Times New Roman" w:cs="Times New Roman"/>
          <w:b/>
          <w:sz w:val="24"/>
          <w:szCs w:val="24"/>
        </w:rPr>
      </w:pPr>
      <w:bookmarkStart w:id="1" w:name="_Hlk146610075"/>
      <w:r w:rsidRPr="00D53073">
        <w:rPr>
          <w:rFonts w:ascii="Times New Roman" w:eastAsia="宋体" w:hAnsi="Times New Roman" w:cs="Times New Roman" w:hint="eastAsia"/>
          <w:b/>
          <w:sz w:val="24"/>
          <w:szCs w:val="24"/>
        </w:rPr>
        <w:t>附件：相关基金名单（及费率调整安排）</w:t>
      </w:r>
    </w:p>
    <w:tbl>
      <w:tblPr>
        <w:tblW w:w="9356" w:type="dxa"/>
        <w:tblInd w:w="-289" w:type="dxa"/>
        <w:tblLook w:val="04A0"/>
      </w:tblPr>
      <w:tblGrid>
        <w:gridCol w:w="4820"/>
        <w:gridCol w:w="1134"/>
        <w:gridCol w:w="1134"/>
        <w:gridCol w:w="1134"/>
        <w:gridCol w:w="1134"/>
      </w:tblGrid>
      <w:tr w:rsidR="00D53073" w:rsidRPr="005B28D1" w:rsidTr="003F1E30">
        <w:trPr>
          <w:trHeight w:val="285"/>
        </w:trPr>
        <w:tc>
          <w:tcPr>
            <w:tcW w:w="48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bookmarkEnd w:id="0"/>
          <w:p w:rsidR="00D53073" w:rsidRPr="004E0EDF" w:rsidRDefault="00D53073" w:rsidP="008A7B42">
            <w:pPr>
              <w:widowControl/>
              <w:spacing w:line="360" w:lineRule="auto"/>
              <w:jc w:val="center"/>
              <w:rPr>
                <w:rFonts w:ascii="宋体" w:eastAsia="宋体" w:hAnsi="宋体"/>
                <w:szCs w:val="21"/>
              </w:rPr>
            </w:pPr>
            <w:r w:rsidRPr="004E0EDF">
              <w:rPr>
                <w:rFonts w:ascii="宋体" w:eastAsia="宋体" w:hAnsi="宋体" w:hint="eastAsia"/>
                <w:szCs w:val="21"/>
              </w:rPr>
              <w:t>基金产品名称</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53073" w:rsidRPr="004E0EDF" w:rsidRDefault="00D53073" w:rsidP="008A7B42">
            <w:pPr>
              <w:widowControl/>
              <w:spacing w:line="360" w:lineRule="auto"/>
              <w:jc w:val="center"/>
              <w:rPr>
                <w:rFonts w:ascii="宋体" w:eastAsia="宋体" w:hAnsi="宋体"/>
                <w:szCs w:val="21"/>
              </w:rPr>
            </w:pPr>
            <w:r w:rsidRPr="004E0EDF">
              <w:rPr>
                <w:rFonts w:ascii="宋体" w:eastAsia="宋体" w:hAnsi="宋体" w:hint="eastAsia"/>
                <w:szCs w:val="21"/>
              </w:rPr>
              <w:t>调整前</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53073" w:rsidRPr="004E0EDF" w:rsidRDefault="00D53073" w:rsidP="008A7B42">
            <w:pPr>
              <w:widowControl/>
              <w:spacing w:line="360" w:lineRule="auto"/>
              <w:jc w:val="center"/>
              <w:rPr>
                <w:rFonts w:ascii="宋体" w:eastAsia="宋体" w:hAnsi="宋体"/>
                <w:szCs w:val="21"/>
              </w:rPr>
            </w:pPr>
            <w:r w:rsidRPr="004E0EDF">
              <w:rPr>
                <w:rFonts w:ascii="宋体" w:eastAsia="宋体" w:hAnsi="宋体" w:hint="eastAsia"/>
                <w:szCs w:val="21"/>
              </w:rPr>
              <w:t>调整后</w:t>
            </w:r>
          </w:p>
        </w:tc>
      </w:tr>
      <w:tr w:rsidR="00D53073" w:rsidRPr="005B28D1" w:rsidTr="003F1E30">
        <w:trPr>
          <w:trHeight w:val="285"/>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D53073" w:rsidRPr="004E0EDF" w:rsidRDefault="00D53073" w:rsidP="008A7B42">
            <w:pPr>
              <w:widowControl/>
              <w:spacing w:line="360" w:lineRule="auto"/>
              <w:jc w:val="center"/>
              <w:rPr>
                <w:rFonts w:ascii="宋体" w:eastAsia="宋体" w:hAnsi="宋体"/>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D53073" w:rsidRPr="004E0EDF" w:rsidRDefault="00D53073" w:rsidP="008A7B42">
            <w:pPr>
              <w:widowControl/>
              <w:spacing w:line="360" w:lineRule="auto"/>
              <w:jc w:val="center"/>
              <w:rPr>
                <w:rFonts w:ascii="宋体" w:eastAsia="宋体" w:hAnsi="宋体"/>
                <w:szCs w:val="21"/>
              </w:rPr>
            </w:pPr>
            <w:r w:rsidRPr="004E0EDF">
              <w:rPr>
                <w:rFonts w:ascii="宋体" w:eastAsia="宋体" w:hAnsi="宋体" w:hint="eastAsia"/>
                <w:szCs w:val="21"/>
              </w:rPr>
              <w:t>管理费率</w:t>
            </w:r>
          </w:p>
        </w:tc>
        <w:tc>
          <w:tcPr>
            <w:tcW w:w="1134" w:type="dxa"/>
            <w:tcBorders>
              <w:top w:val="nil"/>
              <w:left w:val="nil"/>
              <w:bottom w:val="single" w:sz="4" w:space="0" w:color="auto"/>
              <w:right w:val="single" w:sz="4" w:space="0" w:color="auto"/>
            </w:tcBorders>
            <w:shd w:val="clear" w:color="auto" w:fill="auto"/>
            <w:noWrap/>
            <w:vAlign w:val="center"/>
            <w:hideMark/>
          </w:tcPr>
          <w:p w:rsidR="00D53073" w:rsidRPr="004E0EDF" w:rsidRDefault="00D53073" w:rsidP="008A7B42">
            <w:pPr>
              <w:widowControl/>
              <w:spacing w:line="360" w:lineRule="auto"/>
              <w:jc w:val="center"/>
              <w:rPr>
                <w:rFonts w:ascii="宋体" w:eastAsia="宋体" w:hAnsi="宋体"/>
                <w:szCs w:val="21"/>
              </w:rPr>
            </w:pPr>
            <w:r w:rsidRPr="004E0EDF">
              <w:rPr>
                <w:rFonts w:ascii="宋体" w:eastAsia="宋体" w:hAnsi="宋体" w:hint="eastAsia"/>
                <w:szCs w:val="21"/>
              </w:rPr>
              <w:t>托管费率</w:t>
            </w:r>
          </w:p>
        </w:tc>
        <w:tc>
          <w:tcPr>
            <w:tcW w:w="1134" w:type="dxa"/>
            <w:tcBorders>
              <w:top w:val="nil"/>
              <w:left w:val="nil"/>
              <w:bottom w:val="single" w:sz="4" w:space="0" w:color="auto"/>
              <w:right w:val="single" w:sz="4" w:space="0" w:color="auto"/>
            </w:tcBorders>
            <w:shd w:val="clear" w:color="auto" w:fill="auto"/>
            <w:noWrap/>
            <w:vAlign w:val="center"/>
            <w:hideMark/>
          </w:tcPr>
          <w:p w:rsidR="00D53073" w:rsidRPr="004E0EDF" w:rsidRDefault="00D53073" w:rsidP="008A7B42">
            <w:pPr>
              <w:widowControl/>
              <w:spacing w:line="360" w:lineRule="auto"/>
              <w:jc w:val="center"/>
              <w:rPr>
                <w:rFonts w:ascii="宋体" w:eastAsia="宋体" w:hAnsi="宋体"/>
                <w:szCs w:val="21"/>
              </w:rPr>
            </w:pPr>
            <w:r w:rsidRPr="004E0EDF">
              <w:rPr>
                <w:rFonts w:ascii="宋体" w:eastAsia="宋体" w:hAnsi="宋体" w:hint="eastAsia"/>
                <w:szCs w:val="21"/>
              </w:rPr>
              <w:t>管理费率</w:t>
            </w:r>
          </w:p>
        </w:tc>
        <w:tc>
          <w:tcPr>
            <w:tcW w:w="1134" w:type="dxa"/>
            <w:tcBorders>
              <w:top w:val="nil"/>
              <w:left w:val="nil"/>
              <w:bottom w:val="single" w:sz="4" w:space="0" w:color="auto"/>
              <w:right w:val="single" w:sz="4" w:space="0" w:color="auto"/>
            </w:tcBorders>
            <w:shd w:val="clear" w:color="auto" w:fill="auto"/>
            <w:noWrap/>
            <w:vAlign w:val="center"/>
            <w:hideMark/>
          </w:tcPr>
          <w:p w:rsidR="00D53073" w:rsidRPr="004E0EDF" w:rsidRDefault="00D53073" w:rsidP="008A7B42">
            <w:pPr>
              <w:widowControl/>
              <w:spacing w:line="360" w:lineRule="auto"/>
              <w:jc w:val="center"/>
              <w:rPr>
                <w:rFonts w:ascii="宋体" w:eastAsia="宋体" w:hAnsi="宋体"/>
                <w:szCs w:val="21"/>
              </w:rPr>
            </w:pPr>
            <w:r w:rsidRPr="004E0EDF">
              <w:rPr>
                <w:rFonts w:ascii="宋体" w:eastAsia="宋体" w:hAnsi="宋体" w:hint="eastAsia"/>
                <w:szCs w:val="21"/>
              </w:rPr>
              <w:t>托管费率</w:t>
            </w:r>
          </w:p>
        </w:tc>
      </w:tr>
      <w:tr w:rsidR="003F1E30" w:rsidRPr="005B28D1" w:rsidTr="003F1E30">
        <w:trPr>
          <w:trHeight w:val="285"/>
        </w:trPr>
        <w:tc>
          <w:tcPr>
            <w:tcW w:w="4820" w:type="dxa"/>
            <w:tcBorders>
              <w:top w:val="nil"/>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hint="eastAsia"/>
                <w:color w:val="000000"/>
                <w:szCs w:val="21"/>
              </w:rPr>
              <w:t>宏利消费行业量化精选混合型证券投资基金</w:t>
            </w:r>
            <w:r w:rsidRPr="004E0EDF">
              <w:rPr>
                <w:rFonts w:ascii="宋体" w:eastAsia="宋体" w:hAnsi="宋体"/>
                <w:color w:val="000000"/>
                <w:szCs w:val="21"/>
              </w:rPr>
              <w:tab/>
            </w:r>
          </w:p>
        </w:tc>
        <w:tc>
          <w:tcPr>
            <w:tcW w:w="1134" w:type="dxa"/>
            <w:tcBorders>
              <w:top w:val="nil"/>
              <w:left w:val="nil"/>
              <w:bottom w:val="single" w:sz="4" w:space="0" w:color="auto"/>
              <w:right w:val="single" w:sz="4" w:space="0" w:color="auto"/>
            </w:tcBorders>
            <w:shd w:val="clear" w:color="auto" w:fill="auto"/>
            <w:noWrap/>
            <w:vAlign w:val="center"/>
          </w:tcPr>
          <w:p w:rsidR="003F1E30" w:rsidRPr="004E0EDF" w:rsidRDefault="003F1E30" w:rsidP="003F1E30">
            <w:pPr>
              <w:widowControl/>
              <w:jc w:val="center"/>
              <w:rPr>
                <w:rFonts w:ascii="宋体" w:eastAsia="宋体" w:hAnsi="宋体"/>
                <w:szCs w:val="21"/>
              </w:rPr>
            </w:pPr>
            <w:r w:rsidRPr="004E0EDF">
              <w:rPr>
                <w:rFonts w:ascii="宋体" w:eastAsia="宋体" w:hAnsi="宋体"/>
                <w:color w:val="000000"/>
                <w:szCs w:val="21"/>
              </w:rPr>
              <w:t>1.50%</w:t>
            </w:r>
          </w:p>
        </w:tc>
        <w:tc>
          <w:tcPr>
            <w:tcW w:w="1134" w:type="dxa"/>
            <w:tcBorders>
              <w:top w:val="nil"/>
              <w:left w:val="nil"/>
              <w:bottom w:val="single" w:sz="4" w:space="0" w:color="auto"/>
              <w:right w:val="single" w:sz="4" w:space="0" w:color="auto"/>
            </w:tcBorders>
            <w:shd w:val="clear" w:color="auto" w:fill="auto"/>
            <w:noWrap/>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color w:val="000000"/>
                <w:szCs w:val="21"/>
              </w:rPr>
              <w:t>0.25%</w:t>
            </w:r>
          </w:p>
        </w:tc>
        <w:tc>
          <w:tcPr>
            <w:tcW w:w="1134" w:type="dxa"/>
            <w:tcBorders>
              <w:top w:val="nil"/>
              <w:left w:val="nil"/>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color w:val="000000"/>
                <w:szCs w:val="21"/>
              </w:rPr>
              <w:t>1.20%</w:t>
            </w:r>
          </w:p>
        </w:tc>
        <w:tc>
          <w:tcPr>
            <w:tcW w:w="1134" w:type="dxa"/>
            <w:tcBorders>
              <w:top w:val="nil"/>
              <w:left w:val="nil"/>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color w:val="000000"/>
                <w:szCs w:val="21"/>
              </w:rPr>
              <w:t>0.20%</w:t>
            </w:r>
          </w:p>
        </w:tc>
      </w:tr>
      <w:tr w:rsidR="003F1E30" w:rsidRPr="005B28D1" w:rsidTr="003F1E30">
        <w:trPr>
          <w:trHeight w:val="285"/>
        </w:trPr>
        <w:tc>
          <w:tcPr>
            <w:tcW w:w="4820" w:type="dxa"/>
            <w:tcBorders>
              <w:top w:val="nil"/>
              <w:left w:val="single" w:sz="4" w:space="0" w:color="auto"/>
              <w:bottom w:val="single" w:sz="4" w:space="0" w:color="auto"/>
              <w:right w:val="single" w:sz="4" w:space="0" w:color="auto"/>
            </w:tcBorders>
            <w:shd w:val="clear" w:color="auto" w:fill="auto"/>
            <w:noWrap/>
          </w:tcPr>
          <w:p w:rsidR="003F1E30" w:rsidRPr="004E0EDF" w:rsidRDefault="003F1E30" w:rsidP="003F1E30">
            <w:pPr>
              <w:widowControl/>
              <w:spacing w:line="360" w:lineRule="auto"/>
              <w:jc w:val="center"/>
              <w:rPr>
                <w:rFonts w:ascii="宋体" w:eastAsia="宋体" w:hAnsi="宋体"/>
                <w:color w:val="000000"/>
                <w:szCs w:val="21"/>
              </w:rPr>
            </w:pPr>
            <w:r w:rsidRPr="004E0EDF">
              <w:rPr>
                <w:rFonts w:ascii="宋体" w:eastAsia="宋体" w:hAnsi="宋体" w:hint="eastAsia"/>
                <w:szCs w:val="21"/>
              </w:rPr>
              <w:t>宏利景气智选</w:t>
            </w:r>
            <w:r w:rsidRPr="004E0EDF">
              <w:rPr>
                <w:rFonts w:ascii="宋体" w:eastAsia="宋体" w:hAnsi="宋体"/>
                <w:szCs w:val="21"/>
              </w:rPr>
              <w:t>18个月持有期混合型证券投资基金</w:t>
            </w:r>
          </w:p>
        </w:tc>
        <w:tc>
          <w:tcPr>
            <w:tcW w:w="1134" w:type="dxa"/>
            <w:tcBorders>
              <w:top w:val="nil"/>
              <w:left w:val="nil"/>
              <w:bottom w:val="single" w:sz="4" w:space="0" w:color="auto"/>
              <w:right w:val="single" w:sz="4" w:space="0" w:color="auto"/>
            </w:tcBorders>
            <w:shd w:val="clear" w:color="auto" w:fill="auto"/>
            <w:noWrap/>
            <w:vAlign w:val="center"/>
          </w:tcPr>
          <w:p w:rsidR="003F1E30" w:rsidRPr="004E0EDF" w:rsidRDefault="003F1E30" w:rsidP="003F1E30">
            <w:pPr>
              <w:widowControl/>
              <w:jc w:val="center"/>
              <w:rPr>
                <w:rFonts w:ascii="宋体" w:eastAsia="宋体" w:hAnsi="宋体"/>
                <w:color w:val="000000"/>
                <w:szCs w:val="21"/>
              </w:rPr>
            </w:pPr>
            <w:r w:rsidRPr="004E0EDF">
              <w:rPr>
                <w:rFonts w:ascii="宋体" w:eastAsia="宋体" w:hAnsi="宋体"/>
                <w:color w:val="000000"/>
                <w:szCs w:val="21"/>
              </w:rPr>
              <w:t>1.50%</w:t>
            </w:r>
          </w:p>
        </w:tc>
        <w:tc>
          <w:tcPr>
            <w:tcW w:w="1134" w:type="dxa"/>
            <w:tcBorders>
              <w:top w:val="nil"/>
              <w:left w:val="nil"/>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color w:val="000000"/>
                <w:szCs w:val="21"/>
              </w:rPr>
            </w:pPr>
            <w:r w:rsidRPr="004E0EDF">
              <w:rPr>
                <w:rFonts w:ascii="宋体" w:eastAsia="宋体" w:hAnsi="宋体"/>
                <w:szCs w:val="21"/>
              </w:rPr>
              <w:t>0.25%</w:t>
            </w:r>
          </w:p>
        </w:tc>
        <w:tc>
          <w:tcPr>
            <w:tcW w:w="1134" w:type="dxa"/>
            <w:tcBorders>
              <w:top w:val="nil"/>
              <w:left w:val="nil"/>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color w:val="000000"/>
                <w:szCs w:val="21"/>
              </w:rPr>
            </w:pPr>
            <w:r w:rsidRPr="004E0EDF">
              <w:rPr>
                <w:rFonts w:ascii="宋体" w:eastAsia="宋体" w:hAnsi="宋体"/>
                <w:szCs w:val="21"/>
              </w:rPr>
              <w:t>1.20%</w:t>
            </w:r>
          </w:p>
        </w:tc>
        <w:tc>
          <w:tcPr>
            <w:tcW w:w="1134" w:type="dxa"/>
            <w:tcBorders>
              <w:top w:val="nil"/>
              <w:left w:val="nil"/>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color w:val="000000"/>
                <w:szCs w:val="21"/>
              </w:rPr>
            </w:pPr>
            <w:r w:rsidRPr="004E0EDF">
              <w:rPr>
                <w:rFonts w:ascii="宋体" w:eastAsia="宋体" w:hAnsi="宋体"/>
                <w:szCs w:val="21"/>
              </w:rPr>
              <w:t>0.20%</w:t>
            </w:r>
          </w:p>
        </w:tc>
      </w:tr>
      <w:bookmarkEnd w:id="1"/>
      <w:tr w:rsidR="003F1E30" w:rsidRPr="005B28D1" w:rsidTr="003F1E30">
        <w:trPr>
          <w:trHeight w:val="285"/>
        </w:trPr>
        <w:tc>
          <w:tcPr>
            <w:tcW w:w="4820" w:type="dxa"/>
            <w:tcBorders>
              <w:top w:val="nil"/>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color w:val="000000"/>
                <w:szCs w:val="21"/>
              </w:rPr>
            </w:pPr>
            <w:r w:rsidRPr="004E0EDF">
              <w:rPr>
                <w:rFonts w:ascii="宋体" w:eastAsia="宋体" w:hAnsi="宋体" w:hint="eastAsia"/>
                <w:color w:val="000000"/>
                <w:szCs w:val="21"/>
              </w:rPr>
              <w:t>宏利新能源股票型证券投资基金</w:t>
            </w:r>
          </w:p>
        </w:tc>
        <w:tc>
          <w:tcPr>
            <w:tcW w:w="1134" w:type="dxa"/>
            <w:tcBorders>
              <w:top w:val="nil"/>
              <w:left w:val="nil"/>
              <w:bottom w:val="single" w:sz="4" w:space="0" w:color="auto"/>
              <w:right w:val="single" w:sz="4" w:space="0" w:color="auto"/>
            </w:tcBorders>
            <w:shd w:val="clear" w:color="auto" w:fill="auto"/>
            <w:noWrap/>
            <w:vAlign w:val="center"/>
          </w:tcPr>
          <w:p w:rsidR="003F1E30" w:rsidRPr="004E0EDF" w:rsidRDefault="003F1E30" w:rsidP="003F1E30">
            <w:pPr>
              <w:widowControl/>
              <w:jc w:val="center"/>
              <w:rPr>
                <w:rFonts w:ascii="宋体" w:eastAsia="宋体" w:hAnsi="宋体"/>
                <w:color w:val="000000"/>
                <w:szCs w:val="21"/>
              </w:rPr>
            </w:pPr>
            <w:r w:rsidRPr="004E0EDF">
              <w:rPr>
                <w:rFonts w:ascii="宋体" w:eastAsia="宋体" w:hAnsi="宋体"/>
                <w:color w:val="000000"/>
                <w:szCs w:val="21"/>
              </w:rPr>
              <w:t>1.50%</w:t>
            </w:r>
          </w:p>
        </w:tc>
        <w:tc>
          <w:tcPr>
            <w:tcW w:w="1134" w:type="dxa"/>
            <w:tcBorders>
              <w:top w:val="nil"/>
              <w:left w:val="nil"/>
              <w:bottom w:val="single" w:sz="4" w:space="0" w:color="auto"/>
              <w:right w:val="single" w:sz="4" w:space="0" w:color="auto"/>
            </w:tcBorders>
            <w:shd w:val="clear" w:color="auto" w:fill="auto"/>
            <w:noWrap/>
          </w:tcPr>
          <w:p w:rsidR="003F1E30" w:rsidRPr="004E0EDF" w:rsidRDefault="003F1E30" w:rsidP="003F1E30">
            <w:pPr>
              <w:widowControl/>
              <w:spacing w:line="360" w:lineRule="auto"/>
              <w:jc w:val="center"/>
              <w:rPr>
                <w:rFonts w:ascii="宋体" w:eastAsia="宋体" w:hAnsi="宋体"/>
                <w:color w:val="000000"/>
                <w:szCs w:val="21"/>
              </w:rPr>
            </w:pPr>
            <w:r w:rsidRPr="004E0EDF">
              <w:rPr>
                <w:rFonts w:ascii="宋体" w:eastAsia="宋体" w:hAnsi="宋体"/>
                <w:color w:val="000000"/>
                <w:szCs w:val="21"/>
              </w:rPr>
              <w:t>0.25%</w:t>
            </w:r>
          </w:p>
        </w:tc>
        <w:tc>
          <w:tcPr>
            <w:tcW w:w="1134" w:type="dxa"/>
            <w:tcBorders>
              <w:top w:val="nil"/>
              <w:left w:val="nil"/>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color w:val="000000"/>
                <w:szCs w:val="21"/>
              </w:rPr>
            </w:pPr>
            <w:r w:rsidRPr="004E0EDF">
              <w:rPr>
                <w:rFonts w:ascii="宋体" w:eastAsia="宋体" w:hAnsi="宋体"/>
                <w:color w:val="000000"/>
                <w:szCs w:val="21"/>
              </w:rPr>
              <w:t>1.20%</w:t>
            </w:r>
          </w:p>
        </w:tc>
        <w:tc>
          <w:tcPr>
            <w:tcW w:w="1134" w:type="dxa"/>
            <w:tcBorders>
              <w:top w:val="nil"/>
              <w:left w:val="nil"/>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color w:val="000000"/>
                <w:szCs w:val="21"/>
              </w:rPr>
            </w:pPr>
            <w:r w:rsidRPr="004E0EDF">
              <w:rPr>
                <w:rFonts w:ascii="宋体" w:eastAsia="宋体" w:hAnsi="宋体"/>
                <w:color w:val="000000"/>
                <w:szCs w:val="21"/>
              </w:rPr>
              <w:t>0.20%</w:t>
            </w:r>
          </w:p>
        </w:tc>
      </w:tr>
      <w:tr w:rsidR="003F1E30" w:rsidRPr="005B28D1" w:rsidTr="003F1E30">
        <w:trPr>
          <w:trHeight w:val="285"/>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hint="eastAsia"/>
                <w:color w:val="000000"/>
                <w:szCs w:val="21"/>
              </w:rPr>
              <w:t>宏利品质生活灵活配置混合型证券投资基金</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E30" w:rsidRPr="004E0EDF" w:rsidRDefault="003F1E30" w:rsidP="003F1E30">
            <w:pPr>
              <w:widowControl/>
              <w:jc w:val="center"/>
              <w:rPr>
                <w:rFonts w:ascii="宋体" w:eastAsia="宋体" w:hAnsi="宋体" w:cs="宋体"/>
                <w:color w:val="000000"/>
                <w:kern w:val="0"/>
                <w:szCs w:val="21"/>
              </w:rPr>
            </w:pPr>
            <w:r w:rsidRPr="004E0EDF">
              <w:rPr>
                <w:rFonts w:ascii="宋体" w:eastAsia="宋体" w:hAnsi="宋体"/>
                <w:szCs w:val="21"/>
              </w:rPr>
              <w:t>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szCs w:val="21"/>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szCs w:val="21"/>
              </w:rPr>
              <w:t>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szCs w:val="21"/>
              </w:rPr>
              <w:t>0.20%</w:t>
            </w:r>
          </w:p>
        </w:tc>
      </w:tr>
      <w:tr w:rsidR="003F1E30" w:rsidRPr="005B28D1" w:rsidTr="003F1E30">
        <w:trPr>
          <w:trHeight w:val="285"/>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hint="eastAsia"/>
                <w:color w:val="000000"/>
                <w:szCs w:val="21"/>
              </w:rPr>
              <w:t>宏利风险预算混合型证券投资基金</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jc w:val="center"/>
              <w:rPr>
                <w:rFonts w:ascii="宋体" w:eastAsia="宋体" w:hAnsi="宋体" w:cs="宋体"/>
                <w:color w:val="000000"/>
                <w:kern w:val="0"/>
                <w:szCs w:val="21"/>
              </w:rPr>
            </w:pPr>
            <w:r w:rsidRPr="004E0EDF">
              <w:rPr>
                <w:rFonts w:ascii="宋体" w:eastAsia="宋体" w:hAnsi="宋体"/>
                <w:szCs w:val="21"/>
              </w:rPr>
              <w:t>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szCs w:val="21"/>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szCs w:val="21"/>
              </w:rPr>
              <w:t>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szCs w:val="21"/>
              </w:rPr>
              <w:t>0.20%</w:t>
            </w:r>
          </w:p>
        </w:tc>
      </w:tr>
      <w:tr w:rsidR="003F1E30" w:rsidRPr="005B28D1" w:rsidTr="003F1E30">
        <w:trPr>
          <w:trHeight w:val="285"/>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hint="eastAsia"/>
                <w:color w:val="000000"/>
                <w:szCs w:val="21"/>
              </w:rPr>
              <w:t>宏利新起点灵活配置混合型证券投资基金</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jc w:val="center"/>
              <w:rPr>
                <w:rFonts w:ascii="宋体" w:eastAsia="宋体" w:hAnsi="宋体" w:cs="宋体"/>
                <w:color w:val="000000"/>
                <w:kern w:val="0"/>
                <w:szCs w:val="21"/>
              </w:rPr>
            </w:pPr>
            <w:r w:rsidRPr="004E0EDF">
              <w:rPr>
                <w:rFonts w:ascii="宋体" w:eastAsia="宋体" w:hAnsi="宋体"/>
                <w:szCs w:val="21"/>
              </w:rPr>
              <w:t>0.60%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szCs w:val="21"/>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szCs w:val="21"/>
              </w:rPr>
              <w:t>0.60%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szCs w:val="21"/>
              </w:rPr>
              <w:t>0.20%</w:t>
            </w:r>
          </w:p>
        </w:tc>
      </w:tr>
      <w:tr w:rsidR="003F1E30" w:rsidRPr="005B28D1" w:rsidTr="003F1E30">
        <w:trPr>
          <w:trHeight w:val="285"/>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hint="eastAsia"/>
                <w:color w:val="000000"/>
                <w:szCs w:val="21"/>
              </w:rPr>
              <w:t>宏利宏达混合型证券投资基金</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jc w:val="center"/>
              <w:rPr>
                <w:rFonts w:ascii="宋体" w:eastAsia="宋体" w:hAnsi="宋体" w:cs="宋体"/>
                <w:color w:val="000000"/>
                <w:kern w:val="0"/>
                <w:szCs w:val="21"/>
              </w:rPr>
            </w:pPr>
            <w:r w:rsidRPr="004E0EDF">
              <w:rPr>
                <w:rFonts w:ascii="宋体" w:eastAsia="宋体" w:hAnsi="宋体"/>
                <w:szCs w:val="21"/>
              </w:rPr>
              <w:t>0.60%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szCs w:val="21"/>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szCs w:val="21"/>
              </w:rPr>
              <w:t>0.60%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E30" w:rsidRPr="004E0EDF" w:rsidRDefault="003F1E30" w:rsidP="003F1E30">
            <w:pPr>
              <w:widowControl/>
              <w:spacing w:line="360" w:lineRule="auto"/>
              <w:jc w:val="center"/>
              <w:rPr>
                <w:rFonts w:ascii="宋体" w:eastAsia="宋体" w:hAnsi="宋体"/>
                <w:szCs w:val="21"/>
              </w:rPr>
            </w:pPr>
            <w:r w:rsidRPr="004E0EDF">
              <w:rPr>
                <w:rFonts w:ascii="宋体" w:eastAsia="宋体" w:hAnsi="宋体"/>
                <w:szCs w:val="21"/>
              </w:rPr>
              <w:t>0.20%</w:t>
            </w:r>
          </w:p>
        </w:tc>
      </w:tr>
    </w:tbl>
    <w:p w:rsidR="00D53073" w:rsidRPr="004B1FE9" w:rsidRDefault="00D53073" w:rsidP="00971FD4">
      <w:pPr>
        <w:widowControl/>
        <w:spacing w:line="360" w:lineRule="auto"/>
        <w:ind w:firstLineChars="200" w:firstLine="480"/>
        <w:rPr>
          <w:rFonts w:ascii="宋体" w:eastAsia="宋体" w:hAnsi="宋体" w:cs="Times New Roman"/>
          <w:bCs/>
          <w:sz w:val="24"/>
          <w:szCs w:val="24"/>
        </w:rPr>
      </w:pPr>
    </w:p>
    <w:sectPr w:rsidR="00D53073" w:rsidRPr="004B1FE9" w:rsidSect="00DD6C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927" w:rsidRDefault="000F1927" w:rsidP="00C9293B">
      <w:r>
        <w:separator/>
      </w:r>
    </w:p>
  </w:endnote>
  <w:endnote w:type="continuationSeparator" w:id="0">
    <w:p w:rsidR="000F1927" w:rsidRDefault="000F1927" w:rsidP="00C9293B">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927" w:rsidRDefault="000F1927" w:rsidP="00C9293B">
      <w:r>
        <w:separator/>
      </w:r>
    </w:p>
  </w:footnote>
  <w:footnote w:type="continuationSeparator" w:id="0">
    <w:p w:rsidR="000F1927" w:rsidRDefault="000F1927" w:rsidP="00C929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00C4"/>
    <w:rsid w:val="00007222"/>
    <w:rsid w:val="00063A6D"/>
    <w:rsid w:val="000B2BAC"/>
    <w:rsid w:val="000E6126"/>
    <w:rsid w:val="000F1927"/>
    <w:rsid w:val="00104445"/>
    <w:rsid w:val="00116CD2"/>
    <w:rsid w:val="0015028F"/>
    <w:rsid w:val="00152566"/>
    <w:rsid w:val="0018110C"/>
    <w:rsid w:val="00196F00"/>
    <w:rsid w:val="001B6ABE"/>
    <w:rsid w:val="00282022"/>
    <w:rsid w:val="002B4D09"/>
    <w:rsid w:val="002D3E6F"/>
    <w:rsid w:val="002F39C7"/>
    <w:rsid w:val="002F414E"/>
    <w:rsid w:val="003F1E30"/>
    <w:rsid w:val="00400451"/>
    <w:rsid w:val="00410B40"/>
    <w:rsid w:val="00420F38"/>
    <w:rsid w:val="0043083C"/>
    <w:rsid w:val="004363F5"/>
    <w:rsid w:val="004B1FE9"/>
    <w:rsid w:val="004E0EDF"/>
    <w:rsid w:val="00537794"/>
    <w:rsid w:val="00593078"/>
    <w:rsid w:val="005C622F"/>
    <w:rsid w:val="005D2C2B"/>
    <w:rsid w:val="005E6357"/>
    <w:rsid w:val="006A1563"/>
    <w:rsid w:val="006D337D"/>
    <w:rsid w:val="006E0EBF"/>
    <w:rsid w:val="00730CC2"/>
    <w:rsid w:val="007F4D4C"/>
    <w:rsid w:val="008069C4"/>
    <w:rsid w:val="00834004"/>
    <w:rsid w:val="008C663F"/>
    <w:rsid w:val="0090218D"/>
    <w:rsid w:val="00965D38"/>
    <w:rsid w:val="00971FD4"/>
    <w:rsid w:val="009E0C04"/>
    <w:rsid w:val="009E6C1E"/>
    <w:rsid w:val="00A24C4D"/>
    <w:rsid w:val="00A337FE"/>
    <w:rsid w:val="00A40618"/>
    <w:rsid w:val="00A944F9"/>
    <w:rsid w:val="00AD2DA5"/>
    <w:rsid w:val="00AD5630"/>
    <w:rsid w:val="00AD5EF4"/>
    <w:rsid w:val="00B14508"/>
    <w:rsid w:val="00B2072B"/>
    <w:rsid w:val="00B6466E"/>
    <w:rsid w:val="00B800C4"/>
    <w:rsid w:val="00B87940"/>
    <w:rsid w:val="00B95487"/>
    <w:rsid w:val="00BF4D5A"/>
    <w:rsid w:val="00C03AC9"/>
    <w:rsid w:val="00C85519"/>
    <w:rsid w:val="00C9293B"/>
    <w:rsid w:val="00CE56FE"/>
    <w:rsid w:val="00CF0D46"/>
    <w:rsid w:val="00D01411"/>
    <w:rsid w:val="00D36E8A"/>
    <w:rsid w:val="00D53073"/>
    <w:rsid w:val="00DB3ABC"/>
    <w:rsid w:val="00DD6C80"/>
    <w:rsid w:val="00E87393"/>
    <w:rsid w:val="00E94CE8"/>
    <w:rsid w:val="00EA3554"/>
    <w:rsid w:val="00EE0828"/>
    <w:rsid w:val="00F01B88"/>
    <w:rsid w:val="00FA20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30CC2"/>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C92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293B"/>
    <w:rPr>
      <w:sz w:val="18"/>
      <w:szCs w:val="18"/>
    </w:rPr>
  </w:style>
  <w:style w:type="paragraph" w:styleId="a4">
    <w:name w:val="footer"/>
    <w:basedOn w:val="a"/>
    <w:link w:val="Char0"/>
    <w:uiPriority w:val="99"/>
    <w:unhideWhenUsed/>
    <w:rsid w:val="00C9293B"/>
    <w:pPr>
      <w:tabs>
        <w:tab w:val="center" w:pos="4153"/>
        <w:tab w:val="right" w:pos="8306"/>
      </w:tabs>
      <w:snapToGrid w:val="0"/>
      <w:jc w:val="left"/>
    </w:pPr>
    <w:rPr>
      <w:sz w:val="18"/>
      <w:szCs w:val="18"/>
    </w:rPr>
  </w:style>
  <w:style w:type="character" w:customStyle="1" w:styleId="Char0">
    <w:name w:val="页脚 Char"/>
    <w:basedOn w:val="a0"/>
    <w:link w:val="a4"/>
    <w:uiPriority w:val="99"/>
    <w:rsid w:val="00C9293B"/>
    <w:rPr>
      <w:sz w:val="18"/>
      <w:szCs w:val="18"/>
    </w:rPr>
  </w:style>
  <w:style w:type="paragraph" w:styleId="a5">
    <w:name w:val="Balloon Text"/>
    <w:basedOn w:val="a"/>
    <w:link w:val="Char1"/>
    <w:uiPriority w:val="99"/>
    <w:semiHidden/>
    <w:unhideWhenUsed/>
    <w:rsid w:val="0090218D"/>
    <w:rPr>
      <w:sz w:val="18"/>
      <w:szCs w:val="18"/>
    </w:rPr>
  </w:style>
  <w:style w:type="character" w:customStyle="1" w:styleId="Char1">
    <w:name w:val="批注框文本 Char"/>
    <w:basedOn w:val="a0"/>
    <w:link w:val="a5"/>
    <w:uiPriority w:val="99"/>
    <w:semiHidden/>
    <w:rsid w:val="0090218D"/>
    <w:rPr>
      <w:sz w:val="18"/>
      <w:szCs w:val="18"/>
    </w:rPr>
  </w:style>
  <w:style w:type="character" w:styleId="a6">
    <w:name w:val="annotation reference"/>
    <w:basedOn w:val="a0"/>
    <w:uiPriority w:val="99"/>
    <w:semiHidden/>
    <w:unhideWhenUsed/>
    <w:rsid w:val="0090218D"/>
    <w:rPr>
      <w:sz w:val="21"/>
      <w:szCs w:val="21"/>
    </w:rPr>
  </w:style>
  <w:style w:type="paragraph" w:styleId="a7">
    <w:name w:val="annotation text"/>
    <w:basedOn w:val="a"/>
    <w:link w:val="Char2"/>
    <w:uiPriority w:val="99"/>
    <w:semiHidden/>
    <w:unhideWhenUsed/>
    <w:rsid w:val="0090218D"/>
    <w:pPr>
      <w:jc w:val="left"/>
    </w:pPr>
  </w:style>
  <w:style w:type="character" w:customStyle="1" w:styleId="Char2">
    <w:name w:val="批注文字 Char"/>
    <w:basedOn w:val="a0"/>
    <w:link w:val="a7"/>
    <w:uiPriority w:val="99"/>
    <w:semiHidden/>
    <w:rsid w:val="0090218D"/>
  </w:style>
  <w:style w:type="paragraph" w:styleId="a8">
    <w:name w:val="annotation subject"/>
    <w:basedOn w:val="a7"/>
    <w:next w:val="a7"/>
    <w:link w:val="Char3"/>
    <w:uiPriority w:val="99"/>
    <w:semiHidden/>
    <w:unhideWhenUsed/>
    <w:rsid w:val="0090218D"/>
    <w:rPr>
      <w:b/>
      <w:bCs/>
    </w:rPr>
  </w:style>
  <w:style w:type="character" w:customStyle="1" w:styleId="Char3">
    <w:name w:val="批注主题 Char"/>
    <w:basedOn w:val="Char2"/>
    <w:link w:val="a8"/>
    <w:uiPriority w:val="99"/>
    <w:semiHidden/>
    <w:rsid w:val="0090218D"/>
    <w:rPr>
      <w:b/>
      <w:bCs/>
    </w:rPr>
  </w:style>
  <w:style w:type="paragraph" w:styleId="a9">
    <w:name w:val="Revision"/>
    <w:hidden/>
    <w:uiPriority w:val="99"/>
    <w:semiHidden/>
    <w:rsid w:val="009E0C04"/>
  </w:style>
</w:styles>
</file>

<file path=word/webSettings.xml><?xml version="1.0" encoding="utf-8"?>
<w:webSettings xmlns:r="http://schemas.openxmlformats.org/officeDocument/2006/relationships" xmlns:w="http://schemas.openxmlformats.org/wordprocessingml/2006/main">
  <w:divs>
    <w:div w:id="555287961">
      <w:bodyDiv w:val="1"/>
      <w:marLeft w:val="0"/>
      <w:marRight w:val="0"/>
      <w:marTop w:val="0"/>
      <w:marBottom w:val="0"/>
      <w:divBdr>
        <w:top w:val="none" w:sz="0" w:space="0" w:color="auto"/>
        <w:left w:val="none" w:sz="0" w:space="0" w:color="auto"/>
        <w:bottom w:val="none" w:sz="0" w:space="0" w:color="auto"/>
        <w:right w:val="none" w:sz="0" w:space="0" w:color="auto"/>
      </w:divBdr>
    </w:div>
    <w:div w:id="136559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4</DocSecurity>
  <Lines>9</Lines>
  <Paragraphs>2</Paragraphs>
  <ScaleCrop>false</ScaleCrop>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张诺</dc:creator>
  <cp:keywords/>
  <dc:description/>
  <cp:lastModifiedBy>ZHONGM</cp:lastModifiedBy>
  <cp:revision>2</cp:revision>
  <dcterms:created xsi:type="dcterms:W3CDTF">2023-09-26T16:02:00Z</dcterms:created>
  <dcterms:modified xsi:type="dcterms:W3CDTF">2023-09-26T16:02:00Z</dcterms:modified>
</cp:coreProperties>
</file>