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000000" w:rsidRDefault="00014E72">
      <w:pPr>
        <w:pStyle w:val="XBRL2"/>
        <w:spacing w:before="156"/>
        <w:rPr>
          <w:rFonts w:eastAsia="Cambria" w:cs="Cambria"/>
          <w:lang w:val="en-US" w:eastAsia="zh-CN"/>
        </w:rPr>
      </w:pPr>
      <w:bookmarkStart w:id="0" w:name="_Toc510201001"/>
      <w:bookmarkEnd w:id="0"/>
      <w:r>
        <w:rPr>
          <w:rFonts w:eastAsia="Cambria" w:cs="Cambria"/>
          <w:lang w:val="en-US" w:eastAsia="zh-CN"/>
        </w:rPr>
        <w:t xml:space="preserve">　</w:t>
      </w:r>
      <w:r>
        <w:rPr>
          <w:rFonts w:eastAsia="Cambria" w:cs="Cambria"/>
          <w:lang w:val="en-US" w:eastAsia="zh-CN"/>
        </w:rPr>
        <w:t xml:space="preserve"> </w:t>
      </w:r>
    </w:p>
    <w:p w:rsidR="00000000" w:rsidRDefault="00014E72">
      <w:pPr>
        <w:jc w:val="center"/>
      </w:pPr>
      <w:r>
        <w:rPr>
          <w:b/>
          <w:sz w:val="48"/>
          <w:szCs w:val="48"/>
        </w:rPr>
        <w:t>东方红短债债券型证券投资基金暂停大额申购（含定期定额投资、转换转入）业务的公告</w:t>
      </w:r>
    </w:p>
    <w:p w:rsidR="00000000" w:rsidRDefault="00014E72">
      <w:pPr>
        <w:spacing w:line="560" w:lineRule="exact"/>
        <w:jc w:val="center"/>
        <w:rPr>
          <w:rFonts w:cs="宋体"/>
          <w:color w:val="000000"/>
          <w:kern w:val="0"/>
          <w:sz w:val="18"/>
        </w:rPr>
      </w:pPr>
      <w:r>
        <w:rPr>
          <w:rFonts w:cs="宋体"/>
          <w:color w:val="000000"/>
          <w:kern w:val="0"/>
          <w:sz w:val="18"/>
        </w:rPr>
        <w:t xml:space="preserve">　</w:t>
      </w:r>
      <w:r>
        <w:rPr>
          <w:rFonts w:cs="宋体"/>
          <w:color w:val="000000"/>
          <w:kern w:val="0"/>
          <w:sz w:val="18"/>
        </w:rPr>
        <w:t xml:space="preserve"> </w:t>
      </w:r>
    </w:p>
    <w:p w:rsidR="00000000" w:rsidRDefault="00014E72">
      <w:pPr>
        <w:spacing w:line="560" w:lineRule="exact"/>
        <w:jc w:val="center"/>
        <w:rPr>
          <w:rFonts w:cs="宋体"/>
          <w:color w:val="000000"/>
          <w:kern w:val="0"/>
          <w:sz w:val="18"/>
        </w:rPr>
      </w:pPr>
      <w:r>
        <w:rPr>
          <w:rFonts w:cs="宋体"/>
          <w:color w:val="000000"/>
          <w:kern w:val="0"/>
          <w:sz w:val="18"/>
        </w:rPr>
        <w:t xml:space="preserve">　</w:t>
      </w:r>
      <w:r>
        <w:rPr>
          <w:rFonts w:cs="宋体"/>
          <w:color w:val="000000"/>
          <w:kern w:val="0"/>
          <w:sz w:val="18"/>
        </w:rPr>
        <w:t xml:space="preserve"> </w:t>
      </w:r>
    </w:p>
    <w:p w:rsidR="00000000" w:rsidRDefault="00014E72">
      <w:pPr>
        <w:spacing w:line="560" w:lineRule="exact"/>
        <w:jc w:val="center"/>
        <w:rPr>
          <w:rFonts w:cs="宋体"/>
          <w:color w:val="000000"/>
          <w:kern w:val="0"/>
          <w:sz w:val="18"/>
        </w:rPr>
      </w:pPr>
      <w:r>
        <w:rPr>
          <w:rFonts w:cs="宋体"/>
          <w:color w:val="000000"/>
          <w:kern w:val="0"/>
          <w:sz w:val="18"/>
        </w:rPr>
        <w:t xml:space="preserve">　</w:t>
      </w:r>
      <w:r>
        <w:rPr>
          <w:rFonts w:cs="宋体"/>
          <w:color w:val="000000"/>
          <w:kern w:val="0"/>
          <w:sz w:val="18"/>
        </w:rPr>
        <w:t xml:space="preserve"> </w:t>
      </w:r>
    </w:p>
    <w:p w:rsidR="00000000" w:rsidRDefault="00014E72">
      <w:pPr>
        <w:spacing w:line="560" w:lineRule="exact"/>
        <w:jc w:val="center"/>
        <w:rPr>
          <w:rFonts w:cs="宋体"/>
          <w:color w:val="000000"/>
          <w:kern w:val="0"/>
          <w:sz w:val="18"/>
        </w:rPr>
      </w:pPr>
      <w:r>
        <w:rPr>
          <w:rFonts w:cs="宋体"/>
          <w:color w:val="000000"/>
          <w:kern w:val="0"/>
          <w:sz w:val="18"/>
        </w:rPr>
        <w:t xml:space="preserve">　</w:t>
      </w:r>
      <w:r>
        <w:rPr>
          <w:rFonts w:cs="宋体"/>
          <w:color w:val="000000"/>
          <w:kern w:val="0"/>
          <w:sz w:val="18"/>
        </w:rPr>
        <w:t xml:space="preserve"> </w:t>
      </w:r>
    </w:p>
    <w:p w:rsidR="00000000" w:rsidRDefault="00014E72">
      <w:pPr>
        <w:spacing w:line="560" w:lineRule="exact"/>
        <w:jc w:val="center"/>
        <w:rPr>
          <w:rFonts w:cs="宋体"/>
          <w:color w:val="000000"/>
          <w:kern w:val="0"/>
          <w:sz w:val="18"/>
        </w:rPr>
      </w:pPr>
      <w:r>
        <w:rPr>
          <w:rFonts w:cs="宋体"/>
          <w:color w:val="000000"/>
          <w:kern w:val="0"/>
          <w:sz w:val="18"/>
        </w:rPr>
        <w:t xml:space="preserve">　</w:t>
      </w:r>
      <w:r>
        <w:rPr>
          <w:rFonts w:cs="宋体"/>
          <w:color w:val="000000"/>
          <w:kern w:val="0"/>
          <w:sz w:val="18"/>
        </w:rPr>
        <w:t xml:space="preserve"> </w:t>
      </w:r>
    </w:p>
    <w:p w:rsidR="00000000" w:rsidRDefault="00014E72">
      <w:pPr>
        <w:spacing w:line="560" w:lineRule="exact"/>
        <w:jc w:val="center"/>
        <w:rPr>
          <w:rFonts w:cs="宋体"/>
          <w:color w:val="000000"/>
          <w:kern w:val="0"/>
          <w:sz w:val="18"/>
        </w:rPr>
      </w:pPr>
      <w:r>
        <w:rPr>
          <w:rFonts w:cs="宋体"/>
          <w:color w:val="000000"/>
          <w:kern w:val="0"/>
          <w:sz w:val="18"/>
        </w:rPr>
        <w:t xml:space="preserve">　</w:t>
      </w:r>
      <w:r>
        <w:rPr>
          <w:rFonts w:cs="宋体"/>
          <w:color w:val="000000"/>
          <w:kern w:val="0"/>
          <w:sz w:val="18"/>
        </w:rPr>
        <w:t xml:space="preserve"> </w:t>
      </w:r>
    </w:p>
    <w:p w:rsidR="00000000" w:rsidRDefault="00014E72">
      <w:pPr>
        <w:spacing w:line="560" w:lineRule="exact"/>
        <w:jc w:val="center"/>
        <w:rPr>
          <w:rFonts w:cs="宋体"/>
          <w:color w:val="000000"/>
          <w:kern w:val="0"/>
          <w:sz w:val="18"/>
        </w:rPr>
      </w:pPr>
      <w:r>
        <w:rPr>
          <w:rFonts w:cs="宋体"/>
          <w:color w:val="000000"/>
          <w:kern w:val="0"/>
          <w:sz w:val="18"/>
        </w:rPr>
        <w:t xml:space="preserve">　</w:t>
      </w:r>
      <w:r>
        <w:rPr>
          <w:rFonts w:cs="宋体"/>
          <w:color w:val="000000"/>
          <w:kern w:val="0"/>
          <w:sz w:val="18"/>
        </w:rPr>
        <w:t xml:space="preserve"> </w:t>
      </w:r>
    </w:p>
    <w:p w:rsidR="00000000" w:rsidRDefault="00014E72">
      <w:pPr>
        <w:spacing w:line="560" w:lineRule="exact"/>
        <w:jc w:val="center"/>
        <w:rPr>
          <w:rFonts w:cs="宋体"/>
          <w:color w:val="000000"/>
          <w:kern w:val="0"/>
          <w:sz w:val="18"/>
        </w:rPr>
      </w:pPr>
      <w:r>
        <w:rPr>
          <w:rFonts w:cs="宋体"/>
          <w:color w:val="000000"/>
          <w:kern w:val="0"/>
          <w:sz w:val="18"/>
        </w:rPr>
        <w:t xml:space="preserve">　</w:t>
      </w:r>
      <w:r>
        <w:rPr>
          <w:rFonts w:cs="宋体"/>
          <w:color w:val="000000"/>
          <w:kern w:val="0"/>
          <w:sz w:val="18"/>
        </w:rPr>
        <w:t xml:space="preserve"> </w:t>
      </w:r>
    </w:p>
    <w:p w:rsidR="00000000" w:rsidRDefault="00014E72">
      <w:pPr>
        <w:spacing w:line="560" w:lineRule="exact"/>
        <w:jc w:val="center"/>
        <w:rPr>
          <w:rFonts w:cs="宋体"/>
          <w:color w:val="000000"/>
          <w:kern w:val="0"/>
          <w:sz w:val="18"/>
        </w:rPr>
      </w:pPr>
      <w:r>
        <w:rPr>
          <w:rFonts w:cs="宋体"/>
          <w:color w:val="000000"/>
          <w:kern w:val="0"/>
          <w:sz w:val="18"/>
        </w:rPr>
        <w:t xml:space="preserve">　</w:t>
      </w:r>
      <w:r>
        <w:rPr>
          <w:rFonts w:cs="宋体"/>
          <w:color w:val="000000"/>
          <w:kern w:val="0"/>
          <w:sz w:val="18"/>
        </w:rPr>
        <w:t xml:space="preserve"> </w:t>
      </w:r>
    </w:p>
    <w:p w:rsidR="00000000" w:rsidRDefault="00014E72">
      <w:pPr>
        <w:spacing w:line="560" w:lineRule="exact"/>
        <w:jc w:val="center"/>
        <w:rPr>
          <w:rFonts w:cs="宋体"/>
          <w:color w:val="000000"/>
          <w:kern w:val="0"/>
          <w:sz w:val="18"/>
        </w:rPr>
      </w:pPr>
      <w:r>
        <w:rPr>
          <w:rFonts w:cs="宋体"/>
          <w:color w:val="000000"/>
          <w:kern w:val="0"/>
          <w:sz w:val="18"/>
        </w:rPr>
        <w:t xml:space="preserve">　</w:t>
      </w:r>
      <w:r>
        <w:rPr>
          <w:rFonts w:cs="宋体"/>
          <w:color w:val="000000"/>
          <w:kern w:val="0"/>
          <w:sz w:val="18"/>
        </w:rPr>
        <w:t xml:space="preserve"> </w:t>
      </w:r>
    </w:p>
    <w:p w:rsidR="00000000" w:rsidRDefault="00014E72">
      <w:pPr>
        <w:spacing w:line="560" w:lineRule="exact"/>
        <w:jc w:val="center"/>
        <w:rPr>
          <w:rFonts w:cs="宋体"/>
          <w:color w:val="000000"/>
          <w:kern w:val="0"/>
          <w:sz w:val="18"/>
        </w:rPr>
      </w:pPr>
      <w:r>
        <w:rPr>
          <w:rFonts w:cs="宋体"/>
          <w:color w:val="000000"/>
          <w:kern w:val="0"/>
          <w:sz w:val="18"/>
        </w:rPr>
        <w:t xml:space="preserve">　</w:t>
      </w:r>
      <w:r>
        <w:rPr>
          <w:rFonts w:cs="宋体"/>
          <w:color w:val="000000"/>
          <w:kern w:val="0"/>
          <w:sz w:val="18"/>
        </w:rPr>
        <w:t xml:space="preserve"> </w:t>
      </w:r>
    </w:p>
    <w:p w:rsidR="00000000" w:rsidRDefault="00014E72">
      <w:pPr>
        <w:spacing w:line="560" w:lineRule="exact"/>
        <w:jc w:val="center"/>
        <w:rPr>
          <w:rFonts w:cs="宋体"/>
          <w:color w:val="000000"/>
          <w:kern w:val="0"/>
          <w:sz w:val="18"/>
        </w:rPr>
      </w:pPr>
      <w:r>
        <w:rPr>
          <w:rFonts w:cs="宋体"/>
          <w:color w:val="000000"/>
          <w:kern w:val="0"/>
          <w:sz w:val="18"/>
        </w:rPr>
        <w:t xml:space="preserve">　</w:t>
      </w:r>
      <w:r>
        <w:rPr>
          <w:rFonts w:cs="宋体"/>
          <w:color w:val="000000"/>
          <w:kern w:val="0"/>
          <w:sz w:val="18"/>
        </w:rPr>
        <w:t xml:space="preserve"> </w:t>
      </w:r>
    </w:p>
    <w:p w:rsidR="00000000" w:rsidRDefault="00014E72">
      <w:pPr>
        <w:spacing w:line="560" w:lineRule="exact"/>
        <w:jc w:val="center"/>
        <w:rPr>
          <w:rFonts w:cs="宋体"/>
          <w:color w:val="000000"/>
          <w:kern w:val="0"/>
          <w:sz w:val="18"/>
        </w:rPr>
      </w:pPr>
      <w:r>
        <w:rPr>
          <w:rFonts w:cs="宋体"/>
          <w:color w:val="000000"/>
          <w:kern w:val="0"/>
          <w:sz w:val="18"/>
        </w:rPr>
        <w:t xml:space="preserve">　</w:t>
      </w:r>
      <w:r>
        <w:rPr>
          <w:rFonts w:cs="宋体"/>
          <w:color w:val="000000"/>
          <w:kern w:val="0"/>
          <w:sz w:val="18"/>
        </w:rPr>
        <w:t xml:space="preserve"> </w:t>
      </w:r>
    </w:p>
    <w:p w:rsidR="00000000" w:rsidRDefault="00014E72">
      <w:pPr>
        <w:spacing w:line="360" w:lineRule="auto"/>
        <w:jc w:val="center"/>
      </w:pPr>
      <w:r>
        <w:rPr>
          <w:rFonts w:cs="宋体"/>
          <w:b/>
          <w:bCs/>
          <w:sz w:val="24"/>
          <w:szCs w:val="30"/>
        </w:rPr>
        <w:t>公告送出日期：</w:t>
      </w:r>
      <w:r>
        <w:rPr>
          <w:rFonts w:cs="宋体"/>
          <w:b/>
          <w:bCs/>
          <w:sz w:val="24"/>
          <w:szCs w:val="30"/>
        </w:rPr>
        <w:t>2023</w:t>
      </w:r>
      <w:r>
        <w:rPr>
          <w:rFonts w:cs="宋体"/>
          <w:b/>
          <w:bCs/>
          <w:sz w:val="24"/>
          <w:szCs w:val="30"/>
        </w:rPr>
        <w:t>年</w:t>
      </w:r>
      <w:r>
        <w:rPr>
          <w:rFonts w:cs="宋体"/>
          <w:b/>
          <w:bCs/>
          <w:sz w:val="24"/>
          <w:szCs w:val="30"/>
        </w:rPr>
        <w:t>9</w:t>
      </w:r>
      <w:r>
        <w:rPr>
          <w:rFonts w:cs="宋体"/>
          <w:b/>
          <w:bCs/>
          <w:sz w:val="24"/>
          <w:szCs w:val="30"/>
        </w:rPr>
        <w:t>月</w:t>
      </w:r>
      <w:r>
        <w:rPr>
          <w:rFonts w:cs="宋体"/>
          <w:b/>
          <w:bCs/>
          <w:sz w:val="24"/>
          <w:szCs w:val="30"/>
        </w:rPr>
        <w:t>26</w:t>
      </w:r>
      <w:r>
        <w:rPr>
          <w:rFonts w:cs="宋体"/>
          <w:b/>
          <w:bCs/>
          <w:sz w:val="24"/>
          <w:szCs w:val="30"/>
        </w:rPr>
        <w:t>日</w:t>
      </w:r>
    </w:p>
    <w:p w:rsidR="00000000" w:rsidRDefault="00014E72">
      <w:pPr>
        <w:pStyle w:val="XBRLTitle1"/>
        <w:spacing w:before="156"/>
        <w:jc w:val="left"/>
      </w:pPr>
      <w:r>
        <w:rPr>
          <w:rFonts w:hAnsi="宋体" w:cs="宋体"/>
          <w:color w:val="404040"/>
          <w:sz w:val="21"/>
          <w:szCs w:val="20"/>
          <w:lang/>
        </w:rPr>
        <w:br w:type="page"/>
      </w:r>
      <w:bookmarkStart w:id="1" w:name="_Toc17897936"/>
      <w:bookmarkStart w:id="2" w:name="_Toc17898178"/>
      <w:bookmarkStart w:id="3" w:name="_Toc513295846"/>
      <w:bookmarkStart w:id="4" w:name="_Toc34322059"/>
      <w:bookmarkStart w:id="5" w:name="_Toc513295892"/>
      <w:bookmarkStart w:id="6" w:name="_Toc438646451"/>
      <w:bookmarkStart w:id="7" w:name="_Toc490050000"/>
      <w:bookmarkStart w:id="8" w:name="_Toc481075046"/>
      <w:bookmarkStart w:id="9" w:name="_Toc512519480"/>
      <w:bookmarkStart w:id="10" w:name="_Toc194311890"/>
      <w:bookmarkStart w:id="11" w:name="m01_01"/>
      <w:bookmarkStart w:id="12" w:name="m101"/>
      <w:r>
        <w:rPr>
          <w:szCs w:val="24"/>
          <w:lang w:val="en-US" w:eastAsia="zh-CN"/>
        </w:rPr>
        <w:lastRenderedPageBreak/>
        <w:t>公告基本信息</w:t>
      </w:r>
      <w:bookmarkEnd w:id="1"/>
      <w:bookmarkEnd w:id="2"/>
      <w:bookmarkEnd w:id="3"/>
      <w:bookmarkEnd w:id="4"/>
      <w:bookmarkEnd w:id="5"/>
      <w:bookmarkEnd w:id="6"/>
      <w:bookmarkEnd w:id="7"/>
      <w:bookmarkEnd w:id="8"/>
      <w:bookmarkEnd w:id="9"/>
      <w:r>
        <w:rPr>
          <w:szCs w:val="24"/>
          <w:lang w:val="en-US" w:eastAsia="zh-CN"/>
        </w:rPr>
        <w:t xml:space="preserve"> </w:t>
      </w:r>
      <w:bookmarkEnd w:id="10"/>
      <w:bookmarkEnd w:id="11"/>
      <w:bookmarkEnd w:id="12"/>
    </w:p>
    <w:tbl>
      <w:tblPr>
        <w:tblW w:w="8475" w:type="dxa"/>
        <w:tblInd w:w="-116" w:type="dxa"/>
        <w:tblBorders>
          <w:top w:val="single" w:sz="4" w:space="0" w:color="000000"/>
          <w:left w:val="single" w:sz="4" w:space="0" w:color="000000"/>
          <w:bottom w:val="single" w:sz="4" w:space="0" w:color="000000"/>
          <w:right w:val="single" w:sz="4" w:space="0" w:color="000000"/>
          <w:insideH w:val="outset" w:sz="6" w:space="0" w:color="auto"/>
          <w:insideV w:val="outset" w:sz="6" w:space="0" w:color="auto"/>
        </w:tblBorders>
        <w:tblLayout w:type="fixed"/>
        <w:tblCellMar>
          <w:left w:w="0" w:type="dxa"/>
          <w:right w:w="0" w:type="dxa"/>
        </w:tblCellMar>
        <w:tblLook w:val="0000"/>
      </w:tblPr>
      <w:tblGrid>
        <w:gridCol w:w="1046"/>
        <w:gridCol w:w="3315"/>
        <w:gridCol w:w="1276"/>
        <w:gridCol w:w="1417"/>
        <w:gridCol w:w="1421"/>
      </w:tblGrid>
      <w:tr w:rsidR="00000000">
        <w:tc>
          <w:tcPr>
            <w:tcW w:w="4361" w:type="dxa"/>
            <w:gridSpan w:val="2"/>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000000" w:rsidRDefault="00014E72">
            <w:pPr>
              <w:rPr>
                <w:lang/>
              </w:rPr>
            </w:pPr>
            <w:r>
              <w:rPr>
                <w:rFonts w:ascii="Calibri" w:hAnsi="Calibri"/>
                <w:lang/>
              </w:rPr>
              <w:t>基金名称</w:t>
            </w:r>
          </w:p>
        </w:tc>
        <w:tc>
          <w:tcPr>
            <w:tcW w:w="4114" w:type="dxa"/>
            <w:gridSpan w:val="3"/>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000000" w:rsidRDefault="00014E72">
            <w:pPr>
              <w:rPr>
                <w:lang/>
              </w:rPr>
            </w:pPr>
            <w:r>
              <w:rPr>
                <w:lang/>
              </w:rPr>
              <w:t>东方红短债债券型证券投资基金</w:t>
            </w:r>
          </w:p>
        </w:tc>
      </w:tr>
      <w:tr w:rsidR="00000000">
        <w:tc>
          <w:tcPr>
            <w:tcW w:w="4361" w:type="dxa"/>
            <w:gridSpan w:val="2"/>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000000" w:rsidRDefault="00014E72">
            <w:pPr>
              <w:rPr>
                <w:lang/>
              </w:rPr>
            </w:pPr>
            <w:r>
              <w:rPr>
                <w:lang/>
              </w:rPr>
              <w:t>基金简称</w:t>
            </w:r>
            <w:r>
              <w:rPr>
                <w:lang/>
              </w:rPr>
              <w:t xml:space="preserve"> </w:t>
            </w:r>
          </w:p>
        </w:tc>
        <w:tc>
          <w:tcPr>
            <w:tcW w:w="4114" w:type="dxa"/>
            <w:gridSpan w:val="3"/>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000000" w:rsidRDefault="00014E72">
            <w:pPr>
              <w:rPr>
                <w:lang/>
              </w:rPr>
            </w:pPr>
            <w:r>
              <w:rPr>
                <w:lang/>
              </w:rPr>
              <w:t>东方红短债债券</w:t>
            </w:r>
          </w:p>
        </w:tc>
      </w:tr>
      <w:tr w:rsidR="00000000">
        <w:tc>
          <w:tcPr>
            <w:tcW w:w="4361" w:type="dxa"/>
            <w:gridSpan w:val="2"/>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000000" w:rsidRDefault="00014E72">
            <w:pPr>
              <w:rPr>
                <w:lang/>
              </w:rPr>
            </w:pPr>
            <w:r>
              <w:rPr>
                <w:lang/>
              </w:rPr>
              <w:t>基金主代码</w:t>
            </w:r>
            <w:r>
              <w:rPr>
                <w:lang/>
              </w:rPr>
              <w:t xml:space="preserve"> </w:t>
            </w:r>
          </w:p>
        </w:tc>
        <w:tc>
          <w:tcPr>
            <w:tcW w:w="4114" w:type="dxa"/>
            <w:gridSpan w:val="3"/>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000000" w:rsidRDefault="00014E72">
            <w:pPr>
              <w:rPr>
                <w:lang/>
              </w:rPr>
            </w:pPr>
            <w:r>
              <w:rPr>
                <w:lang/>
              </w:rPr>
              <w:t>014910</w:t>
            </w:r>
          </w:p>
        </w:tc>
      </w:tr>
      <w:tr w:rsidR="00000000">
        <w:tc>
          <w:tcPr>
            <w:tcW w:w="4361" w:type="dxa"/>
            <w:gridSpan w:val="2"/>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000000" w:rsidRDefault="00014E72">
            <w:pPr>
              <w:rPr>
                <w:lang/>
              </w:rPr>
            </w:pPr>
            <w:r>
              <w:rPr>
                <w:rFonts w:ascii="Calibri" w:hAnsi="Calibri"/>
                <w:lang/>
              </w:rPr>
              <w:t>基金管理人名称</w:t>
            </w:r>
          </w:p>
        </w:tc>
        <w:tc>
          <w:tcPr>
            <w:tcW w:w="4114" w:type="dxa"/>
            <w:gridSpan w:val="3"/>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000000" w:rsidRDefault="00014E72">
            <w:pPr>
              <w:rPr>
                <w:lang/>
              </w:rPr>
            </w:pPr>
            <w:r>
              <w:rPr>
                <w:lang/>
              </w:rPr>
              <w:t>上海东方证券资产管理有限公司</w:t>
            </w:r>
          </w:p>
        </w:tc>
      </w:tr>
      <w:tr w:rsidR="00000000">
        <w:tc>
          <w:tcPr>
            <w:tcW w:w="4361" w:type="dxa"/>
            <w:gridSpan w:val="2"/>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000000" w:rsidRDefault="00014E72">
            <w:pPr>
              <w:rPr>
                <w:lang/>
              </w:rPr>
            </w:pPr>
            <w:r>
              <w:rPr>
                <w:rFonts w:ascii="Calibri" w:hAnsi="Calibri"/>
                <w:lang/>
              </w:rPr>
              <w:t>公告依据</w:t>
            </w:r>
          </w:p>
        </w:tc>
        <w:tc>
          <w:tcPr>
            <w:tcW w:w="4114" w:type="dxa"/>
            <w:gridSpan w:val="3"/>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000000" w:rsidRDefault="00014E72">
            <w:pPr>
              <w:rPr>
                <w:lang/>
              </w:rPr>
            </w:pPr>
            <w:r>
              <w:rPr>
                <w:lang/>
              </w:rPr>
              <w:t>《公开募集证券投资基金信息披露管理办法》《东方红短债债券型证券投资基金基金合同》《东方红短债债券型证券投资基金招募说明书》等</w:t>
            </w:r>
          </w:p>
        </w:tc>
      </w:tr>
      <w:tr w:rsidR="00000000">
        <w:tc>
          <w:tcPr>
            <w:tcW w:w="1046" w:type="dxa"/>
            <w:vMerge w:val="restart"/>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000000" w:rsidRDefault="00014E72">
            <w:pPr>
              <w:rPr>
                <w:lang/>
              </w:rPr>
            </w:pPr>
            <w:r>
              <w:rPr>
                <w:rFonts w:ascii="Calibri" w:hAnsi="Calibri"/>
                <w:lang/>
              </w:rPr>
              <w:t>暂停相</w:t>
            </w:r>
            <w:r>
              <w:rPr>
                <w:rFonts w:ascii="Calibri" w:hAnsi="Calibri"/>
                <w:lang/>
              </w:rPr>
              <w:t>关业务的起始日、金额及原因说明</w:t>
            </w:r>
          </w:p>
        </w:tc>
        <w:tc>
          <w:tcPr>
            <w:tcW w:w="3315"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000000" w:rsidRDefault="00014E72">
            <w:pPr>
              <w:rPr>
                <w:lang/>
              </w:rPr>
            </w:pPr>
            <w:r>
              <w:rPr>
                <w:rFonts w:ascii="Calibri" w:hAnsi="Calibri"/>
                <w:lang/>
              </w:rPr>
              <w:t>暂停大额申购起始日</w:t>
            </w:r>
          </w:p>
        </w:tc>
        <w:tc>
          <w:tcPr>
            <w:tcW w:w="4114" w:type="dxa"/>
            <w:gridSpan w:val="3"/>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000000" w:rsidRDefault="00014E72">
            <w:pPr>
              <w:rPr>
                <w:lang/>
              </w:rPr>
            </w:pPr>
            <w:r>
              <w:rPr>
                <w:lang/>
              </w:rPr>
              <w:t>2023</w:t>
            </w:r>
            <w:r>
              <w:rPr>
                <w:lang/>
              </w:rPr>
              <w:t>年</w:t>
            </w:r>
            <w:r>
              <w:rPr>
                <w:lang/>
              </w:rPr>
              <w:t>9</w:t>
            </w:r>
            <w:r>
              <w:rPr>
                <w:lang/>
              </w:rPr>
              <w:t>月</w:t>
            </w:r>
            <w:r>
              <w:rPr>
                <w:lang/>
              </w:rPr>
              <w:t>27</w:t>
            </w:r>
            <w:r>
              <w:rPr>
                <w:lang/>
              </w:rPr>
              <w:t>日</w:t>
            </w:r>
          </w:p>
        </w:tc>
      </w:tr>
      <w:tr w:rsidR="00000000">
        <w:tc>
          <w:tcPr>
            <w:tcW w:w="1046" w:type="dxa"/>
            <w:vMerge/>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000000" w:rsidRDefault="00014E72">
            <w:pPr>
              <w:rPr>
                <w:sz w:val="20"/>
                <w:lang/>
              </w:rPr>
            </w:pPr>
          </w:p>
        </w:tc>
        <w:tc>
          <w:tcPr>
            <w:tcW w:w="3315"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000000" w:rsidRDefault="00014E72">
            <w:pPr>
              <w:rPr>
                <w:lang/>
              </w:rPr>
            </w:pPr>
            <w:r>
              <w:rPr>
                <w:rFonts w:ascii="Calibri" w:hAnsi="Calibri"/>
                <w:lang/>
              </w:rPr>
              <w:t>暂停大额转换转入起始日</w:t>
            </w:r>
          </w:p>
        </w:tc>
        <w:tc>
          <w:tcPr>
            <w:tcW w:w="4114" w:type="dxa"/>
            <w:gridSpan w:val="3"/>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000000" w:rsidRDefault="00014E72">
            <w:pPr>
              <w:rPr>
                <w:lang/>
              </w:rPr>
            </w:pPr>
            <w:r>
              <w:rPr>
                <w:lang/>
              </w:rPr>
              <w:t>2023</w:t>
            </w:r>
            <w:r>
              <w:rPr>
                <w:lang/>
              </w:rPr>
              <w:t>年</w:t>
            </w:r>
            <w:r>
              <w:rPr>
                <w:lang/>
              </w:rPr>
              <w:t>9</w:t>
            </w:r>
            <w:r>
              <w:rPr>
                <w:lang/>
              </w:rPr>
              <w:t>月</w:t>
            </w:r>
            <w:r>
              <w:rPr>
                <w:lang/>
              </w:rPr>
              <w:t>27</w:t>
            </w:r>
            <w:r>
              <w:rPr>
                <w:lang/>
              </w:rPr>
              <w:t>日</w:t>
            </w:r>
          </w:p>
        </w:tc>
      </w:tr>
      <w:tr w:rsidR="00000000">
        <w:tc>
          <w:tcPr>
            <w:tcW w:w="1046" w:type="dxa"/>
            <w:vMerge/>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000000" w:rsidRDefault="00014E72">
            <w:pPr>
              <w:rPr>
                <w:sz w:val="20"/>
                <w:lang/>
              </w:rPr>
            </w:pPr>
          </w:p>
        </w:tc>
        <w:tc>
          <w:tcPr>
            <w:tcW w:w="3315"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000000" w:rsidRDefault="00014E72">
            <w:pPr>
              <w:rPr>
                <w:lang/>
              </w:rPr>
            </w:pPr>
            <w:r>
              <w:rPr>
                <w:rFonts w:ascii="Calibri" w:hAnsi="Calibri"/>
                <w:lang/>
              </w:rPr>
              <w:t>暂停大额定期定额投资起始日</w:t>
            </w:r>
          </w:p>
        </w:tc>
        <w:tc>
          <w:tcPr>
            <w:tcW w:w="4114" w:type="dxa"/>
            <w:gridSpan w:val="3"/>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000000" w:rsidRDefault="00014E72">
            <w:pPr>
              <w:rPr>
                <w:lang/>
              </w:rPr>
            </w:pPr>
            <w:r>
              <w:rPr>
                <w:lang/>
              </w:rPr>
              <w:t>2023</w:t>
            </w:r>
            <w:r>
              <w:rPr>
                <w:lang/>
              </w:rPr>
              <w:t>年</w:t>
            </w:r>
            <w:r>
              <w:rPr>
                <w:lang/>
              </w:rPr>
              <w:t>9</w:t>
            </w:r>
            <w:r>
              <w:rPr>
                <w:lang/>
              </w:rPr>
              <w:t>月</w:t>
            </w:r>
            <w:r>
              <w:rPr>
                <w:lang/>
              </w:rPr>
              <w:t>27</w:t>
            </w:r>
            <w:r>
              <w:rPr>
                <w:lang/>
              </w:rPr>
              <w:t>日</w:t>
            </w:r>
          </w:p>
        </w:tc>
      </w:tr>
      <w:tr w:rsidR="00000000">
        <w:tc>
          <w:tcPr>
            <w:tcW w:w="1046" w:type="dxa"/>
            <w:vMerge/>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000000" w:rsidRDefault="00014E72">
            <w:pPr>
              <w:rPr>
                <w:sz w:val="20"/>
                <w:lang/>
              </w:rPr>
            </w:pPr>
          </w:p>
        </w:tc>
        <w:tc>
          <w:tcPr>
            <w:tcW w:w="3315"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000000" w:rsidRDefault="00014E72">
            <w:pPr>
              <w:rPr>
                <w:lang/>
              </w:rPr>
            </w:pPr>
            <w:r>
              <w:rPr>
                <w:rFonts w:ascii="Calibri" w:hAnsi="Calibri"/>
                <w:lang/>
              </w:rPr>
              <w:t>限制申购金额（单位：人民币元</w:t>
            </w:r>
            <w:r>
              <w:rPr>
                <w:lang/>
              </w:rPr>
              <w:t xml:space="preserve"> </w:t>
            </w:r>
            <w:r>
              <w:rPr>
                <w:rFonts w:ascii="Calibri" w:hAnsi="Calibri"/>
                <w:lang/>
              </w:rPr>
              <w:t>）</w:t>
            </w:r>
          </w:p>
        </w:tc>
        <w:tc>
          <w:tcPr>
            <w:tcW w:w="4114" w:type="dxa"/>
            <w:gridSpan w:val="3"/>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000000" w:rsidRDefault="00014E72">
            <w:pPr>
              <w:rPr>
                <w:lang/>
              </w:rPr>
            </w:pPr>
            <w:r>
              <w:rPr>
                <w:lang/>
              </w:rPr>
              <w:t>200,000.00</w:t>
            </w:r>
          </w:p>
        </w:tc>
      </w:tr>
      <w:tr w:rsidR="00000000">
        <w:tc>
          <w:tcPr>
            <w:tcW w:w="1046" w:type="dxa"/>
            <w:vMerge/>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000000" w:rsidRDefault="00014E72">
            <w:pPr>
              <w:rPr>
                <w:sz w:val="20"/>
                <w:lang/>
              </w:rPr>
            </w:pPr>
          </w:p>
        </w:tc>
        <w:tc>
          <w:tcPr>
            <w:tcW w:w="3315"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000000" w:rsidRDefault="00014E72">
            <w:pPr>
              <w:rPr>
                <w:lang/>
              </w:rPr>
            </w:pPr>
            <w:r>
              <w:rPr>
                <w:rFonts w:ascii="Calibri" w:hAnsi="Calibri"/>
                <w:lang/>
              </w:rPr>
              <w:t>限制转换转入金额（单位：人民币元</w:t>
            </w:r>
            <w:r>
              <w:rPr>
                <w:lang/>
              </w:rPr>
              <w:t xml:space="preserve"> </w:t>
            </w:r>
            <w:r>
              <w:rPr>
                <w:rFonts w:ascii="Calibri" w:hAnsi="Calibri"/>
                <w:lang/>
              </w:rPr>
              <w:t>）</w:t>
            </w:r>
            <w:r>
              <w:rPr>
                <w:lang/>
              </w:rPr>
              <w:t xml:space="preserve"> </w:t>
            </w:r>
          </w:p>
        </w:tc>
        <w:tc>
          <w:tcPr>
            <w:tcW w:w="4114" w:type="dxa"/>
            <w:gridSpan w:val="3"/>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000000" w:rsidRDefault="00014E72">
            <w:pPr>
              <w:rPr>
                <w:lang/>
              </w:rPr>
            </w:pPr>
            <w:r>
              <w:rPr>
                <w:lang/>
              </w:rPr>
              <w:t>200,000.00</w:t>
            </w:r>
          </w:p>
        </w:tc>
      </w:tr>
      <w:tr w:rsidR="00000000">
        <w:tc>
          <w:tcPr>
            <w:tcW w:w="1046" w:type="dxa"/>
            <w:vMerge/>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000000" w:rsidRDefault="00014E72">
            <w:pPr>
              <w:rPr>
                <w:sz w:val="20"/>
                <w:lang/>
              </w:rPr>
            </w:pPr>
          </w:p>
        </w:tc>
        <w:tc>
          <w:tcPr>
            <w:tcW w:w="3315"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000000" w:rsidRDefault="00014E72">
            <w:pPr>
              <w:rPr>
                <w:lang/>
              </w:rPr>
            </w:pPr>
            <w:r>
              <w:rPr>
                <w:rFonts w:ascii="Calibri" w:hAnsi="Calibri"/>
                <w:lang/>
              </w:rPr>
              <w:t>限制定期定额投资金额（单位：人民币元</w:t>
            </w:r>
            <w:r>
              <w:rPr>
                <w:rFonts w:ascii="Calibri" w:hAnsi="Calibri"/>
                <w:lang/>
              </w:rPr>
              <w:t xml:space="preserve"> </w:t>
            </w:r>
            <w:r>
              <w:rPr>
                <w:rFonts w:ascii="Calibri" w:hAnsi="Calibri"/>
                <w:lang/>
              </w:rPr>
              <w:t>）</w:t>
            </w:r>
            <w:r>
              <w:rPr>
                <w:lang/>
              </w:rPr>
              <w:t xml:space="preserve"> </w:t>
            </w:r>
          </w:p>
        </w:tc>
        <w:tc>
          <w:tcPr>
            <w:tcW w:w="4114" w:type="dxa"/>
            <w:gridSpan w:val="3"/>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000000" w:rsidRDefault="00014E72">
            <w:pPr>
              <w:rPr>
                <w:lang/>
              </w:rPr>
            </w:pPr>
            <w:r>
              <w:rPr>
                <w:lang/>
              </w:rPr>
              <w:t>200,000.00</w:t>
            </w:r>
          </w:p>
        </w:tc>
      </w:tr>
      <w:tr w:rsidR="00000000">
        <w:tc>
          <w:tcPr>
            <w:tcW w:w="1046" w:type="dxa"/>
            <w:vMerge/>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000000" w:rsidRDefault="00014E72">
            <w:pPr>
              <w:rPr>
                <w:sz w:val="20"/>
                <w:lang/>
              </w:rPr>
            </w:pPr>
          </w:p>
        </w:tc>
        <w:tc>
          <w:tcPr>
            <w:tcW w:w="3315"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000000" w:rsidRDefault="00014E72">
            <w:pPr>
              <w:rPr>
                <w:lang/>
              </w:rPr>
            </w:pPr>
            <w:r>
              <w:rPr>
                <w:rFonts w:ascii="Calibri" w:hAnsi="Calibri"/>
                <w:lang/>
              </w:rPr>
              <w:t>暂停大额申购、大额转换转入、大额定期定额投资的原因说明</w:t>
            </w:r>
          </w:p>
        </w:tc>
        <w:tc>
          <w:tcPr>
            <w:tcW w:w="4114" w:type="dxa"/>
            <w:gridSpan w:val="3"/>
            <w:tcBorders>
              <w:top w:val="single" w:sz="4" w:space="0" w:color="000000"/>
              <w:left w:val="single" w:sz="4" w:space="0" w:color="000000"/>
              <w:bottom w:val="inset" w:sz="4" w:space="0" w:color="000000"/>
              <w:right w:val="single" w:sz="4" w:space="0" w:color="000000"/>
            </w:tcBorders>
            <w:tcMar>
              <w:left w:w="108" w:type="dxa"/>
              <w:right w:w="108" w:type="dxa"/>
            </w:tcMar>
            <w:vAlign w:val="center"/>
          </w:tcPr>
          <w:p w:rsidR="00000000" w:rsidRDefault="00014E72">
            <w:pPr>
              <w:rPr>
                <w:lang/>
              </w:rPr>
            </w:pPr>
            <w:r>
              <w:rPr>
                <w:lang/>
              </w:rPr>
              <w:t>为保护基金份额持有人的利益。</w:t>
            </w:r>
          </w:p>
        </w:tc>
      </w:tr>
      <w:tr w:rsidR="00000000">
        <w:tc>
          <w:tcPr>
            <w:tcW w:w="4361" w:type="dxa"/>
            <w:gridSpan w:val="2"/>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000000" w:rsidRDefault="00014E72">
            <w:pPr>
              <w:rPr>
                <w:lang/>
              </w:rPr>
            </w:pPr>
            <w:r>
              <w:rPr>
                <w:rFonts w:ascii="Calibri" w:hAnsi="Calibri"/>
                <w:lang/>
              </w:rPr>
              <w:t>下属分类基金的基金简称</w:t>
            </w:r>
          </w:p>
        </w:tc>
        <w:tc>
          <w:tcPr>
            <w:tcW w:w="1276" w:type="dxa"/>
            <w:tcBorders>
              <w:top w:val="inset" w:sz="4" w:space="0" w:color="000000"/>
              <w:left w:val="single" w:sz="4" w:space="0" w:color="000000"/>
              <w:bottom w:val="inset" w:sz="4" w:space="0" w:color="000000"/>
              <w:right w:val="single" w:sz="4" w:space="0" w:color="auto"/>
            </w:tcBorders>
            <w:vAlign w:val="center"/>
          </w:tcPr>
          <w:p w:rsidR="00000000" w:rsidRDefault="00014E72">
            <w:pPr>
              <w:rPr>
                <w:lang/>
              </w:rPr>
            </w:pPr>
            <w:r>
              <w:rPr>
                <w:lang/>
              </w:rPr>
              <w:t>东方红短债债券</w:t>
            </w:r>
            <w:r>
              <w:rPr>
                <w:lang/>
              </w:rPr>
              <w:t>A</w:t>
            </w:r>
          </w:p>
        </w:tc>
        <w:tc>
          <w:tcPr>
            <w:tcW w:w="1417" w:type="dxa"/>
            <w:tcBorders>
              <w:top w:val="inset" w:sz="4" w:space="0" w:color="000000"/>
              <w:left w:val="single" w:sz="4" w:space="0" w:color="000000"/>
              <w:bottom w:val="inset" w:sz="4" w:space="0" w:color="000000"/>
              <w:right w:val="single" w:sz="4" w:space="0" w:color="auto"/>
            </w:tcBorders>
            <w:vAlign w:val="center"/>
          </w:tcPr>
          <w:p w:rsidR="00000000" w:rsidRDefault="00014E72">
            <w:pPr>
              <w:rPr>
                <w:lang/>
              </w:rPr>
            </w:pPr>
            <w:r>
              <w:rPr>
                <w:lang/>
              </w:rPr>
              <w:t>东方</w:t>
            </w:r>
            <w:r>
              <w:rPr>
                <w:lang/>
              </w:rPr>
              <w:t>红短债债券</w:t>
            </w:r>
            <w:r>
              <w:rPr>
                <w:lang/>
              </w:rPr>
              <w:t>C</w:t>
            </w:r>
          </w:p>
        </w:tc>
        <w:tc>
          <w:tcPr>
            <w:tcW w:w="1421" w:type="dxa"/>
            <w:tcBorders>
              <w:top w:val="inset" w:sz="4" w:space="0" w:color="000000"/>
              <w:left w:val="single" w:sz="4" w:space="0" w:color="000000"/>
              <w:bottom w:val="inset" w:sz="4" w:space="0" w:color="000000"/>
              <w:right w:val="single" w:sz="4" w:space="0" w:color="auto"/>
            </w:tcBorders>
            <w:vAlign w:val="center"/>
          </w:tcPr>
          <w:p w:rsidR="00000000" w:rsidRDefault="00014E72">
            <w:pPr>
              <w:rPr>
                <w:lang/>
              </w:rPr>
            </w:pPr>
            <w:r>
              <w:rPr>
                <w:lang/>
              </w:rPr>
              <w:t>东方红短债债券</w:t>
            </w:r>
            <w:r>
              <w:rPr>
                <w:lang/>
              </w:rPr>
              <w:t>E</w:t>
            </w:r>
          </w:p>
        </w:tc>
      </w:tr>
      <w:tr w:rsidR="00000000">
        <w:tc>
          <w:tcPr>
            <w:tcW w:w="4361" w:type="dxa"/>
            <w:gridSpan w:val="2"/>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000000" w:rsidRDefault="00014E72">
            <w:pPr>
              <w:rPr>
                <w:lang/>
              </w:rPr>
            </w:pPr>
            <w:r>
              <w:rPr>
                <w:rFonts w:ascii="Calibri" w:hAnsi="Calibri"/>
                <w:lang/>
              </w:rPr>
              <w:t>下属分类基金的交易代码</w:t>
            </w:r>
          </w:p>
        </w:tc>
        <w:tc>
          <w:tcPr>
            <w:tcW w:w="1276" w:type="dxa"/>
            <w:tcBorders>
              <w:top w:val="inset" w:sz="4" w:space="0" w:color="000000"/>
              <w:left w:val="single" w:sz="4" w:space="0" w:color="000000"/>
              <w:bottom w:val="inset" w:sz="4" w:space="0" w:color="000000"/>
              <w:right w:val="single" w:sz="4" w:space="0" w:color="auto"/>
            </w:tcBorders>
            <w:vAlign w:val="center"/>
          </w:tcPr>
          <w:p w:rsidR="00000000" w:rsidRDefault="00014E72">
            <w:pPr>
              <w:rPr>
                <w:lang/>
              </w:rPr>
            </w:pPr>
            <w:r>
              <w:rPr>
                <w:lang/>
              </w:rPr>
              <w:t>014910</w:t>
            </w:r>
          </w:p>
        </w:tc>
        <w:tc>
          <w:tcPr>
            <w:tcW w:w="1417" w:type="dxa"/>
            <w:tcBorders>
              <w:top w:val="inset" w:sz="4" w:space="0" w:color="000000"/>
              <w:left w:val="single" w:sz="4" w:space="0" w:color="000000"/>
              <w:bottom w:val="inset" w:sz="4" w:space="0" w:color="000000"/>
              <w:right w:val="single" w:sz="4" w:space="0" w:color="auto"/>
            </w:tcBorders>
            <w:vAlign w:val="center"/>
          </w:tcPr>
          <w:p w:rsidR="00000000" w:rsidRDefault="00014E72">
            <w:pPr>
              <w:rPr>
                <w:lang/>
              </w:rPr>
            </w:pPr>
            <w:r>
              <w:rPr>
                <w:lang/>
              </w:rPr>
              <w:t>014911</w:t>
            </w:r>
          </w:p>
        </w:tc>
        <w:tc>
          <w:tcPr>
            <w:tcW w:w="1421" w:type="dxa"/>
            <w:tcBorders>
              <w:top w:val="inset" w:sz="4" w:space="0" w:color="000000"/>
              <w:left w:val="single" w:sz="4" w:space="0" w:color="000000"/>
              <w:bottom w:val="inset" w:sz="4" w:space="0" w:color="000000"/>
              <w:right w:val="single" w:sz="4" w:space="0" w:color="auto"/>
            </w:tcBorders>
            <w:vAlign w:val="center"/>
          </w:tcPr>
          <w:p w:rsidR="00000000" w:rsidRDefault="00014E72">
            <w:pPr>
              <w:rPr>
                <w:lang/>
              </w:rPr>
            </w:pPr>
            <w:r>
              <w:rPr>
                <w:lang/>
              </w:rPr>
              <w:t>015612</w:t>
            </w:r>
          </w:p>
        </w:tc>
      </w:tr>
      <w:tr w:rsidR="00000000">
        <w:tc>
          <w:tcPr>
            <w:tcW w:w="4361" w:type="dxa"/>
            <w:gridSpan w:val="2"/>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000000" w:rsidRDefault="00014E72">
            <w:pPr>
              <w:rPr>
                <w:lang/>
              </w:rPr>
            </w:pPr>
            <w:r>
              <w:rPr>
                <w:rFonts w:ascii="Calibri" w:hAnsi="Calibri"/>
                <w:lang/>
              </w:rPr>
              <w:t>该分类基金是否暂停大额申购、大额转换转入、大额定期定额投资</w:t>
            </w:r>
          </w:p>
        </w:tc>
        <w:tc>
          <w:tcPr>
            <w:tcW w:w="1276" w:type="dxa"/>
            <w:tcBorders>
              <w:top w:val="inset" w:sz="4" w:space="0" w:color="000000"/>
              <w:left w:val="single" w:sz="4" w:space="0" w:color="000000"/>
              <w:bottom w:val="inset" w:sz="4" w:space="0" w:color="000000"/>
              <w:right w:val="single" w:sz="4" w:space="0" w:color="auto"/>
            </w:tcBorders>
            <w:vAlign w:val="center"/>
          </w:tcPr>
          <w:p w:rsidR="00000000" w:rsidRDefault="00014E72">
            <w:pPr>
              <w:rPr>
                <w:lang/>
              </w:rPr>
            </w:pPr>
            <w:r>
              <w:rPr>
                <w:lang/>
              </w:rPr>
              <w:t>是</w:t>
            </w:r>
          </w:p>
        </w:tc>
        <w:tc>
          <w:tcPr>
            <w:tcW w:w="1417" w:type="dxa"/>
            <w:tcBorders>
              <w:top w:val="inset" w:sz="4" w:space="0" w:color="000000"/>
              <w:left w:val="single" w:sz="4" w:space="0" w:color="000000"/>
              <w:bottom w:val="inset" w:sz="4" w:space="0" w:color="000000"/>
              <w:right w:val="single" w:sz="4" w:space="0" w:color="auto"/>
            </w:tcBorders>
            <w:vAlign w:val="center"/>
          </w:tcPr>
          <w:p w:rsidR="00000000" w:rsidRDefault="00014E72">
            <w:pPr>
              <w:rPr>
                <w:lang/>
              </w:rPr>
            </w:pPr>
            <w:r>
              <w:rPr>
                <w:lang/>
              </w:rPr>
              <w:t>是</w:t>
            </w:r>
          </w:p>
        </w:tc>
        <w:tc>
          <w:tcPr>
            <w:tcW w:w="1421" w:type="dxa"/>
            <w:tcBorders>
              <w:top w:val="inset" w:sz="4" w:space="0" w:color="000000"/>
              <w:left w:val="single" w:sz="4" w:space="0" w:color="000000"/>
              <w:bottom w:val="inset" w:sz="4" w:space="0" w:color="000000"/>
              <w:right w:val="single" w:sz="4" w:space="0" w:color="auto"/>
            </w:tcBorders>
            <w:vAlign w:val="center"/>
          </w:tcPr>
          <w:p w:rsidR="00000000" w:rsidRDefault="00014E72">
            <w:pPr>
              <w:rPr>
                <w:lang/>
              </w:rPr>
            </w:pPr>
            <w:r>
              <w:rPr>
                <w:lang/>
              </w:rPr>
              <w:t>是</w:t>
            </w:r>
          </w:p>
        </w:tc>
      </w:tr>
      <w:tr w:rsidR="00000000">
        <w:tc>
          <w:tcPr>
            <w:tcW w:w="4361" w:type="dxa"/>
            <w:gridSpan w:val="2"/>
            <w:tcBorders>
              <w:top w:val="single" w:sz="4" w:space="0" w:color="000000"/>
              <w:left w:val="single" w:sz="4" w:space="0" w:color="000000"/>
              <w:bottom w:val="single" w:sz="4" w:space="0" w:color="000000"/>
              <w:right w:val="single" w:sz="0" w:space="0" w:color="auto"/>
            </w:tcBorders>
            <w:tcMar>
              <w:left w:w="108" w:type="dxa"/>
              <w:right w:w="108" w:type="dxa"/>
            </w:tcMar>
            <w:vAlign w:val="center"/>
          </w:tcPr>
          <w:p w:rsidR="00000000" w:rsidRDefault="00014E72">
            <w:pPr>
              <w:rPr>
                <w:lang/>
              </w:rPr>
            </w:pPr>
            <w:r>
              <w:rPr>
                <w:rFonts w:ascii="Calibri" w:hAnsi="Calibri"/>
                <w:lang/>
              </w:rPr>
              <w:t>下属分类基金的限制申购金额（单位：人民币元）</w:t>
            </w:r>
          </w:p>
        </w:tc>
        <w:tc>
          <w:tcPr>
            <w:tcW w:w="1276" w:type="dxa"/>
            <w:tcBorders>
              <w:top w:val="inset" w:sz="4" w:space="0" w:color="000000"/>
              <w:left w:val="single" w:sz="4" w:space="0" w:color="000000"/>
              <w:bottom w:val="inset" w:sz="4" w:space="0" w:color="000000"/>
              <w:right w:val="single" w:sz="4" w:space="0" w:color="auto"/>
            </w:tcBorders>
            <w:vAlign w:val="center"/>
          </w:tcPr>
          <w:p w:rsidR="00000000" w:rsidRDefault="00014E72">
            <w:pPr>
              <w:rPr>
                <w:lang/>
              </w:rPr>
            </w:pPr>
            <w:r>
              <w:rPr>
                <w:lang/>
              </w:rPr>
              <w:t>200,000.00</w:t>
            </w:r>
          </w:p>
        </w:tc>
        <w:tc>
          <w:tcPr>
            <w:tcW w:w="1417" w:type="dxa"/>
            <w:tcBorders>
              <w:top w:val="inset" w:sz="4" w:space="0" w:color="000000"/>
              <w:left w:val="single" w:sz="4" w:space="0" w:color="000000"/>
              <w:bottom w:val="inset" w:sz="4" w:space="0" w:color="000000"/>
              <w:right w:val="single" w:sz="4" w:space="0" w:color="auto"/>
            </w:tcBorders>
            <w:vAlign w:val="center"/>
          </w:tcPr>
          <w:p w:rsidR="00000000" w:rsidRDefault="00014E72">
            <w:pPr>
              <w:rPr>
                <w:lang/>
              </w:rPr>
            </w:pPr>
            <w:r>
              <w:rPr>
                <w:lang/>
              </w:rPr>
              <w:t>200,000.00</w:t>
            </w:r>
          </w:p>
        </w:tc>
        <w:tc>
          <w:tcPr>
            <w:tcW w:w="1421" w:type="dxa"/>
            <w:tcBorders>
              <w:top w:val="inset" w:sz="4" w:space="0" w:color="000000"/>
              <w:left w:val="single" w:sz="4" w:space="0" w:color="000000"/>
              <w:bottom w:val="inset" w:sz="4" w:space="0" w:color="000000"/>
              <w:right w:val="single" w:sz="4" w:space="0" w:color="auto"/>
            </w:tcBorders>
            <w:vAlign w:val="center"/>
          </w:tcPr>
          <w:p w:rsidR="00000000" w:rsidRDefault="00014E72">
            <w:pPr>
              <w:rPr>
                <w:lang/>
              </w:rPr>
            </w:pPr>
            <w:r>
              <w:rPr>
                <w:lang/>
              </w:rPr>
              <w:t>200,000.00</w:t>
            </w:r>
          </w:p>
        </w:tc>
      </w:tr>
      <w:tr w:rsidR="00000000">
        <w:tc>
          <w:tcPr>
            <w:tcW w:w="4361" w:type="dxa"/>
            <w:gridSpan w:val="2"/>
            <w:tcBorders>
              <w:top w:val="single" w:sz="4" w:space="0" w:color="000000"/>
              <w:left w:val="single" w:sz="4" w:space="0" w:color="000000"/>
              <w:bottom w:val="single" w:sz="4" w:space="0" w:color="000000"/>
              <w:right w:val="single" w:sz="0" w:space="0" w:color="auto"/>
            </w:tcBorders>
            <w:tcMar>
              <w:left w:w="108" w:type="dxa"/>
              <w:right w:w="108" w:type="dxa"/>
            </w:tcMar>
            <w:vAlign w:val="center"/>
          </w:tcPr>
          <w:p w:rsidR="00000000" w:rsidRDefault="00014E72">
            <w:pPr>
              <w:rPr>
                <w:lang/>
              </w:rPr>
            </w:pPr>
            <w:r>
              <w:rPr>
                <w:lang/>
              </w:rPr>
              <w:t>下属分类基金的限制转换转入金额（单位：人民币元）</w:t>
            </w:r>
            <w:r>
              <w:rPr>
                <w:lang/>
              </w:rPr>
              <w:t xml:space="preserve"> </w:t>
            </w:r>
          </w:p>
        </w:tc>
        <w:tc>
          <w:tcPr>
            <w:tcW w:w="1276" w:type="dxa"/>
            <w:tcBorders>
              <w:top w:val="inset" w:sz="4" w:space="0" w:color="000000"/>
              <w:left w:val="single" w:sz="4" w:space="0" w:color="000000"/>
              <w:bottom w:val="single" w:sz="4" w:space="0" w:color="000000"/>
              <w:right w:val="single" w:sz="4" w:space="0" w:color="auto"/>
            </w:tcBorders>
            <w:vAlign w:val="center"/>
          </w:tcPr>
          <w:p w:rsidR="00000000" w:rsidRDefault="00014E72">
            <w:pPr>
              <w:rPr>
                <w:lang/>
              </w:rPr>
            </w:pPr>
            <w:r>
              <w:rPr>
                <w:lang/>
              </w:rPr>
              <w:t>200,000.00</w:t>
            </w:r>
          </w:p>
        </w:tc>
        <w:tc>
          <w:tcPr>
            <w:tcW w:w="1417" w:type="dxa"/>
            <w:tcBorders>
              <w:top w:val="inset" w:sz="4" w:space="0" w:color="000000"/>
              <w:left w:val="single" w:sz="4" w:space="0" w:color="000000"/>
              <w:bottom w:val="single" w:sz="4" w:space="0" w:color="000000"/>
              <w:right w:val="single" w:sz="4" w:space="0" w:color="auto"/>
            </w:tcBorders>
            <w:vAlign w:val="center"/>
          </w:tcPr>
          <w:p w:rsidR="00000000" w:rsidRDefault="00014E72">
            <w:pPr>
              <w:rPr>
                <w:lang/>
              </w:rPr>
            </w:pPr>
            <w:r>
              <w:rPr>
                <w:lang/>
              </w:rPr>
              <w:t>200,000.00</w:t>
            </w:r>
          </w:p>
        </w:tc>
        <w:tc>
          <w:tcPr>
            <w:tcW w:w="1421" w:type="dxa"/>
            <w:tcBorders>
              <w:top w:val="inset" w:sz="4" w:space="0" w:color="000000"/>
              <w:left w:val="single" w:sz="4" w:space="0" w:color="000000"/>
              <w:bottom w:val="single" w:sz="4" w:space="0" w:color="000000"/>
              <w:right w:val="single" w:sz="4" w:space="0" w:color="auto"/>
            </w:tcBorders>
            <w:vAlign w:val="center"/>
          </w:tcPr>
          <w:p w:rsidR="00000000" w:rsidRDefault="00014E72">
            <w:pPr>
              <w:rPr>
                <w:lang/>
              </w:rPr>
            </w:pPr>
            <w:r>
              <w:rPr>
                <w:lang/>
              </w:rPr>
              <w:t>200,000.00</w:t>
            </w:r>
          </w:p>
        </w:tc>
      </w:tr>
      <w:tr w:rsidR="00000000">
        <w:tc>
          <w:tcPr>
            <w:tcW w:w="4361" w:type="dxa"/>
            <w:gridSpan w:val="2"/>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000000" w:rsidRDefault="00014E72">
            <w:pPr>
              <w:rPr>
                <w:lang/>
              </w:rPr>
            </w:pPr>
            <w:r>
              <w:rPr>
                <w:rFonts w:ascii="Calibri" w:hAnsi="Calibri" w:cs="Calibri" w:hint="default"/>
                <w:lang/>
              </w:rPr>
              <w:t>下属分类基金的限制定期定额投资金额（单位：人民币元）</w:t>
            </w:r>
          </w:p>
        </w:tc>
        <w:tc>
          <w:tcPr>
            <w:tcW w:w="1276" w:type="dxa"/>
            <w:tcBorders>
              <w:top w:val="inset" w:sz="4" w:space="0" w:color="000000"/>
              <w:left w:val="single" w:sz="4" w:space="0" w:color="000000"/>
              <w:bottom w:val="single" w:sz="4" w:space="0" w:color="000000"/>
              <w:right w:val="single" w:sz="4" w:space="0" w:color="auto"/>
            </w:tcBorders>
            <w:vAlign w:val="center"/>
          </w:tcPr>
          <w:p w:rsidR="00000000" w:rsidRDefault="00014E72">
            <w:pPr>
              <w:rPr>
                <w:lang/>
              </w:rPr>
            </w:pPr>
            <w:r>
              <w:rPr>
                <w:lang/>
              </w:rPr>
              <w:t>200,000.00</w:t>
            </w:r>
          </w:p>
        </w:tc>
        <w:tc>
          <w:tcPr>
            <w:tcW w:w="1417" w:type="dxa"/>
            <w:tcBorders>
              <w:top w:val="inset" w:sz="4" w:space="0" w:color="000000"/>
              <w:left w:val="single" w:sz="4" w:space="0" w:color="000000"/>
              <w:bottom w:val="single" w:sz="4" w:space="0" w:color="000000"/>
              <w:right w:val="single" w:sz="4" w:space="0" w:color="auto"/>
            </w:tcBorders>
            <w:vAlign w:val="center"/>
          </w:tcPr>
          <w:p w:rsidR="00000000" w:rsidRDefault="00014E72">
            <w:pPr>
              <w:rPr>
                <w:lang/>
              </w:rPr>
            </w:pPr>
            <w:r>
              <w:rPr>
                <w:lang/>
              </w:rPr>
              <w:t>200,000.00</w:t>
            </w:r>
          </w:p>
        </w:tc>
        <w:tc>
          <w:tcPr>
            <w:tcW w:w="1421" w:type="dxa"/>
            <w:tcBorders>
              <w:top w:val="inset" w:sz="4" w:space="0" w:color="000000"/>
              <w:left w:val="single" w:sz="4" w:space="0" w:color="000000"/>
              <w:bottom w:val="single" w:sz="4" w:space="0" w:color="000000"/>
              <w:right w:val="single" w:sz="4" w:space="0" w:color="auto"/>
            </w:tcBorders>
            <w:vAlign w:val="center"/>
          </w:tcPr>
          <w:p w:rsidR="00000000" w:rsidRDefault="00014E72">
            <w:pPr>
              <w:rPr>
                <w:lang/>
              </w:rPr>
            </w:pPr>
            <w:r>
              <w:rPr>
                <w:lang/>
              </w:rPr>
              <w:t>20</w:t>
            </w:r>
            <w:r>
              <w:rPr>
                <w:lang/>
              </w:rPr>
              <w:t>0,000.00</w:t>
            </w:r>
          </w:p>
        </w:tc>
      </w:tr>
    </w:tbl>
    <w:p w:rsidR="00000000" w:rsidRDefault="00014E72">
      <w:pPr>
        <w:spacing w:line="360" w:lineRule="auto"/>
        <w:ind w:firstLineChars="200" w:firstLine="420"/>
        <w:jc w:val="left"/>
        <w:rPr>
          <w:rFonts w:hAnsi="Cambria" w:hint="default"/>
          <w:szCs w:val="44"/>
          <w:lang w:val="en-US" w:eastAsia="zh-CN"/>
        </w:rPr>
      </w:pPr>
      <w:bookmarkStart w:id="13" w:name="_Toc490050049"/>
      <w:bookmarkStart w:id="14" w:name="_Toc438646481"/>
      <w:bookmarkStart w:id="15" w:name="_Toc34322063"/>
      <w:bookmarkStart w:id="16" w:name="_Toc17898228"/>
      <w:bookmarkStart w:id="17" w:name="_Toc481075097"/>
      <w:bookmarkStart w:id="18" w:name="_Toc17897969"/>
      <w:bookmarkStart w:id="19" w:name="_Toc513295941"/>
      <w:bookmarkStart w:id="20" w:name="_Toc513295878"/>
      <w:bookmarkStart w:id="21" w:name="_Toc512519529"/>
      <w:bookmarkStart w:id="22" w:name="m201_01"/>
    </w:p>
    <w:p w:rsidR="00000000" w:rsidRDefault="00014E72">
      <w:pPr>
        <w:pStyle w:val="XBRLTitle1"/>
        <w:spacing w:before="156" w:line="360" w:lineRule="auto"/>
        <w:jc w:val="left"/>
      </w:pPr>
      <w:r>
        <w:rPr>
          <w:rFonts w:hAnsi="宋体"/>
          <w:szCs w:val="24"/>
          <w:lang w:val="en-US" w:eastAsia="zh-CN"/>
        </w:rPr>
        <w:t>其他需要提示的事项</w:t>
      </w:r>
      <w:bookmarkEnd w:id="13"/>
      <w:bookmarkEnd w:id="14"/>
      <w:bookmarkEnd w:id="15"/>
      <w:bookmarkEnd w:id="16"/>
      <w:bookmarkEnd w:id="17"/>
      <w:bookmarkEnd w:id="18"/>
      <w:bookmarkEnd w:id="19"/>
      <w:bookmarkEnd w:id="20"/>
      <w:bookmarkEnd w:id="21"/>
      <w:r>
        <w:rPr>
          <w:rFonts w:hAnsi="宋体"/>
          <w:szCs w:val="24"/>
          <w:lang w:val="en-US" w:eastAsia="zh-CN"/>
        </w:rPr>
        <w:t xml:space="preserve"> </w:t>
      </w:r>
    </w:p>
    <w:p w:rsidR="00000000" w:rsidRDefault="00014E72">
      <w:pPr>
        <w:numPr>
          <w:ilvl w:val="0"/>
          <w:numId w:val="2"/>
        </w:numPr>
        <w:spacing w:line="360" w:lineRule="auto"/>
        <w:ind w:firstLineChars="200" w:firstLine="420"/>
        <w:jc w:val="left"/>
        <w:rPr>
          <w:rFonts w:cs="宋体"/>
          <w:szCs w:val="21"/>
        </w:rPr>
      </w:pPr>
      <w:r>
        <w:rPr>
          <w:lang/>
        </w:rPr>
        <w:t>东方红短债债券型证券投资基金（以下简称</w:t>
      </w:r>
      <w:r>
        <w:rPr>
          <w:rFonts w:cs="宋体"/>
          <w:szCs w:val="21"/>
        </w:rPr>
        <w:t>本基金</w:t>
      </w:r>
      <w:r>
        <w:rPr>
          <w:lang/>
        </w:rPr>
        <w:t>）</w:t>
      </w:r>
      <w:r>
        <w:rPr>
          <w:rFonts w:cs="宋体"/>
          <w:szCs w:val="21"/>
        </w:rPr>
        <w:t>的所有销售机构于</w:t>
      </w:r>
      <w:r>
        <w:rPr>
          <w:rFonts w:cs="宋体"/>
          <w:szCs w:val="21"/>
        </w:rPr>
        <w:t>2023</w:t>
      </w:r>
      <w:r>
        <w:rPr>
          <w:rFonts w:cs="宋体"/>
          <w:szCs w:val="21"/>
        </w:rPr>
        <w:t>年</w:t>
      </w:r>
      <w:r>
        <w:rPr>
          <w:rFonts w:cs="宋体"/>
          <w:szCs w:val="21"/>
        </w:rPr>
        <w:t>9</w:t>
      </w:r>
      <w:r>
        <w:rPr>
          <w:rFonts w:cs="宋体"/>
          <w:szCs w:val="21"/>
        </w:rPr>
        <w:t>月</w:t>
      </w:r>
      <w:r>
        <w:rPr>
          <w:rFonts w:cs="宋体"/>
          <w:szCs w:val="21"/>
        </w:rPr>
        <w:t>27</w:t>
      </w:r>
      <w:r>
        <w:rPr>
          <w:rFonts w:cs="宋体"/>
          <w:szCs w:val="21"/>
        </w:rPr>
        <w:t>日（含）至</w:t>
      </w:r>
      <w:r>
        <w:rPr>
          <w:rFonts w:cs="宋体"/>
          <w:szCs w:val="21"/>
        </w:rPr>
        <w:t>2023</w:t>
      </w:r>
      <w:r>
        <w:rPr>
          <w:rFonts w:cs="宋体"/>
          <w:szCs w:val="21"/>
        </w:rPr>
        <w:t>年</w:t>
      </w:r>
      <w:r>
        <w:rPr>
          <w:rFonts w:cs="宋体"/>
          <w:szCs w:val="21"/>
        </w:rPr>
        <w:t>9</w:t>
      </w:r>
      <w:r>
        <w:rPr>
          <w:rFonts w:cs="宋体"/>
          <w:szCs w:val="21"/>
        </w:rPr>
        <w:t>月</w:t>
      </w:r>
      <w:r>
        <w:rPr>
          <w:rFonts w:cs="宋体"/>
          <w:szCs w:val="21"/>
        </w:rPr>
        <w:t>28</w:t>
      </w:r>
      <w:r>
        <w:rPr>
          <w:rFonts w:cs="宋体"/>
          <w:szCs w:val="21"/>
        </w:rPr>
        <w:t>日（含）暂停接受单个基金账户对本基金各类份额合计单日累计金额</w:t>
      </w:r>
      <w:r>
        <w:rPr>
          <w:rFonts w:cs="宋体"/>
          <w:szCs w:val="21"/>
        </w:rPr>
        <w:t>20</w:t>
      </w:r>
      <w:r>
        <w:rPr>
          <w:rFonts w:cs="宋体"/>
          <w:szCs w:val="21"/>
        </w:rPr>
        <w:t>万元以上（不含</w:t>
      </w:r>
      <w:r>
        <w:rPr>
          <w:rFonts w:cs="宋体"/>
          <w:szCs w:val="21"/>
        </w:rPr>
        <w:t>20</w:t>
      </w:r>
      <w:r>
        <w:rPr>
          <w:rFonts w:cs="宋体"/>
          <w:szCs w:val="21"/>
        </w:rPr>
        <w:t>万元）的申购（含定期定额投资、转换转入）业务申请，即，如单个基金账户日累计申请金额超过</w:t>
      </w:r>
      <w:r>
        <w:rPr>
          <w:rFonts w:cs="宋体"/>
          <w:szCs w:val="21"/>
        </w:rPr>
        <w:t>20</w:t>
      </w:r>
      <w:r>
        <w:rPr>
          <w:rFonts w:cs="宋体"/>
          <w:szCs w:val="21"/>
        </w:rPr>
        <w:t>万元，按申请金额从大到小进行排序，若存在单笔金额超过</w:t>
      </w:r>
      <w:r>
        <w:rPr>
          <w:rFonts w:cs="宋体"/>
          <w:szCs w:val="21"/>
        </w:rPr>
        <w:t>20</w:t>
      </w:r>
      <w:r>
        <w:rPr>
          <w:rFonts w:cs="宋体"/>
          <w:szCs w:val="21"/>
        </w:rPr>
        <w:t>万元的申请，则对该笔申请不超过</w:t>
      </w:r>
      <w:r>
        <w:rPr>
          <w:rFonts w:cs="宋体"/>
          <w:szCs w:val="21"/>
        </w:rPr>
        <w:t>20</w:t>
      </w:r>
      <w:r>
        <w:rPr>
          <w:rFonts w:cs="宋体"/>
          <w:szCs w:val="21"/>
        </w:rPr>
        <w:t>万元（含</w:t>
      </w:r>
      <w:r>
        <w:rPr>
          <w:rFonts w:cs="宋体"/>
          <w:szCs w:val="21"/>
        </w:rPr>
        <w:t>20</w:t>
      </w:r>
      <w:r>
        <w:rPr>
          <w:rFonts w:cs="宋体"/>
          <w:szCs w:val="21"/>
        </w:rPr>
        <w:t>万元）的部分予以确认，其余申请（若有）不予确认；若单笔金额均未超过</w:t>
      </w:r>
      <w:r>
        <w:rPr>
          <w:rFonts w:cs="宋体"/>
          <w:szCs w:val="21"/>
        </w:rPr>
        <w:t>20</w:t>
      </w:r>
      <w:r>
        <w:rPr>
          <w:rFonts w:cs="宋体"/>
          <w:szCs w:val="21"/>
        </w:rPr>
        <w:t>万元，则逐笔累加</w:t>
      </w:r>
      <w:r>
        <w:rPr>
          <w:rFonts w:cs="宋体"/>
          <w:szCs w:val="21"/>
        </w:rPr>
        <w:t>至符合不超过</w:t>
      </w:r>
      <w:r>
        <w:rPr>
          <w:rFonts w:cs="宋体"/>
          <w:szCs w:val="21"/>
        </w:rPr>
        <w:t>20</w:t>
      </w:r>
      <w:r>
        <w:rPr>
          <w:rFonts w:cs="宋体"/>
          <w:szCs w:val="21"/>
        </w:rPr>
        <w:t>万元限额（含</w:t>
      </w:r>
      <w:r>
        <w:rPr>
          <w:rFonts w:cs="宋体"/>
          <w:szCs w:val="21"/>
        </w:rPr>
        <w:t>20</w:t>
      </w:r>
      <w:r>
        <w:rPr>
          <w:rFonts w:cs="宋体"/>
          <w:szCs w:val="21"/>
        </w:rPr>
        <w:t>万元）的申请给</w:t>
      </w:r>
      <w:r>
        <w:rPr>
          <w:rFonts w:cs="宋体"/>
          <w:szCs w:val="21"/>
        </w:rPr>
        <w:lastRenderedPageBreak/>
        <w:t>予确认，其余不予确认。在暂停大额申购（含转换转入、定期定额投资）业务期间，本基金各类份额的赎回业务正常办理。</w:t>
      </w:r>
      <w:r>
        <w:rPr>
          <w:rFonts w:cs="宋体"/>
          <w:szCs w:val="21"/>
        </w:rPr>
        <w:br/>
      </w:r>
      <w:r>
        <w:rPr>
          <w:rFonts w:cs="宋体"/>
          <w:szCs w:val="21"/>
        </w:rPr>
        <w:t xml:space="preserve">　　（</w:t>
      </w:r>
      <w:r>
        <w:rPr>
          <w:rFonts w:cs="宋体"/>
          <w:szCs w:val="21"/>
        </w:rPr>
        <w:t>2</w:t>
      </w:r>
      <w:r>
        <w:rPr>
          <w:rFonts w:cs="宋体"/>
          <w:szCs w:val="21"/>
        </w:rPr>
        <w:t>）本基金各类份额自</w:t>
      </w:r>
      <w:r>
        <w:rPr>
          <w:rFonts w:cs="宋体"/>
          <w:szCs w:val="21"/>
        </w:rPr>
        <w:t>2023</w:t>
      </w:r>
      <w:r>
        <w:rPr>
          <w:rFonts w:cs="宋体"/>
          <w:szCs w:val="21"/>
        </w:rPr>
        <w:t>年</w:t>
      </w:r>
      <w:r>
        <w:rPr>
          <w:rFonts w:cs="宋体"/>
          <w:szCs w:val="21"/>
        </w:rPr>
        <w:t>10</w:t>
      </w:r>
      <w:r>
        <w:rPr>
          <w:rFonts w:cs="宋体"/>
          <w:szCs w:val="21"/>
        </w:rPr>
        <w:t>月</w:t>
      </w:r>
      <w:r>
        <w:rPr>
          <w:rFonts w:cs="宋体"/>
          <w:szCs w:val="21"/>
        </w:rPr>
        <w:t>9</w:t>
      </w:r>
      <w:r>
        <w:rPr>
          <w:rFonts w:cs="宋体"/>
          <w:szCs w:val="21"/>
        </w:rPr>
        <w:t>日（含）起恢复办理</w:t>
      </w:r>
      <w:r>
        <w:rPr>
          <w:rFonts w:cs="宋体"/>
          <w:szCs w:val="21"/>
        </w:rPr>
        <w:t>2</w:t>
      </w:r>
      <w:r>
        <w:rPr>
          <w:rFonts w:cs="宋体" w:hint="default"/>
          <w:szCs w:val="21"/>
        </w:rPr>
        <w:t>0</w:t>
      </w:r>
      <w:r>
        <w:rPr>
          <w:rFonts w:cs="宋体"/>
          <w:szCs w:val="21"/>
        </w:rPr>
        <w:t>万元以上（不含</w:t>
      </w:r>
      <w:r>
        <w:rPr>
          <w:rFonts w:cs="宋体"/>
          <w:szCs w:val="21"/>
        </w:rPr>
        <w:t>2</w:t>
      </w:r>
      <w:r>
        <w:rPr>
          <w:rFonts w:cs="宋体" w:hint="default"/>
          <w:szCs w:val="21"/>
        </w:rPr>
        <w:t>0</w:t>
      </w:r>
      <w:r>
        <w:rPr>
          <w:rFonts w:cs="宋体"/>
          <w:szCs w:val="21"/>
        </w:rPr>
        <w:t xml:space="preserve">万元）的大额申购（含转换转入、定期定额投资）业务，届时本公司不再另行公告。　　</w:t>
      </w:r>
    </w:p>
    <w:p w:rsidR="00000000" w:rsidRDefault="00014E72">
      <w:pPr>
        <w:spacing w:line="360" w:lineRule="auto"/>
        <w:ind w:firstLineChars="200" w:firstLine="420"/>
        <w:jc w:val="left"/>
      </w:pPr>
      <w:r>
        <w:rPr>
          <w:rFonts w:cs="宋体"/>
          <w:szCs w:val="21"/>
        </w:rPr>
        <w:t>（</w:t>
      </w:r>
      <w:r>
        <w:rPr>
          <w:rFonts w:cs="宋体"/>
          <w:szCs w:val="21"/>
        </w:rPr>
        <w:t>3</w:t>
      </w:r>
      <w:r>
        <w:rPr>
          <w:rFonts w:cs="宋体"/>
          <w:szCs w:val="21"/>
        </w:rPr>
        <w:t>）如有疑问，投资者可登录公司网站：</w:t>
      </w:r>
      <w:r>
        <w:rPr>
          <w:rFonts w:cs="宋体"/>
          <w:szCs w:val="21"/>
        </w:rPr>
        <w:t>www.dfham.com</w:t>
      </w:r>
      <w:r>
        <w:rPr>
          <w:rFonts w:cs="宋体"/>
          <w:szCs w:val="21"/>
        </w:rPr>
        <w:t>查询或拨打客户服务热线：</w:t>
      </w:r>
      <w:r>
        <w:rPr>
          <w:rFonts w:cs="宋体"/>
          <w:szCs w:val="21"/>
        </w:rPr>
        <w:t>400-9200-808</w:t>
      </w:r>
      <w:r>
        <w:rPr>
          <w:rFonts w:cs="宋体"/>
          <w:szCs w:val="21"/>
        </w:rPr>
        <w:t>咨询。</w:t>
      </w:r>
      <w:r>
        <w:rPr>
          <w:rFonts w:cs="宋体"/>
          <w:szCs w:val="21"/>
        </w:rPr>
        <w:br/>
      </w:r>
      <w:r>
        <w:rPr>
          <w:rFonts w:cs="宋体"/>
          <w:szCs w:val="21"/>
        </w:rPr>
        <w:t xml:space="preserve">　　（</w:t>
      </w:r>
      <w:r>
        <w:rPr>
          <w:rFonts w:cs="宋体"/>
          <w:szCs w:val="21"/>
        </w:rPr>
        <w:t>4</w:t>
      </w:r>
      <w:r>
        <w:rPr>
          <w:rFonts w:cs="宋体"/>
          <w:szCs w:val="21"/>
        </w:rPr>
        <w:t>）风险提示：本公司承诺以诚实信用、勤勉尽责的原则管理和运用基金资</w:t>
      </w:r>
      <w:r>
        <w:rPr>
          <w:rFonts w:cs="宋体"/>
          <w:szCs w:val="21"/>
        </w:rPr>
        <w:t>产，但不保证基金一定盈利，也不保证最低收益。基金投资需谨慎，敬请投资者注意投资风险。投资者投资于上述基金前应认真阅读基金最新的基金合同、招募说明书及基金产品资料概要。敬请投资者关注适当性管理相关规定，提前做好风险测评，并根据自身的风险承受能力购买风险等级相匹配的产品。投资者应当充分了解基金定期定额投资和零存整取等储蓄方式的区别。定期定额投资是引导投资者进行长期投资、平均投资成本的一种简单易行的投资方式。但是定期定额投资并不能规避基金投资所固有的风险，不能保证投资者获得收益，也不是替代储蓄的等效理财方式。</w:t>
      </w:r>
      <w:r>
        <w:rPr>
          <w:rFonts w:cs="宋体"/>
          <w:szCs w:val="21"/>
        </w:rPr>
        <w:br/>
      </w:r>
      <w:r>
        <w:rPr>
          <w:rFonts w:cs="宋体"/>
          <w:szCs w:val="21"/>
        </w:rPr>
        <w:t xml:space="preserve">　</w:t>
      </w:r>
      <w:r>
        <w:rPr>
          <w:rFonts w:cs="宋体"/>
          <w:szCs w:val="21"/>
        </w:rPr>
        <w:t xml:space="preserve">　特此公告。</w:t>
      </w:r>
    </w:p>
    <w:p w:rsidR="00000000" w:rsidRDefault="00014E72">
      <w:pPr>
        <w:spacing w:line="360" w:lineRule="auto"/>
        <w:ind w:firstLineChars="600" w:firstLine="1446"/>
        <w:jc w:val="right"/>
        <w:rPr>
          <w:rFonts w:cs="宋体"/>
          <w:b/>
          <w:bCs/>
          <w:sz w:val="24"/>
          <w:szCs w:val="30"/>
        </w:rPr>
      </w:pPr>
      <w:r>
        <w:rPr>
          <w:rFonts w:cs="宋体"/>
          <w:b/>
          <w:bCs/>
          <w:sz w:val="24"/>
          <w:szCs w:val="30"/>
        </w:rPr>
        <w:t xml:space="preserve">　</w:t>
      </w:r>
      <w:r>
        <w:rPr>
          <w:rFonts w:cs="宋体"/>
          <w:b/>
          <w:bCs/>
          <w:sz w:val="24"/>
          <w:szCs w:val="30"/>
        </w:rPr>
        <w:t xml:space="preserve"> </w:t>
      </w:r>
    </w:p>
    <w:p w:rsidR="00000000" w:rsidRDefault="00014E72">
      <w:pPr>
        <w:spacing w:line="360" w:lineRule="auto"/>
        <w:ind w:firstLineChars="600" w:firstLine="1446"/>
        <w:jc w:val="right"/>
        <w:rPr>
          <w:rFonts w:cs="宋体"/>
          <w:b/>
          <w:bCs/>
          <w:sz w:val="24"/>
          <w:szCs w:val="30"/>
        </w:rPr>
      </w:pPr>
      <w:r>
        <w:rPr>
          <w:rFonts w:cs="宋体"/>
          <w:b/>
          <w:bCs/>
          <w:sz w:val="24"/>
          <w:szCs w:val="30"/>
        </w:rPr>
        <w:t xml:space="preserve">　</w:t>
      </w:r>
      <w:r>
        <w:rPr>
          <w:rFonts w:cs="宋体"/>
          <w:b/>
          <w:bCs/>
          <w:sz w:val="24"/>
          <w:szCs w:val="30"/>
        </w:rPr>
        <w:t xml:space="preserve"> </w:t>
      </w:r>
    </w:p>
    <w:p w:rsidR="00000000" w:rsidRDefault="00014E72">
      <w:pPr>
        <w:spacing w:line="360" w:lineRule="auto"/>
        <w:ind w:firstLineChars="600" w:firstLine="1446"/>
        <w:jc w:val="right"/>
      </w:pPr>
      <w:r>
        <w:rPr>
          <w:rFonts w:cs="宋体"/>
          <w:b/>
          <w:bCs/>
          <w:sz w:val="24"/>
          <w:szCs w:val="24"/>
        </w:rPr>
        <w:t>上海东方证券资产管理有限公司</w:t>
      </w:r>
    </w:p>
    <w:p w:rsidR="00000000" w:rsidRDefault="00014E72">
      <w:pPr>
        <w:spacing w:line="360" w:lineRule="auto"/>
        <w:ind w:firstLineChars="600" w:firstLine="1446"/>
        <w:jc w:val="right"/>
      </w:pPr>
      <w:r>
        <w:rPr>
          <w:rFonts w:cs="宋体"/>
          <w:b/>
          <w:bCs/>
          <w:sz w:val="24"/>
          <w:szCs w:val="24"/>
        </w:rPr>
        <w:t>2023</w:t>
      </w:r>
      <w:r>
        <w:rPr>
          <w:rFonts w:cs="宋体"/>
          <w:b/>
          <w:bCs/>
          <w:sz w:val="24"/>
          <w:szCs w:val="24"/>
        </w:rPr>
        <w:t>年</w:t>
      </w:r>
      <w:r>
        <w:rPr>
          <w:rFonts w:cs="宋体"/>
          <w:b/>
          <w:bCs/>
          <w:sz w:val="24"/>
          <w:szCs w:val="24"/>
        </w:rPr>
        <w:t>9</w:t>
      </w:r>
      <w:r>
        <w:rPr>
          <w:rFonts w:cs="宋体"/>
          <w:b/>
          <w:bCs/>
          <w:sz w:val="24"/>
          <w:szCs w:val="24"/>
        </w:rPr>
        <w:t>月</w:t>
      </w:r>
      <w:r>
        <w:rPr>
          <w:rFonts w:cs="宋体"/>
          <w:b/>
          <w:bCs/>
          <w:sz w:val="24"/>
          <w:szCs w:val="24"/>
        </w:rPr>
        <w:t>26</w:t>
      </w:r>
      <w:r>
        <w:rPr>
          <w:rFonts w:cs="宋体"/>
          <w:b/>
          <w:bCs/>
          <w:sz w:val="24"/>
          <w:szCs w:val="24"/>
        </w:rPr>
        <w:t>日</w:t>
      </w:r>
      <w:bookmarkEnd w:id="22"/>
    </w:p>
    <w:sectPr w:rsidR="00000000">
      <w:headerReference w:type="default" r:id="rId7"/>
      <w:footerReference w:type="default" r:id="rId8"/>
      <w:pgSz w:w="11915" w:h="16839"/>
      <w:pgMar w:top="1440" w:right="1531" w:bottom="1135" w:left="1531" w:header="851" w:footer="992" w:gutter="0"/>
      <w:pgNumType w:start="1"/>
      <w:cols w:space="720"/>
      <w:titlePg/>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00000" w:rsidRDefault="00014E72">
      <w:r>
        <w:separator/>
      </w:r>
    </w:p>
  </w:endnote>
  <w:endnote w:type="continuationSeparator" w:id="0">
    <w:p w:rsidR="00000000" w:rsidRDefault="00014E7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mbria">
    <w:panose1 w:val="02040503050406030204"/>
    <w:charset w:val="00"/>
    <w:family w:val="roman"/>
    <w:pitch w:val="variable"/>
    <w:sig w:usb0="A00002EF" w:usb1="4000004B" w:usb2="00000000" w:usb3="00000000" w:csb0="0000009F" w:csb1="00000000"/>
  </w:font>
  <w:font w:name="Microsoft YaHei UI">
    <w:charset w:val="86"/>
    <w:family w:val="swiss"/>
    <w:pitch w:val="default"/>
    <w:sig w:usb0="80000287" w:usb1="2ACF3C50" w:usb2="00000016" w:usb3="00000000" w:csb0="0004001F" w:csb1="00000000"/>
  </w:font>
  <w:font w:name="Calibri">
    <w:panose1 w:val="020F0502020204030204"/>
    <w:charset w:val="00"/>
    <w:family w:val="swiss"/>
    <w:pitch w:val="variable"/>
    <w:sig w:usb0="A00002EF" w:usb1="4000207B" w:usb2="00000000" w:usb3="00000000" w:csb0="0000009F" w:csb1="00000000"/>
  </w:font>
  <w:font w:name="Arial Unicode MS">
    <w:panose1 w:val="020B0604020202020204"/>
    <w:charset w:val="86"/>
    <w:family w:val="swiss"/>
    <w:pitch w:val="variable"/>
    <w:sig w:usb0="F7FFAFFF" w:usb1="E9DFFFFF" w:usb2="0000003F" w:usb3="00000000" w:csb0="003F01FF" w:csb1="00000000"/>
  </w:font>
  <w:font w:name="仿宋">
    <w:charset w:val="86"/>
    <w:family w:val="modern"/>
    <w:pitch w:val="default"/>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014E72">
    <w:pPr>
      <w:jc w:val="center"/>
    </w:pPr>
    <w:r>
      <w:rPr>
        <w:rFonts w:cs="宋体"/>
        <w:sz w:val="18"/>
        <w:szCs w:val="18"/>
      </w:rPr>
      <w:t>第</w:t>
    </w:r>
    <w:r>
      <w:t xml:space="preserve"> </w:t>
    </w:r>
    <w:r>
      <w:rPr>
        <w:rFonts w:cs="宋体"/>
        <w:sz w:val="18"/>
        <w:szCs w:val="18"/>
      </w:rPr>
      <w:fldChar w:fldCharType="begin"/>
    </w:r>
    <w:r>
      <w:rPr>
        <w:rFonts w:cs="宋体"/>
        <w:sz w:val="18"/>
        <w:szCs w:val="18"/>
      </w:rPr>
      <w:instrText xml:space="preserve">PAGE </w:instrText>
    </w:r>
    <w:r>
      <w:rPr>
        <w:rFonts w:cs="宋体"/>
        <w:sz w:val="18"/>
        <w:szCs w:val="18"/>
      </w:rPr>
      <w:fldChar w:fldCharType="separate"/>
    </w:r>
    <w:r>
      <w:rPr>
        <w:rFonts w:cs="宋体" w:hint="default"/>
        <w:noProof/>
        <w:sz w:val="18"/>
        <w:szCs w:val="18"/>
      </w:rPr>
      <w:t>2</w:t>
    </w:r>
    <w:r>
      <w:rPr>
        <w:rFonts w:cs="宋体"/>
        <w:sz w:val="18"/>
        <w:szCs w:val="18"/>
      </w:rPr>
      <w:fldChar w:fldCharType="end"/>
    </w:r>
    <w:r>
      <w:rPr>
        <w:rFonts w:cs="宋体"/>
        <w:sz w:val="18"/>
        <w:szCs w:val="18"/>
        <w:lang w:val="zh-CN"/>
      </w:rPr>
      <w:t>页</w:t>
    </w:r>
    <w:r>
      <w:rPr>
        <w:rFonts w:cs="宋体"/>
        <w:sz w:val="18"/>
        <w:szCs w:val="18"/>
        <w:lang w:val="zh-CN"/>
      </w:rPr>
      <w:t xml:space="preserve"> </w:t>
    </w:r>
    <w:r>
      <w:rPr>
        <w:rFonts w:cs="宋体"/>
        <w:sz w:val="18"/>
        <w:szCs w:val="18"/>
        <w:lang w:val="zh-CN"/>
      </w:rPr>
      <w:t>共</w:t>
    </w:r>
    <w:r>
      <w:t xml:space="preserve"> </w:t>
    </w:r>
    <w:r>
      <w:rPr>
        <w:rFonts w:cs="宋体"/>
        <w:sz w:val="18"/>
        <w:szCs w:val="18"/>
      </w:rPr>
      <w:fldChar w:fldCharType="begin"/>
    </w:r>
    <w:r>
      <w:rPr>
        <w:rFonts w:cs="宋体"/>
        <w:sz w:val="18"/>
        <w:szCs w:val="18"/>
      </w:rPr>
      <w:instrText xml:space="preserve">NUMPAGES  </w:instrText>
    </w:r>
    <w:r>
      <w:rPr>
        <w:rFonts w:cs="宋体"/>
        <w:sz w:val="18"/>
        <w:szCs w:val="18"/>
      </w:rPr>
      <w:fldChar w:fldCharType="separate"/>
    </w:r>
    <w:r>
      <w:rPr>
        <w:rFonts w:cs="宋体" w:hint="default"/>
        <w:noProof/>
        <w:sz w:val="18"/>
        <w:szCs w:val="18"/>
      </w:rPr>
      <w:t>2</w:t>
    </w:r>
    <w:r>
      <w:rPr>
        <w:rFonts w:cs="宋体"/>
        <w:sz w:val="18"/>
        <w:szCs w:val="18"/>
      </w:rPr>
      <w:fldChar w:fldCharType="end"/>
    </w:r>
    <w:r>
      <w:rPr>
        <w:rFonts w:cs="宋体"/>
        <w:sz w:val="18"/>
        <w:szCs w:val="18"/>
      </w:rPr>
      <w:t>页</w:t>
    </w:r>
    <w: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00000" w:rsidRDefault="00014E72">
      <w:r>
        <w:separator/>
      </w:r>
    </w:p>
  </w:footnote>
  <w:footnote w:type="continuationSeparator" w:id="0">
    <w:p w:rsidR="00000000" w:rsidRDefault="00014E7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014E72">
    <w:pPr>
      <w:pStyle w:val="a8"/>
      <w:jc w:val="right"/>
    </w:pPr>
    <w:r>
      <w:rPr>
        <w:rFonts w:cs="宋体"/>
      </w:rPr>
      <w:t>东方红短债债券型证券投资基金暂停大额申购（含定期定额投资、转换转入）业务的公告</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D77C66CF"/>
    <w:multiLevelType w:val="singleLevel"/>
    <w:tmpl w:val="D77C66CF"/>
    <w:lvl w:ilvl="0">
      <w:start w:val="1"/>
      <w:numFmt w:val="decimal"/>
      <w:suff w:val="nothing"/>
      <w:lvlText w:val="（%1）"/>
      <w:lvlJc w:val="left"/>
    </w:lvl>
  </w:abstractNum>
  <w:abstractNum w:abstractNumId="1">
    <w:nsid w:val="4267A9DA"/>
    <w:multiLevelType w:val="multilevel"/>
    <w:tmpl w:val="4267A9DA"/>
    <w:lvl w:ilvl="0">
      <w:start w:val="1"/>
      <w:numFmt w:val="decimal"/>
      <w:lvlText w:val="%1."/>
      <w:lvlJc w:val="left"/>
      <w:pPr>
        <w:ind w:left="425" w:hanging="425"/>
      </w:pPr>
      <w:rPr>
        <w:sz w:val="24"/>
        <w:szCs w:val="24"/>
      </w:rPr>
    </w:lvl>
    <w:lvl w:ilvl="1">
      <w:start w:val="1"/>
      <w:numFmt w:val="decimal"/>
      <w:suff w:val="space"/>
      <w:lvlText w:val="%1.%2"/>
      <w:lvlJc w:val="left"/>
      <w:pPr>
        <w:ind w:left="3148" w:hanging="454"/>
      </w:pPr>
    </w:lvl>
    <w:lvl w:ilvl="2">
      <w:start w:val="1"/>
      <w:numFmt w:val="decimal"/>
      <w:suff w:val="space"/>
      <w:lvlText w:val="%1.%2.%3"/>
      <w:lvlJc w:val="left"/>
      <w:pPr>
        <w:ind w:left="1050" w:hanging="624"/>
      </w:pPr>
      <w:rPr>
        <w:sz w:val="24"/>
        <w:szCs w:val="24"/>
      </w:rPr>
    </w:lvl>
    <w:lvl w:ilvl="3">
      <w:start w:val="1"/>
      <w:numFmt w:val="decimal"/>
      <w:suff w:val="space"/>
      <w:lvlText w:val="%1.%2.%3.%4"/>
      <w:lvlJc w:val="left"/>
      <w:pPr>
        <w:ind w:left="794" w:hanging="794"/>
      </w:pPr>
    </w:lvl>
    <w:lvl w:ilvl="4">
      <w:start w:val="1"/>
      <w:numFmt w:val="decimal"/>
      <w:suff w:val="space"/>
      <w:lvlText w:val="%1.%2.%3.%4.%5"/>
      <w:lvlJc w:val="left"/>
      <w:pPr>
        <w:ind w:left="1021" w:hanging="1021"/>
      </w:pPr>
    </w:lvl>
    <w:lvl w:ilvl="5">
      <w:start w:val="1"/>
      <w:numFmt w:val="decimal"/>
      <w:suff w:val="space"/>
      <w:lvlText w:val="%1.%2.%3.%4.%5.%6"/>
      <w:lvlJc w:val="left"/>
      <w:pPr>
        <w:ind w:left="1021" w:hanging="1021"/>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mirrorMargins/>
  <w:bordersDoNotSurroundHeader/>
  <w:bordersDoNotSurroundFooter/>
  <w:trackRevisions/>
  <w:doNotTrackMoves/>
  <w:defaultTabStop w:val="420"/>
  <w:drawingGridHorizontalSpacing w:val="106"/>
  <w:drawingGridVerticalSpacing w:val="157"/>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611D5B"/>
    <w:rsid w:val="00014E72"/>
    <w:rsid w:val="00073146"/>
    <w:rsid w:val="001F5FD8"/>
    <w:rsid w:val="00330FAD"/>
    <w:rsid w:val="00525661"/>
    <w:rsid w:val="00611D5B"/>
    <w:rsid w:val="006774C0"/>
    <w:rsid w:val="00DE5574"/>
    <w:rsid w:val="00E33EE9"/>
    <w:rsid w:val="1076422C"/>
    <w:rsid w:val="3F725EE5"/>
    <w:rsid w:val="4D0521EB"/>
    <w:rsid w:val="53F02ABD"/>
    <w:rsid w:val="5B69180D"/>
    <w:rsid w:val="64035477"/>
    <w:rsid w:val="668A1AEF"/>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strokecolor="#739cc3">
      <v:fill angle="90" type="gradient">
        <o:fill v:ext="view" type="gradientUnscaled"/>
      </v:fill>
      <v:stroke color="#739cc3" weight="1.25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宋体" w:eastAsia="宋体" w:hAnsi="宋体" w:cs="Times New Roman"/>
        <w:lang w:val="en-US" w:eastAsia="zh-CN" w:bidi="ar-SA"/>
      </w:rPr>
    </w:rPrDefault>
    <w:pPrDefault/>
  </w:docDefaults>
  <w:latentStyles w:defLockedState="0" w:defUIPriority="99" w:defSemiHidden="1" w:defUnhideWhenUsed="1" w:defQFormat="0" w:count="267">
    <w:lsdException w:name="Normal" w:semiHidden="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0"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toc 1" w:semiHidden="0" w:uiPriority="39" w:unhideWhenUsed="0"/>
    <w:lsdException w:name="toc 2" w:semiHidden="0" w:uiPriority="39" w:unhideWhenUsed="0"/>
    <w:lsdException w:name="toc 3" w:semiHidden="0" w:uiPriority="39" w:unhideWhenUsed="0"/>
    <w:lsdException w:name="toc 4" w:semiHidden="0" w:uiPriority="39" w:unhideWhenUsed="0"/>
    <w:lsdException w:name="toc 5" w:semiHidden="0" w:uiPriority="39" w:unhideWhenUsed="0"/>
    <w:lsdException w:name="toc 6" w:semiHidden="0" w:uiPriority="39" w:unhideWhenUsed="0"/>
    <w:lsdException w:name="toc 7" w:semiHidden="0" w:uiPriority="39" w:unhideWhenUsed="0"/>
    <w:lsdException w:name="toc 8" w:semiHidden="0" w:uiPriority="39" w:unhideWhenUsed="0"/>
    <w:lsdException w:name="toc 9" w:semiHidden="0" w:uiPriority="39" w:unhideWhenUsed="0"/>
    <w:lsdException w:name="footnote text" w:semiHidden="0" w:uiPriority="0" w:unhideWhenUsed="0"/>
    <w:lsdException w:name="annotation text" w:semiHidden="0"/>
    <w:lsdException w:name="header" w:semiHidden="0" w:uiPriority="0" w:unhideWhenUsed="0"/>
    <w:lsdException w:name="footer" w:semiHidden="0" w:uiPriority="0" w:unhideWhenUsed="0"/>
    <w:lsdException w:name="caption" w:uiPriority="35" w:qFormat="1"/>
    <w:lsdException w:name="footnote reference" w:semiHidden="0" w:uiPriority="0" w:unhideWhenUsed="0"/>
    <w:lsdException w:name="annotation reference" w:semiHidden="0"/>
    <w:lsdException w:name="page number" w:semiHidden="0" w:uiPriority="0" w:unhideWhenUsed="0"/>
    <w:lsdException w:name="Title" w:semiHidden="0" w:uiPriority="10" w:unhideWhenUsed="0" w:qFormat="1"/>
    <w:lsdException w:name="Default Paragraph Font" w:semiHidden="0"/>
    <w:lsdException w:name="Subtitle" w:semiHidden="0" w:uiPriority="0" w:unhideWhenUsed="0" w:qFormat="1"/>
    <w:lsdException w:name="Date" w:semiHidden="0" w:uiPriority="0" w:unhideWhenUsed="0"/>
    <w:lsdException w:name="Hyperlink" w:semiHidden="0"/>
    <w:lsdException w:name="FollowedHyperlink" w:semiHidden="0"/>
    <w:lsdException w:name="Strong" w:semiHidden="0" w:uiPriority="22" w:unhideWhenUsed="0" w:qFormat="1"/>
    <w:lsdException w:name="Emphasis" w:semiHidden="0" w:uiPriority="20" w:unhideWhenUsed="0" w:qFormat="1"/>
    <w:lsdException w:name="Document Map" w:semiHidden="0" w:uiPriority="0" w:unhideWhenUsed="0"/>
    <w:lsdException w:name="Normal (Web)" w:semiHidden="0" w:uiPriority="0" w:unhideWhenUsed="0"/>
    <w:lsdException w:name="HTML Preformatted" w:semiHidden="0"/>
    <w:lsdException w:name="Normal Table" w:semiHidden="0"/>
    <w:lsdException w:name="annotation subject" w:semiHidden="0"/>
    <w:lsdException w:name="Balloon Text" w:semiHidden="0"/>
    <w:lsdException w:name="Table Grid" w:semiHidden="0"/>
    <w:lsdException w:name="No Spacing" w:semiHidden="0" w:unhideWhenUsed="0" w:qFormat="1"/>
    <w:lsdException w:name="List Paragraph" w:semiHidden="0" w:unhideWhenUsed="0" w:qFormat="1"/>
    <w:lsdException w:name="Quote" w:semiHidden="0" w:unhideWhenUsed="0" w:qFormat="1"/>
    <w:lsdException w:name="Intense Quote" w:semiHidden="0" w:unhideWhenUsed="0" w:qFormat="1"/>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99"/>
    <w:qFormat/>
    <w:pPr>
      <w:widowControl w:val="0"/>
      <w:jc w:val="both"/>
    </w:pPr>
    <w:rPr>
      <w:rFonts w:hint="eastAsia"/>
      <w:kern w:val="2"/>
      <w:sz w:val="21"/>
    </w:rPr>
  </w:style>
  <w:style w:type="paragraph" w:styleId="1">
    <w:name w:val="heading 1"/>
    <w:basedOn w:val="a"/>
    <w:next w:val="a"/>
    <w:link w:val="1Char"/>
    <w:uiPriority w:val="9"/>
    <w:qFormat/>
    <w:pPr>
      <w:keepNext/>
      <w:keepLines/>
      <w:spacing w:before="340" w:after="330" w:line="576" w:lineRule="auto"/>
      <w:outlineLvl w:val="0"/>
    </w:pPr>
    <w:rPr>
      <w:b/>
      <w:bCs/>
      <w:kern w:val="44"/>
      <w:sz w:val="44"/>
      <w:szCs w:val="44"/>
    </w:rPr>
  </w:style>
  <w:style w:type="paragraph" w:styleId="2">
    <w:name w:val="heading 2"/>
    <w:basedOn w:val="a"/>
    <w:next w:val="a"/>
    <w:link w:val="2Char"/>
    <w:uiPriority w:val="9"/>
    <w:qFormat/>
    <w:pPr>
      <w:keepNext/>
      <w:keepLines/>
      <w:spacing w:before="260" w:after="260" w:line="408" w:lineRule="auto"/>
      <w:outlineLvl w:val="1"/>
    </w:pPr>
    <w:rPr>
      <w:rFonts w:ascii="Cambria" w:eastAsia="Cambria" w:hAnsi="Cambria" w:hint="default"/>
      <w:b/>
      <w:bCs/>
      <w:kern w:val="0"/>
      <w:sz w:val="32"/>
      <w:szCs w:val="32"/>
    </w:rPr>
  </w:style>
  <w:style w:type="paragraph" w:styleId="3">
    <w:name w:val="heading 3"/>
    <w:basedOn w:val="a"/>
    <w:next w:val="a"/>
    <w:link w:val="3Char"/>
    <w:uiPriority w:val="9"/>
    <w:qFormat/>
    <w:pPr>
      <w:keepNext/>
      <w:keepLines/>
      <w:spacing w:before="260" w:after="260" w:line="408" w:lineRule="auto"/>
      <w:outlineLvl w:val="2"/>
    </w:pPr>
    <w:rPr>
      <w:b/>
      <w:bCs/>
      <w:kern w:val="0"/>
      <w:sz w:val="32"/>
      <w:szCs w:val="32"/>
    </w:rPr>
  </w:style>
  <w:style w:type="paragraph" w:styleId="4">
    <w:name w:val="heading 4"/>
    <w:basedOn w:val="a"/>
    <w:next w:val="a"/>
    <w:link w:val="4Char"/>
    <w:qFormat/>
    <w:pPr>
      <w:keepNext/>
      <w:keepLines/>
      <w:spacing w:before="240" w:after="290" w:line="372" w:lineRule="auto"/>
      <w:outlineLvl w:val="3"/>
    </w:pPr>
    <w:rPr>
      <w:rFonts w:ascii="Cambria" w:eastAsia="Cambria" w:hAnsi="Cambria" w:hint="default"/>
      <w:b/>
      <w:bCs/>
      <w:kern w:val="0"/>
      <w:sz w:val="24"/>
      <w:szCs w:val="24"/>
    </w:rPr>
  </w:style>
  <w:style w:type="paragraph" w:styleId="5">
    <w:name w:val="heading 5"/>
    <w:basedOn w:val="a"/>
    <w:next w:val="a"/>
    <w:link w:val="5Char"/>
    <w:uiPriority w:val="9"/>
    <w:qFormat/>
    <w:pPr>
      <w:keepNext/>
      <w:keepLines/>
      <w:spacing w:before="240" w:after="290" w:line="372" w:lineRule="auto"/>
      <w:outlineLvl w:val="4"/>
    </w:pPr>
    <w:rPr>
      <w:b/>
      <w:bCs/>
      <w:sz w:val="24"/>
      <w:szCs w:val="24"/>
    </w:rPr>
  </w:style>
  <w:style w:type="paragraph" w:styleId="6">
    <w:name w:val="heading 6"/>
    <w:basedOn w:val="a"/>
    <w:next w:val="a"/>
    <w:link w:val="6Char"/>
    <w:uiPriority w:val="9"/>
    <w:qFormat/>
    <w:pPr>
      <w:keepNext/>
      <w:keepLines/>
      <w:spacing w:before="240" w:after="64" w:line="312" w:lineRule="auto"/>
      <w:outlineLvl w:val="5"/>
    </w:pPr>
    <w:rPr>
      <w:rFonts w:ascii="Cambria" w:hAnsi="Cambria" w:hint="default"/>
      <w:b/>
      <w:bCs/>
      <w:sz w:val="24"/>
      <w:szCs w:val="24"/>
    </w:rPr>
  </w:style>
  <w:style w:type="character" w:default="1" w:styleId="a0">
    <w:name w:val="Default Paragraph Font"/>
    <w:uiPriority w:val="99"/>
    <w:unhideWhenUsed/>
  </w:style>
  <w:style w:type="table" w:default="1" w:styleId="a1">
    <w:name w:val="Normal Table"/>
    <w:uiPriority w:val="99"/>
    <w:unhideWhenUsed/>
    <w:rPr>
      <w:rFonts w:cs="宋体" w:hint="eastAsia"/>
    </w:rPr>
    <w:tblPr>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link w:val="1"/>
    <w:locked/>
    <w:rPr>
      <w:b/>
      <w:bCs/>
      <w:kern w:val="44"/>
      <w:sz w:val="44"/>
      <w:szCs w:val="44"/>
    </w:rPr>
  </w:style>
  <w:style w:type="character" w:customStyle="1" w:styleId="2Char">
    <w:name w:val="标题 2 Char"/>
    <w:link w:val="2"/>
    <w:locked/>
    <w:rPr>
      <w:rFonts w:ascii="Cambria" w:eastAsia="宋体" w:hAnsi="Cambria" w:cs="宋体" w:hint="default"/>
      <w:b/>
      <w:bCs/>
      <w:kern w:val="2"/>
      <w:sz w:val="32"/>
      <w:szCs w:val="32"/>
    </w:rPr>
  </w:style>
  <w:style w:type="character" w:customStyle="1" w:styleId="3Char">
    <w:name w:val="标题 3 Char"/>
    <w:link w:val="3"/>
    <w:locked/>
    <w:rPr>
      <w:b/>
      <w:bCs/>
      <w:kern w:val="2"/>
      <w:sz w:val="32"/>
      <w:szCs w:val="32"/>
    </w:rPr>
  </w:style>
  <w:style w:type="character" w:customStyle="1" w:styleId="4Char">
    <w:name w:val="标题 4 Char"/>
    <w:link w:val="4"/>
    <w:locked/>
    <w:rPr>
      <w:rFonts w:ascii="Cambria" w:eastAsia="宋体" w:hAnsi="Cambria" w:cs="宋体" w:hint="default"/>
      <w:b/>
      <w:bCs/>
      <w:kern w:val="2"/>
      <w:sz w:val="24"/>
      <w:szCs w:val="24"/>
    </w:rPr>
  </w:style>
  <w:style w:type="character" w:customStyle="1" w:styleId="5Char">
    <w:name w:val="标题 5 Char"/>
    <w:link w:val="5"/>
    <w:locked/>
    <w:rPr>
      <w:b/>
      <w:bCs/>
      <w:kern w:val="2"/>
      <w:sz w:val="24"/>
      <w:szCs w:val="24"/>
    </w:rPr>
  </w:style>
  <w:style w:type="character" w:customStyle="1" w:styleId="6Char">
    <w:name w:val="标题 6 Char"/>
    <w:link w:val="6"/>
    <w:locked/>
    <w:rPr>
      <w:rFonts w:ascii="Cambria" w:eastAsia="宋体" w:hAnsi="Cambria" w:cs="宋体" w:hint="default"/>
      <w:b/>
      <w:bCs/>
      <w:kern w:val="2"/>
      <w:sz w:val="24"/>
      <w:szCs w:val="24"/>
    </w:rPr>
  </w:style>
  <w:style w:type="paragraph" w:styleId="a3">
    <w:name w:val="Document Map"/>
    <w:basedOn w:val="a"/>
    <w:link w:val="Char"/>
    <w:pPr>
      <w:shd w:val="clear" w:color="auto" w:fill="000080"/>
    </w:pPr>
  </w:style>
  <w:style w:type="character" w:customStyle="1" w:styleId="Char">
    <w:name w:val="文档结构图 Char"/>
    <w:link w:val="a3"/>
    <w:locked/>
    <w:rPr>
      <w:rFonts w:ascii="宋体" w:eastAsia="宋体" w:hAnsi="宋体" w:cs="宋体" w:hint="eastAsia"/>
      <w:kern w:val="2"/>
      <w:sz w:val="18"/>
      <w:szCs w:val="18"/>
    </w:rPr>
  </w:style>
  <w:style w:type="paragraph" w:styleId="a4">
    <w:name w:val="annotation text"/>
    <w:basedOn w:val="a"/>
    <w:link w:val="Char0"/>
    <w:uiPriority w:val="99"/>
    <w:unhideWhenUsed/>
    <w:pPr>
      <w:jc w:val="left"/>
    </w:pPr>
  </w:style>
  <w:style w:type="character" w:customStyle="1" w:styleId="Char0">
    <w:name w:val="批注文字 Char"/>
    <w:link w:val="a4"/>
    <w:uiPriority w:val="99"/>
    <w:semiHidden/>
    <w:rPr>
      <w:kern w:val="2"/>
      <w:sz w:val="21"/>
    </w:rPr>
  </w:style>
  <w:style w:type="paragraph" w:styleId="30">
    <w:name w:val="toc 3"/>
    <w:basedOn w:val="a"/>
    <w:next w:val="a"/>
    <w:uiPriority w:val="39"/>
  </w:style>
  <w:style w:type="paragraph" w:styleId="a5">
    <w:name w:val="Date"/>
    <w:basedOn w:val="a"/>
    <w:next w:val="a"/>
    <w:link w:val="Char1"/>
    <w:rPr>
      <w:sz w:val="32"/>
    </w:rPr>
  </w:style>
  <w:style w:type="character" w:customStyle="1" w:styleId="Char1">
    <w:name w:val="日期 Char"/>
    <w:link w:val="a5"/>
    <w:locked/>
    <w:rPr>
      <w:kern w:val="2"/>
      <w:sz w:val="21"/>
    </w:rPr>
  </w:style>
  <w:style w:type="paragraph" w:styleId="a6">
    <w:name w:val="Balloon Text"/>
    <w:basedOn w:val="a"/>
    <w:link w:val="Char2"/>
    <w:uiPriority w:val="99"/>
    <w:unhideWhenUsed/>
    <w:rPr>
      <w:sz w:val="18"/>
      <w:szCs w:val="18"/>
    </w:rPr>
  </w:style>
  <w:style w:type="character" w:customStyle="1" w:styleId="Char2">
    <w:name w:val="批注框文本 Char"/>
    <w:link w:val="a6"/>
    <w:locked/>
    <w:rPr>
      <w:kern w:val="2"/>
      <w:sz w:val="18"/>
      <w:szCs w:val="18"/>
    </w:rPr>
  </w:style>
  <w:style w:type="paragraph" w:styleId="a7">
    <w:name w:val="footer"/>
    <w:basedOn w:val="a"/>
    <w:link w:val="Char10"/>
    <w:pPr>
      <w:tabs>
        <w:tab w:val="center" w:pos="4153"/>
        <w:tab w:val="right" w:pos="8306"/>
      </w:tabs>
      <w:snapToGrid w:val="0"/>
      <w:jc w:val="left"/>
    </w:pPr>
    <w:rPr>
      <w:sz w:val="18"/>
      <w:szCs w:val="18"/>
    </w:rPr>
  </w:style>
  <w:style w:type="character" w:customStyle="1" w:styleId="Char10">
    <w:name w:val="页脚 Char1"/>
    <w:link w:val="a7"/>
    <w:locked/>
    <w:rPr>
      <w:kern w:val="2"/>
      <w:sz w:val="18"/>
      <w:szCs w:val="18"/>
    </w:rPr>
  </w:style>
  <w:style w:type="paragraph" w:styleId="a8">
    <w:name w:val="header"/>
    <w:basedOn w:val="a"/>
    <w:link w:val="Char3"/>
    <w:pPr>
      <w:pBdr>
        <w:bottom w:val="single" w:sz="6" w:space="1" w:color="auto"/>
      </w:pBdr>
      <w:tabs>
        <w:tab w:val="center" w:pos="4153"/>
        <w:tab w:val="right" w:pos="8306"/>
      </w:tabs>
      <w:snapToGrid w:val="0"/>
      <w:jc w:val="center"/>
    </w:pPr>
    <w:rPr>
      <w:sz w:val="18"/>
      <w:szCs w:val="18"/>
    </w:rPr>
  </w:style>
  <w:style w:type="character" w:customStyle="1" w:styleId="Char3">
    <w:name w:val="页眉 Char"/>
    <w:link w:val="a8"/>
    <w:locked/>
    <w:rPr>
      <w:kern w:val="2"/>
      <w:sz w:val="18"/>
      <w:szCs w:val="18"/>
    </w:rPr>
  </w:style>
  <w:style w:type="paragraph" w:styleId="10">
    <w:name w:val="toc 1"/>
    <w:basedOn w:val="a"/>
    <w:next w:val="a"/>
    <w:uiPriority w:val="39"/>
    <w:pPr>
      <w:tabs>
        <w:tab w:val="right" w:leader="dot" w:pos="8835"/>
      </w:tabs>
    </w:pPr>
  </w:style>
  <w:style w:type="paragraph" w:styleId="a9">
    <w:name w:val="Subtitle"/>
    <w:basedOn w:val="2"/>
    <w:next w:val="3"/>
    <w:link w:val="Char11"/>
    <w:qFormat/>
    <w:pPr>
      <w:spacing w:before="240" w:after="60" w:line="312" w:lineRule="auto"/>
      <w:jc w:val="left"/>
    </w:pPr>
    <w:rPr>
      <w:rFonts w:eastAsia="宋体"/>
      <w:bCs w:val="0"/>
      <w:kern w:val="24"/>
      <w:sz w:val="24"/>
    </w:rPr>
  </w:style>
  <w:style w:type="character" w:customStyle="1" w:styleId="Char11">
    <w:name w:val="副标题 Char1"/>
    <w:link w:val="a9"/>
    <w:locked/>
    <w:rPr>
      <w:rFonts w:ascii="Cambria" w:eastAsia="宋体" w:hAnsi="Cambria" w:cs="宋体" w:hint="default"/>
      <w:b/>
      <w:bCs w:val="0"/>
      <w:kern w:val="24"/>
      <w:sz w:val="24"/>
      <w:szCs w:val="32"/>
    </w:rPr>
  </w:style>
  <w:style w:type="paragraph" w:styleId="aa">
    <w:name w:val="footnote text"/>
    <w:basedOn w:val="a"/>
    <w:link w:val="Char4"/>
    <w:pPr>
      <w:snapToGrid w:val="0"/>
      <w:jc w:val="left"/>
    </w:pPr>
    <w:rPr>
      <w:sz w:val="18"/>
      <w:szCs w:val="18"/>
    </w:rPr>
  </w:style>
  <w:style w:type="character" w:customStyle="1" w:styleId="Char4">
    <w:name w:val="脚注文本 Char"/>
    <w:link w:val="aa"/>
    <w:locked/>
    <w:rPr>
      <w:kern w:val="2"/>
      <w:sz w:val="18"/>
      <w:szCs w:val="18"/>
    </w:rPr>
  </w:style>
  <w:style w:type="paragraph" w:styleId="20">
    <w:name w:val="toc 2"/>
    <w:basedOn w:val="a"/>
    <w:next w:val="a"/>
    <w:uiPriority w:val="39"/>
    <w:pPr>
      <w:ind w:leftChars="200" w:left="420"/>
    </w:pPr>
  </w:style>
  <w:style w:type="paragraph" w:styleId="HTML">
    <w:name w:val="HTML Preformatted"/>
    <w:basedOn w:val="a"/>
    <w:uiPriority w:val="99"/>
    <w:unhideWhenUse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kern w:val="0"/>
      <w:sz w:val="24"/>
      <w:szCs w:val="24"/>
    </w:rPr>
  </w:style>
  <w:style w:type="paragraph" w:styleId="ab">
    <w:name w:val="Normal (Web)"/>
    <w:basedOn w:val="a"/>
    <w:pPr>
      <w:widowControl/>
      <w:spacing w:before="100" w:beforeAutospacing="1" w:after="100" w:afterAutospacing="1"/>
      <w:jc w:val="left"/>
    </w:pPr>
    <w:rPr>
      <w:kern w:val="0"/>
      <w:sz w:val="24"/>
    </w:rPr>
  </w:style>
  <w:style w:type="paragraph" w:styleId="ac">
    <w:name w:val="Title"/>
    <w:basedOn w:val="1"/>
    <w:next w:val="2"/>
    <w:link w:val="Char5"/>
    <w:uiPriority w:val="10"/>
    <w:qFormat/>
    <w:pPr>
      <w:keepNext w:val="0"/>
      <w:keepLines w:val="0"/>
      <w:spacing w:before="240" w:after="60"/>
      <w:jc w:val="center"/>
    </w:pPr>
    <w:rPr>
      <w:rFonts w:ascii="Cambria" w:hAnsi="Cambria" w:hint="default"/>
      <w:kern w:val="0"/>
      <w:sz w:val="32"/>
      <w:szCs w:val="32"/>
    </w:rPr>
  </w:style>
  <w:style w:type="character" w:customStyle="1" w:styleId="Char5">
    <w:name w:val="标题 Char"/>
    <w:link w:val="ac"/>
    <w:locked/>
    <w:rPr>
      <w:rFonts w:ascii="Cambria" w:eastAsia="Cambria" w:hAnsi="Cambria" w:cs="宋体" w:hint="default"/>
      <w:b/>
      <w:bCs/>
      <w:kern w:val="2"/>
      <w:sz w:val="32"/>
      <w:szCs w:val="32"/>
    </w:rPr>
  </w:style>
  <w:style w:type="paragraph" w:styleId="ad">
    <w:name w:val="annotation subject"/>
    <w:basedOn w:val="a4"/>
    <w:next w:val="a4"/>
    <w:link w:val="Char6"/>
    <w:uiPriority w:val="99"/>
    <w:unhideWhenUsed/>
    <w:rPr>
      <w:b/>
      <w:bCs/>
    </w:rPr>
  </w:style>
  <w:style w:type="character" w:customStyle="1" w:styleId="Char6">
    <w:name w:val="批注主题 Char"/>
    <w:link w:val="ad"/>
    <w:uiPriority w:val="99"/>
    <w:semiHidden/>
    <w:rPr>
      <w:b/>
      <w:bCs/>
      <w:kern w:val="2"/>
      <w:sz w:val="21"/>
    </w:rPr>
  </w:style>
  <w:style w:type="table" w:styleId="ae">
    <w:name w:val="Table Grid"/>
    <w:basedOn w:val="a1"/>
    <w:uiPriority w:val="99"/>
    <w:unhideWhenUse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
    <w:name w:val="FollowedHyperlink"/>
    <w:uiPriority w:val="99"/>
    <w:unhideWhenUsed/>
    <w:rPr>
      <w:color w:val="800080"/>
      <w:u w:val="single"/>
    </w:rPr>
  </w:style>
  <w:style w:type="character" w:styleId="af0">
    <w:name w:val="Hyperlink"/>
    <w:uiPriority w:val="99"/>
    <w:unhideWhenUsed/>
    <w:rPr>
      <w:color w:val="0000FF"/>
      <w:u w:val="single"/>
    </w:rPr>
  </w:style>
  <w:style w:type="character" w:styleId="af1">
    <w:name w:val="annotation reference"/>
    <w:uiPriority w:val="99"/>
    <w:unhideWhenUsed/>
    <w:rPr>
      <w:sz w:val="21"/>
      <w:szCs w:val="21"/>
    </w:rPr>
  </w:style>
  <w:style w:type="character" w:styleId="af2">
    <w:name w:val="footnote reference"/>
    <w:rPr>
      <w:vertAlign w:val="superscript"/>
    </w:rPr>
  </w:style>
  <w:style w:type="character" w:customStyle="1" w:styleId="11">
    <w:name w:val="标题 1 字符"/>
    <w:link w:val="1"/>
    <w:locked/>
    <w:rPr>
      <w:b/>
      <w:bCs/>
      <w:kern w:val="44"/>
      <w:sz w:val="44"/>
      <w:szCs w:val="44"/>
    </w:rPr>
  </w:style>
  <w:style w:type="character" w:customStyle="1" w:styleId="21">
    <w:name w:val="标题 2 字符"/>
    <w:link w:val="2"/>
    <w:locked/>
    <w:rPr>
      <w:rFonts w:ascii="Cambria" w:eastAsia="宋体" w:hAnsi="Cambria" w:cs="宋体" w:hint="default"/>
      <w:b/>
      <w:bCs/>
      <w:kern w:val="2"/>
      <w:sz w:val="32"/>
      <w:szCs w:val="32"/>
    </w:rPr>
  </w:style>
  <w:style w:type="character" w:customStyle="1" w:styleId="31">
    <w:name w:val="标题 3 字符"/>
    <w:link w:val="3"/>
    <w:locked/>
    <w:rPr>
      <w:b/>
      <w:bCs/>
      <w:kern w:val="2"/>
      <w:sz w:val="32"/>
      <w:szCs w:val="32"/>
    </w:rPr>
  </w:style>
  <w:style w:type="character" w:customStyle="1" w:styleId="40">
    <w:name w:val="标题 4 字符"/>
    <w:link w:val="4"/>
    <w:locked/>
    <w:rPr>
      <w:rFonts w:ascii="Cambria" w:eastAsia="宋体" w:hAnsi="Cambria" w:cs="宋体" w:hint="default"/>
      <w:b/>
      <w:bCs/>
      <w:kern w:val="2"/>
      <w:sz w:val="24"/>
      <w:szCs w:val="24"/>
    </w:rPr>
  </w:style>
  <w:style w:type="character" w:customStyle="1" w:styleId="50">
    <w:name w:val="标题 5 字符"/>
    <w:link w:val="5"/>
    <w:locked/>
    <w:rPr>
      <w:b/>
      <w:bCs/>
      <w:kern w:val="2"/>
      <w:sz w:val="24"/>
      <w:szCs w:val="24"/>
    </w:rPr>
  </w:style>
  <w:style w:type="character" w:customStyle="1" w:styleId="60">
    <w:name w:val="标题 6 字符"/>
    <w:link w:val="6"/>
    <w:locked/>
    <w:rPr>
      <w:rFonts w:ascii="Cambria" w:eastAsia="宋体" w:hAnsi="Cambria" w:cs="宋体" w:hint="default"/>
      <w:b/>
      <w:bCs/>
      <w:kern w:val="2"/>
      <w:sz w:val="24"/>
      <w:szCs w:val="24"/>
    </w:rPr>
  </w:style>
  <w:style w:type="character" w:customStyle="1" w:styleId="af3">
    <w:name w:val="文档结构图 字符"/>
    <w:link w:val="a3"/>
    <w:locked/>
    <w:rPr>
      <w:rFonts w:ascii="Microsoft YaHei UI" w:eastAsia="Microsoft YaHei UI" w:hAnsi="Microsoft YaHei UI" w:cs="Microsoft YaHei UI" w:hint="eastAsia"/>
      <w:kern w:val="2"/>
      <w:sz w:val="18"/>
      <w:szCs w:val="18"/>
    </w:rPr>
  </w:style>
  <w:style w:type="character" w:customStyle="1" w:styleId="af4">
    <w:name w:val="日期 字符"/>
    <w:link w:val="a5"/>
    <w:locked/>
    <w:rPr>
      <w:kern w:val="2"/>
      <w:sz w:val="21"/>
    </w:rPr>
  </w:style>
  <w:style w:type="character" w:customStyle="1" w:styleId="Char12">
    <w:name w:val="批注框文本 Char1"/>
    <w:link w:val="a6"/>
    <w:locked/>
    <w:rPr>
      <w:kern w:val="2"/>
      <w:sz w:val="18"/>
      <w:szCs w:val="18"/>
    </w:rPr>
  </w:style>
  <w:style w:type="character" w:customStyle="1" w:styleId="Char7">
    <w:name w:val="页脚 Char"/>
    <w:link w:val="a7"/>
    <w:locked/>
    <w:rPr>
      <w:kern w:val="2"/>
      <w:sz w:val="18"/>
      <w:szCs w:val="18"/>
    </w:rPr>
  </w:style>
  <w:style w:type="character" w:customStyle="1" w:styleId="af5">
    <w:name w:val="页眉 字符"/>
    <w:link w:val="a8"/>
    <w:locked/>
    <w:rPr>
      <w:kern w:val="2"/>
      <w:sz w:val="18"/>
      <w:szCs w:val="18"/>
    </w:rPr>
  </w:style>
  <w:style w:type="character" w:customStyle="1" w:styleId="Char8">
    <w:name w:val="副标题 Char"/>
    <w:link w:val="a9"/>
    <w:locked/>
    <w:rPr>
      <w:rFonts w:ascii="Cambria" w:eastAsia="Cambria" w:hAnsi="Cambria" w:cs="宋体" w:hint="default"/>
      <w:b/>
      <w:bCs/>
      <w:kern w:val="24"/>
      <w:sz w:val="32"/>
      <w:szCs w:val="32"/>
    </w:rPr>
  </w:style>
  <w:style w:type="character" w:customStyle="1" w:styleId="Char13">
    <w:name w:val="脚注文本 Char1"/>
    <w:link w:val="aa"/>
    <w:locked/>
    <w:rPr>
      <w:kern w:val="2"/>
      <w:sz w:val="18"/>
      <w:szCs w:val="18"/>
    </w:rPr>
  </w:style>
  <w:style w:type="character" w:customStyle="1" w:styleId="af6">
    <w:name w:val="标题 字符"/>
    <w:link w:val="ac"/>
    <w:locked/>
    <w:rPr>
      <w:rFonts w:ascii="Cambria" w:eastAsia="宋体" w:hAnsi="Cambria" w:cs="宋体" w:hint="default"/>
      <w:b/>
      <w:bCs/>
      <w:kern w:val="2"/>
      <w:sz w:val="32"/>
      <w:szCs w:val="32"/>
    </w:rPr>
  </w:style>
  <w:style w:type="character" w:customStyle="1" w:styleId="110">
    <w:name w:val="标题 1 字符1"/>
    <w:link w:val="1"/>
    <w:locked/>
    <w:rPr>
      <w:b/>
      <w:bCs/>
      <w:kern w:val="44"/>
      <w:sz w:val="44"/>
      <w:szCs w:val="44"/>
    </w:rPr>
  </w:style>
  <w:style w:type="character" w:customStyle="1" w:styleId="210">
    <w:name w:val="标题 2 字符1"/>
    <w:link w:val="2"/>
    <w:locked/>
    <w:rPr>
      <w:rFonts w:ascii="Cambria" w:eastAsia="宋体" w:hAnsi="Cambria" w:cs="宋体" w:hint="default"/>
      <w:b/>
      <w:bCs/>
      <w:sz w:val="32"/>
      <w:szCs w:val="32"/>
    </w:rPr>
  </w:style>
  <w:style w:type="character" w:customStyle="1" w:styleId="310">
    <w:name w:val="标题 3 字符1"/>
    <w:link w:val="3"/>
    <w:locked/>
    <w:rPr>
      <w:b/>
      <w:bCs/>
      <w:sz w:val="32"/>
      <w:szCs w:val="32"/>
    </w:rPr>
  </w:style>
  <w:style w:type="character" w:customStyle="1" w:styleId="41">
    <w:name w:val="标题 4 字符1"/>
    <w:link w:val="4"/>
    <w:locked/>
    <w:rPr>
      <w:rFonts w:ascii="Cambria" w:eastAsia="宋体" w:hAnsi="Cambria" w:cs="宋体" w:hint="default"/>
      <w:b/>
      <w:bCs/>
      <w:sz w:val="24"/>
      <w:szCs w:val="24"/>
    </w:rPr>
  </w:style>
  <w:style w:type="character" w:customStyle="1" w:styleId="12">
    <w:name w:val="文档结构图 字符1"/>
    <w:link w:val="a3"/>
    <w:locked/>
    <w:rPr>
      <w:rFonts w:ascii="宋体" w:eastAsia="宋体" w:hAnsi="宋体" w:cs="宋体" w:hint="eastAsia"/>
      <w:kern w:val="2"/>
      <w:sz w:val="18"/>
      <w:szCs w:val="18"/>
    </w:rPr>
  </w:style>
  <w:style w:type="character" w:customStyle="1" w:styleId="13">
    <w:name w:val="日期 字符1"/>
    <w:link w:val="a5"/>
    <w:locked/>
    <w:rPr>
      <w:rFonts w:ascii="宋体" w:eastAsia="宋体" w:hAnsi="宋体" w:cs="宋体" w:hint="eastAsia"/>
      <w:kern w:val="2"/>
      <w:sz w:val="32"/>
    </w:rPr>
  </w:style>
  <w:style w:type="character" w:customStyle="1" w:styleId="af7">
    <w:name w:val="批注框文本 字符"/>
    <w:link w:val="a6"/>
    <w:locked/>
    <w:rPr>
      <w:kern w:val="2"/>
      <w:sz w:val="18"/>
      <w:szCs w:val="18"/>
    </w:rPr>
  </w:style>
  <w:style w:type="character" w:customStyle="1" w:styleId="af8">
    <w:name w:val="页脚 字符"/>
    <w:link w:val="a7"/>
    <w:locked/>
    <w:rPr>
      <w:kern w:val="2"/>
      <w:sz w:val="18"/>
      <w:szCs w:val="18"/>
    </w:rPr>
  </w:style>
  <w:style w:type="character" w:customStyle="1" w:styleId="22">
    <w:name w:val="页眉 字符2"/>
    <w:link w:val="a8"/>
    <w:locked/>
    <w:rPr>
      <w:kern w:val="2"/>
      <w:sz w:val="18"/>
      <w:szCs w:val="18"/>
    </w:rPr>
  </w:style>
  <w:style w:type="character" w:customStyle="1" w:styleId="af9">
    <w:name w:val="副标题 字符"/>
    <w:link w:val="a9"/>
    <w:locked/>
    <w:rPr>
      <w:rFonts w:ascii="Calibri" w:eastAsia="宋体" w:hAnsi="Calibri" w:cs="宋体" w:hint="default"/>
      <w:b/>
      <w:bCs/>
      <w:kern w:val="24"/>
      <w:sz w:val="32"/>
      <w:szCs w:val="32"/>
    </w:rPr>
  </w:style>
  <w:style w:type="character" w:customStyle="1" w:styleId="afa">
    <w:name w:val="脚注文本 字符"/>
    <w:link w:val="aa"/>
    <w:locked/>
    <w:rPr>
      <w:kern w:val="2"/>
      <w:sz w:val="18"/>
      <w:szCs w:val="18"/>
    </w:rPr>
  </w:style>
  <w:style w:type="character" w:customStyle="1" w:styleId="14">
    <w:name w:val="标题 字符1"/>
    <w:link w:val="ac"/>
    <w:locked/>
    <w:rPr>
      <w:rFonts w:ascii="Cambria" w:eastAsia="Cambria" w:hAnsi="Cambria" w:cs="宋体" w:hint="default"/>
      <w:b/>
      <w:bCs/>
      <w:sz w:val="32"/>
      <w:szCs w:val="32"/>
    </w:rPr>
  </w:style>
  <w:style w:type="paragraph" w:customStyle="1" w:styleId="XBRLTitle4">
    <w:name w:val="XBRLTitle4"/>
    <w:basedOn w:val="a9"/>
    <w:next w:val="4"/>
    <w:pPr>
      <w:numPr>
        <w:ilvl w:val="3"/>
        <w:numId w:val="1"/>
      </w:numPr>
      <w:spacing w:beforeLines="50" w:after="0"/>
    </w:pPr>
    <w:rPr>
      <w:bCs/>
    </w:rPr>
  </w:style>
  <w:style w:type="paragraph" w:customStyle="1" w:styleId="XBRL1">
    <w:name w:val="XBRL标题1"/>
    <w:basedOn w:val="1"/>
    <w:next w:val="2"/>
    <w:pPr>
      <w:spacing w:beforeLines="50" w:after="0"/>
      <w:jc w:val="center"/>
    </w:pPr>
    <w:rPr>
      <w:rFonts w:ascii="Cambria" w:hAnsi="Cambria" w:hint="default"/>
      <w:sz w:val="24"/>
    </w:rPr>
  </w:style>
  <w:style w:type="paragraph" w:customStyle="1" w:styleId="msonormal1">
    <w:name w:val="msonormal1"/>
    <w:basedOn w:val="a"/>
    <w:pPr>
      <w:widowControl/>
      <w:spacing w:before="100" w:beforeAutospacing="1" w:after="100" w:afterAutospacing="1"/>
      <w:jc w:val="left"/>
    </w:pPr>
    <w:rPr>
      <w:kern w:val="0"/>
      <w:sz w:val="24"/>
    </w:rPr>
  </w:style>
  <w:style w:type="paragraph" w:customStyle="1" w:styleId="afb">
    <w:name w:val="次标题"/>
    <w:basedOn w:val="3"/>
    <w:next w:val="a"/>
    <w:pPr>
      <w:spacing w:before="120" w:after="120"/>
      <w:jc w:val="left"/>
    </w:pPr>
    <w:rPr>
      <w:sz w:val="21"/>
    </w:rPr>
  </w:style>
  <w:style w:type="paragraph" w:customStyle="1" w:styleId="XBRL3">
    <w:name w:val="XBRL标题3"/>
    <w:basedOn w:val="a9"/>
    <w:next w:val="4"/>
    <w:pPr>
      <w:spacing w:beforeLines="50" w:after="0"/>
    </w:pPr>
    <w:rPr>
      <w:bCs/>
    </w:rPr>
  </w:style>
  <w:style w:type="paragraph" w:customStyle="1" w:styleId="CharCharCharCharCharChar1CharCharChar">
    <w:name w:val="Char Char Char Char Char Char1 Char Char Char"/>
    <w:basedOn w:val="a"/>
    <w:pPr>
      <w:autoSpaceDE w:val="0"/>
      <w:autoSpaceDN w:val="0"/>
      <w:adjustRightInd w:val="0"/>
      <w:jc w:val="left"/>
    </w:pPr>
  </w:style>
  <w:style w:type="paragraph" w:customStyle="1" w:styleId="msotocheading0">
    <w:name w:val="msotocheading"/>
    <w:basedOn w:val="1"/>
    <w:next w:val="a"/>
    <w:pPr>
      <w:widowControl/>
      <w:spacing w:before="480" w:after="0" w:line="276" w:lineRule="auto"/>
      <w:jc w:val="left"/>
    </w:pPr>
    <w:rPr>
      <w:rFonts w:ascii="Cambria" w:hAnsi="Cambria" w:hint="default"/>
      <w:color w:val="365F91"/>
      <w:kern w:val="0"/>
      <w:sz w:val="24"/>
      <w:szCs w:val="24"/>
    </w:rPr>
  </w:style>
  <w:style w:type="paragraph" w:customStyle="1" w:styleId="XBRL4">
    <w:name w:val="XBRL标题4"/>
    <w:basedOn w:val="a9"/>
    <w:next w:val="4"/>
    <w:pPr>
      <w:spacing w:beforeLines="50" w:after="0"/>
    </w:pPr>
    <w:rPr>
      <w:bCs/>
    </w:rPr>
  </w:style>
  <w:style w:type="paragraph" w:customStyle="1" w:styleId="xl33">
    <w:name w:val="xl33"/>
    <w:basedOn w:val="a"/>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hAnsi="Arial Unicode MS"/>
      <w:kern w:val="0"/>
      <w:sz w:val="24"/>
    </w:rPr>
  </w:style>
  <w:style w:type="paragraph" w:customStyle="1" w:styleId="XBRLTitle6">
    <w:name w:val="XBRLTitle6"/>
    <w:basedOn w:val="a9"/>
    <w:next w:val="4"/>
    <w:pPr>
      <w:numPr>
        <w:ilvl w:val="5"/>
        <w:numId w:val="1"/>
      </w:numPr>
      <w:spacing w:beforeLines="50" w:after="0"/>
    </w:pPr>
    <w:rPr>
      <w:bCs/>
    </w:rPr>
  </w:style>
  <w:style w:type="paragraph" w:customStyle="1" w:styleId="XBRL2">
    <w:name w:val="XBRL标题2"/>
    <w:basedOn w:val="a9"/>
    <w:next w:val="4"/>
    <w:pPr>
      <w:spacing w:beforeLines="50" w:after="0"/>
    </w:pPr>
    <w:rPr>
      <w:bCs/>
    </w:rPr>
  </w:style>
  <w:style w:type="paragraph" w:customStyle="1" w:styleId="XBRL6">
    <w:name w:val="XBRL标题6"/>
    <w:basedOn w:val="a9"/>
    <w:next w:val="4"/>
    <w:pPr>
      <w:spacing w:beforeLines="50" w:after="0"/>
    </w:pPr>
    <w:rPr>
      <w:bCs/>
    </w:rPr>
  </w:style>
  <w:style w:type="paragraph" w:customStyle="1" w:styleId="XBRLTitle1">
    <w:name w:val="XBRLTitle1"/>
    <w:basedOn w:val="1"/>
    <w:next w:val="2"/>
    <w:pPr>
      <w:keepNext w:val="0"/>
      <w:keepLines w:val="0"/>
      <w:numPr>
        <w:numId w:val="1"/>
      </w:numPr>
      <w:spacing w:beforeLines="50" w:after="0"/>
      <w:jc w:val="center"/>
    </w:pPr>
    <w:rPr>
      <w:rFonts w:hAnsi="Cambria"/>
      <w:sz w:val="24"/>
    </w:rPr>
  </w:style>
  <w:style w:type="paragraph" w:customStyle="1" w:styleId="XBRLTitle2">
    <w:name w:val="XBRLTitle2"/>
    <w:basedOn w:val="a9"/>
    <w:next w:val="4"/>
    <w:pPr>
      <w:keepNext w:val="0"/>
      <w:keepLines w:val="0"/>
      <w:numPr>
        <w:ilvl w:val="1"/>
        <w:numId w:val="1"/>
      </w:numPr>
      <w:spacing w:beforeLines="50" w:after="0"/>
      <w:ind w:left="454"/>
    </w:pPr>
    <w:rPr>
      <w:rFonts w:ascii="宋体" w:hint="eastAsia"/>
      <w:bCs/>
    </w:rPr>
  </w:style>
  <w:style w:type="paragraph" w:customStyle="1" w:styleId="XBRLTitle5">
    <w:name w:val="XBRLTitle5"/>
    <w:basedOn w:val="a9"/>
    <w:next w:val="4"/>
    <w:pPr>
      <w:numPr>
        <w:ilvl w:val="4"/>
        <w:numId w:val="1"/>
      </w:numPr>
      <w:spacing w:beforeLines="50" w:after="0"/>
    </w:pPr>
    <w:rPr>
      <w:bCs/>
    </w:rPr>
  </w:style>
  <w:style w:type="paragraph" w:customStyle="1" w:styleId="Char9">
    <w:name w:val="Char"/>
    <w:basedOn w:val="a"/>
  </w:style>
  <w:style w:type="paragraph" w:customStyle="1" w:styleId="Default">
    <w:name w:val="Default"/>
    <w:basedOn w:val="a"/>
    <w:pPr>
      <w:autoSpaceDE w:val="0"/>
      <w:autoSpaceDN w:val="0"/>
      <w:adjustRightInd w:val="0"/>
      <w:jc w:val="left"/>
    </w:pPr>
    <w:rPr>
      <w:rFonts w:ascii="仿宋" w:eastAsia="仿宋" w:hAnsi="仿宋"/>
      <w:color w:val="000000"/>
      <w:kern w:val="0"/>
      <w:sz w:val="24"/>
      <w:szCs w:val="24"/>
    </w:rPr>
  </w:style>
  <w:style w:type="paragraph" w:customStyle="1" w:styleId="XBRL5">
    <w:name w:val="XBRL标题5"/>
    <w:basedOn w:val="a9"/>
    <w:next w:val="4"/>
    <w:pPr>
      <w:spacing w:beforeLines="50" w:after="0"/>
    </w:pPr>
    <w:rPr>
      <w:bCs/>
    </w:rPr>
  </w:style>
  <w:style w:type="paragraph" w:customStyle="1" w:styleId="XBRLTitle3">
    <w:name w:val="XBRLTitle3"/>
    <w:basedOn w:val="a9"/>
    <w:next w:val="4"/>
    <w:pPr>
      <w:keepNext w:val="0"/>
      <w:keepLines w:val="0"/>
      <w:numPr>
        <w:ilvl w:val="2"/>
        <w:numId w:val="1"/>
      </w:numPr>
      <w:spacing w:beforeLines="50" w:after="0" w:line="360" w:lineRule="auto"/>
      <w:ind w:left="0" w:firstLine="0"/>
    </w:pPr>
    <w:rPr>
      <w:rFonts w:ascii="宋体" w:hint="eastAsia"/>
      <w:bCs/>
    </w:rPr>
  </w:style>
  <w:style w:type="character" w:customStyle="1" w:styleId="15">
    <w:name w:val="页眉 字符1"/>
    <w:locked/>
    <w:rPr>
      <w:kern w:val="2"/>
      <w:sz w:val="18"/>
      <w:szCs w:val="18"/>
    </w:rPr>
  </w:style>
</w:styles>
</file>

<file path=word/webSettings.xml><?xml version="1.0" encoding="utf-8"?>
<w:webSettings xmlns:r="http://schemas.openxmlformats.org/officeDocument/2006/relationships" xmlns:w="http://schemas.openxmlformats.org/wordprocessingml/2006/main">
  <w:encoding w:val="x-cp20936"/>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235</Words>
  <Characters>1340</Characters>
  <Application>Microsoft Office Word</Application>
  <DocSecurity>4</DocSecurity>
  <Lines>11</Lines>
  <Paragraphs>3</Paragraphs>
  <ScaleCrop>false</ScaleCrop>
  <Company/>
  <LinksUpToDate>false</LinksUpToDate>
  <CharactersWithSpaces>1572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yss</dc:creator>
  <cp:keywords/>
  <cp:lastModifiedBy>ZHONGM</cp:lastModifiedBy>
  <cp:revision>2</cp:revision>
  <dcterms:created xsi:type="dcterms:W3CDTF">2023-09-25T16:02:00Z</dcterms:created>
  <dcterms:modified xsi:type="dcterms:W3CDTF">2023-09-25T16:02:00Z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2052-11.8.6.10973</vt:lpwstr>
  </property>
  <property fmtid="{D5CDD505-2E9C-101B-9397-08002B2CF9AE}" pid="3" name="ICV">
    <vt:lpwstr>DF05C2339F1D42B591214F60037C32DF</vt:lpwstr>
  </property>
</Properties>
</file>