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3B" w:rsidRDefault="000E56C8">
      <w:pPr>
        <w:spacing w:line="360" w:lineRule="auto"/>
        <w:ind w:leftChars="100" w:left="210"/>
        <w:jc w:val="center"/>
        <w:rPr>
          <w:b/>
          <w:sz w:val="28"/>
          <w:szCs w:val="28"/>
        </w:rPr>
      </w:pPr>
      <w:r>
        <w:rPr>
          <w:rFonts w:hint="eastAsia"/>
          <w:b/>
          <w:sz w:val="28"/>
          <w:szCs w:val="28"/>
        </w:rPr>
        <w:t>关于方正富邦基金管理有限公司旗下部分基金新增</w:t>
      </w:r>
      <w:r>
        <w:rPr>
          <w:rFonts w:hint="eastAsia"/>
          <w:b/>
          <w:sz w:val="28"/>
          <w:szCs w:val="28"/>
        </w:rPr>
        <w:t>中信证券、中信山东、中信华南</w:t>
      </w:r>
      <w:r>
        <w:rPr>
          <w:rFonts w:hint="eastAsia"/>
          <w:b/>
          <w:sz w:val="28"/>
          <w:szCs w:val="28"/>
        </w:rPr>
        <w:t>证券为申购、赎回代办券商的公告</w:t>
      </w:r>
    </w:p>
    <w:p w:rsidR="00606D3B" w:rsidRDefault="00606D3B">
      <w:pPr>
        <w:spacing w:line="360" w:lineRule="auto"/>
        <w:rPr>
          <w:rFonts w:ascii="楷体_GB2312" w:eastAsia="楷体_GB2312"/>
          <w:sz w:val="28"/>
          <w:szCs w:val="28"/>
        </w:rPr>
      </w:pPr>
    </w:p>
    <w:p w:rsidR="00606D3B" w:rsidRDefault="000E56C8">
      <w:pPr>
        <w:pStyle w:val="a7"/>
        <w:spacing w:before="0" w:beforeAutospacing="0" w:after="0" w:afterAutospacing="0" w:line="360" w:lineRule="auto"/>
        <w:ind w:firstLineChars="200" w:firstLine="420"/>
        <w:jc w:val="both"/>
        <w:rPr>
          <w:sz w:val="21"/>
          <w:szCs w:val="21"/>
        </w:rPr>
      </w:pPr>
      <w:r>
        <w:rPr>
          <w:rFonts w:hint="eastAsia"/>
          <w:sz w:val="21"/>
          <w:szCs w:val="21"/>
        </w:rPr>
        <w:t>根据方正富邦基金管理有限公司（以下简称“本公司”</w:t>
      </w:r>
      <w:bookmarkStart w:id="0" w:name="_GoBack"/>
      <w:bookmarkEnd w:id="0"/>
      <w:r>
        <w:rPr>
          <w:rFonts w:hint="eastAsia"/>
          <w:sz w:val="21"/>
          <w:szCs w:val="21"/>
        </w:rPr>
        <w:t>）与</w:t>
      </w:r>
      <w:r>
        <w:rPr>
          <w:rFonts w:asciiTheme="minorEastAsia" w:eastAsiaTheme="minorEastAsia" w:hAnsiTheme="minorEastAsia" w:hint="eastAsia"/>
          <w:sz w:val="21"/>
          <w:szCs w:val="21"/>
        </w:rPr>
        <w:t>中信证券股份有限公司（以下简称“中信证券”）、中信证券（山东）有限责任公司（以下简称“中信山东”）、</w:t>
      </w:r>
      <w:r>
        <w:rPr>
          <w:rFonts w:asciiTheme="minorEastAsia" w:eastAsiaTheme="minorEastAsia" w:hAnsiTheme="minorEastAsia"/>
          <w:sz w:val="21"/>
          <w:szCs w:val="21"/>
        </w:rPr>
        <w:t>中信证券华南股份有限公司</w:t>
      </w:r>
      <w:r>
        <w:rPr>
          <w:rFonts w:asciiTheme="minorEastAsia" w:eastAsiaTheme="minorEastAsia" w:hAnsiTheme="minorEastAsia" w:hint="eastAsia"/>
          <w:sz w:val="21"/>
          <w:szCs w:val="21"/>
        </w:rPr>
        <w:t>（以下简称“中信华南”）</w:t>
      </w:r>
      <w:r>
        <w:rPr>
          <w:rFonts w:hint="eastAsia"/>
          <w:sz w:val="21"/>
          <w:szCs w:val="21"/>
        </w:rPr>
        <w:t>签署的</w:t>
      </w:r>
      <w:r>
        <w:rPr>
          <w:rFonts w:hint="eastAsia"/>
          <w:sz w:val="21"/>
          <w:szCs w:val="21"/>
        </w:rPr>
        <w:t>申购赎回代理</w:t>
      </w:r>
      <w:r>
        <w:rPr>
          <w:rFonts w:hint="eastAsia"/>
          <w:sz w:val="21"/>
          <w:szCs w:val="21"/>
        </w:rPr>
        <w:t>协议，自</w:t>
      </w:r>
      <w:r>
        <w:rPr>
          <w:rFonts w:hint="eastAsia"/>
          <w:sz w:val="21"/>
          <w:szCs w:val="21"/>
        </w:rPr>
        <w:t>2023</w:t>
      </w:r>
      <w:r>
        <w:rPr>
          <w:rFonts w:hint="eastAsia"/>
          <w:sz w:val="21"/>
          <w:szCs w:val="21"/>
        </w:rPr>
        <w:t>年</w:t>
      </w:r>
      <w:r>
        <w:rPr>
          <w:rFonts w:hint="eastAsia"/>
          <w:sz w:val="21"/>
          <w:szCs w:val="21"/>
        </w:rPr>
        <w:t>9</w:t>
      </w:r>
      <w:r>
        <w:rPr>
          <w:rFonts w:hint="eastAsia"/>
          <w:sz w:val="21"/>
          <w:szCs w:val="21"/>
        </w:rPr>
        <w:t>月</w:t>
      </w:r>
      <w:r>
        <w:rPr>
          <w:rFonts w:hint="eastAsia"/>
          <w:sz w:val="21"/>
          <w:szCs w:val="21"/>
        </w:rPr>
        <w:t>22</w:t>
      </w:r>
      <w:r>
        <w:rPr>
          <w:rFonts w:hint="eastAsia"/>
          <w:sz w:val="21"/>
          <w:szCs w:val="21"/>
        </w:rPr>
        <w:t>日起，本公司旗下部分基金将新增</w:t>
      </w:r>
      <w:r>
        <w:rPr>
          <w:rFonts w:asciiTheme="minorEastAsia" w:eastAsiaTheme="minorEastAsia" w:hAnsiTheme="minorEastAsia" w:hint="eastAsia"/>
          <w:sz w:val="21"/>
          <w:szCs w:val="21"/>
        </w:rPr>
        <w:t>中信证券、中信山东、中信华南</w:t>
      </w:r>
      <w:r>
        <w:rPr>
          <w:rFonts w:hint="eastAsia"/>
          <w:sz w:val="21"/>
          <w:szCs w:val="21"/>
        </w:rPr>
        <w:t>为场内申购、赎回业务的代办券商。投资者可通过上述券商办理下述基金的场内申购、赎回等业务。具体基金如下：</w:t>
      </w:r>
    </w:p>
    <w:tbl>
      <w:tblPr>
        <w:tblStyle w:val="a9"/>
        <w:tblW w:w="4998" w:type="pct"/>
        <w:tblLook w:val="04A0"/>
      </w:tblPr>
      <w:tblGrid>
        <w:gridCol w:w="830"/>
        <w:gridCol w:w="2575"/>
        <w:gridCol w:w="1704"/>
        <w:gridCol w:w="1704"/>
        <w:gridCol w:w="1706"/>
      </w:tblGrid>
      <w:tr w:rsidR="00606D3B">
        <w:tc>
          <w:tcPr>
            <w:tcW w:w="488" w:type="pct"/>
          </w:tcPr>
          <w:p w:rsidR="00606D3B" w:rsidRDefault="000E56C8">
            <w:pPr>
              <w:pStyle w:val="a7"/>
              <w:spacing w:before="0" w:beforeAutospacing="0" w:after="0" w:afterAutospacing="0" w:line="360" w:lineRule="auto"/>
              <w:jc w:val="both"/>
              <w:rPr>
                <w:sz w:val="21"/>
                <w:szCs w:val="21"/>
              </w:rPr>
            </w:pPr>
            <w:r>
              <w:rPr>
                <w:rFonts w:hint="eastAsia"/>
                <w:sz w:val="21"/>
                <w:szCs w:val="21"/>
              </w:rPr>
              <w:t>序号</w:t>
            </w:r>
          </w:p>
        </w:tc>
        <w:tc>
          <w:tcPr>
            <w:tcW w:w="1511" w:type="pct"/>
          </w:tcPr>
          <w:p w:rsidR="00606D3B" w:rsidRDefault="000E56C8">
            <w:pPr>
              <w:pStyle w:val="a7"/>
              <w:spacing w:before="0" w:beforeAutospacing="0" w:after="0" w:afterAutospacing="0" w:line="360" w:lineRule="auto"/>
              <w:jc w:val="both"/>
              <w:rPr>
                <w:sz w:val="21"/>
                <w:szCs w:val="21"/>
              </w:rPr>
            </w:pPr>
            <w:r>
              <w:rPr>
                <w:rFonts w:hint="eastAsia"/>
                <w:sz w:val="21"/>
                <w:szCs w:val="21"/>
              </w:rPr>
              <w:t>基金名称</w:t>
            </w:r>
          </w:p>
        </w:tc>
        <w:tc>
          <w:tcPr>
            <w:tcW w:w="999" w:type="pct"/>
          </w:tcPr>
          <w:p w:rsidR="00606D3B" w:rsidRDefault="000E56C8">
            <w:pPr>
              <w:pStyle w:val="a7"/>
              <w:spacing w:before="0" w:beforeAutospacing="0" w:after="0" w:afterAutospacing="0" w:line="360" w:lineRule="auto"/>
              <w:jc w:val="both"/>
              <w:rPr>
                <w:sz w:val="21"/>
                <w:szCs w:val="21"/>
              </w:rPr>
            </w:pPr>
            <w:r>
              <w:rPr>
                <w:rFonts w:hint="eastAsia"/>
                <w:sz w:val="21"/>
                <w:szCs w:val="21"/>
              </w:rPr>
              <w:t>基金代码</w:t>
            </w:r>
          </w:p>
        </w:tc>
        <w:tc>
          <w:tcPr>
            <w:tcW w:w="999" w:type="pct"/>
          </w:tcPr>
          <w:p w:rsidR="00606D3B" w:rsidRDefault="000E56C8">
            <w:pPr>
              <w:pStyle w:val="a7"/>
              <w:spacing w:before="0" w:beforeAutospacing="0" w:after="0" w:afterAutospacing="0" w:line="360" w:lineRule="auto"/>
              <w:jc w:val="both"/>
              <w:rPr>
                <w:sz w:val="21"/>
                <w:szCs w:val="21"/>
              </w:rPr>
            </w:pPr>
            <w:r>
              <w:rPr>
                <w:rFonts w:hint="eastAsia"/>
                <w:sz w:val="21"/>
                <w:szCs w:val="21"/>
              </w:rPr>
              <w:t>基金简称</w:t>
            </w:r>
          </w:p>
        </w:tc>
        <w:tc>
          <w:tcPr>
            <w:tcW w:w="1000" w:type="pct"/>
          </w:tcPr>
          <w:p w:rsidR="00606D3B" w:rsidRDefault="000E56C8">
            <w:pPr>
              <w:pStyle w:val="a7"/>
              <w:spacing w:before="0" w:beforeAutospacing="0" w:after="0" w:afterAutospacing="0" w:line="360" w:lineRule="auto"/>
              <w:jc w:val="both"/>
              <w:rPr>
                <w:sz w:val="21"/>
                <w:szCs w:val="21"/>
              </w:rPr>
            </w:pPr>
            <w:r>
              <w:rPr>
                <w:rFonts w:hint="eastAsia"/>
                <w:sz w:val="21"/>
                <w:szCs w:val="21"/>
              </w:rPr>
              <w:t>扩位证券简称</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1</w:t>
            </w:r>
          </w:p>
        </w:tc>
        <w:tc>
          <w:tcPr>
            <w:tcW w:w="1511"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w:t>
            </w:r>
            <w:r>
              <w:rPr>
                <w:rFonts w:hint="eastAsia"/>
                <w:sz w:val="21"/>
                <w:szCs w:val="21"/>
              </w:rPr>
              <w:t>500</w:t>
            </w:r>
            <w:r>
              <w:rPr>
                <w:rFonts w:hint="eastAsia"/>
                <w:sz w:val="21"/>
                <w:szCs w:val="21"/>
              </w:rPr>
              <w:t>交易型开放式指数证券投资基金</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510550</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w:t>
            </w:r>
            <w:r>
              <w:rPr>
                <w:rFonts w:hint="eastAsia"/>
                <w:sz w:val="21"/>
                <w:szCs w:val="21"/>
              </w:rPr>
              <w:t>500ETF</w:t>
            </w:r>
          </w:p>
        </w:tc>
        <w:tc>
          <w:tcPr>
            <w:tcW w:w="1000" w:type="pct"/>
          </w:tcPr>
          <w:p w:rsidR="00606D3B" w:rsidRDefault="000E56C8">
            <w:pPr>
              <w:pStyle w:val="a7"/>
              <w:spacing w:before="0" w:beforeAutospacing="0" w:after="0" w:afterAutospacing="0" w:line="360" w:lineRule="auto"/>
              <w:rPr>
                <w:sz w:val="21"/>
                <w:szCs w:val="21"/>
              </w:rPr>
            </w:pPr>
            <w:r>
              <w:rPr>
                <w:rFonts w:hint="eastAsia"/>
                <w:sz w:val="21"/>
                <w:szCs w:val="21"/>
              </w:rPr>
              <w:t>方正中证</w:t>
            </w:r>
            <w:r>
              <w:rPr>
                <w:rFonts w:hint="eastAsia"/>
                <w:sz w:val="21"/>
                <w:szCs w:val="21"/>
              </w:rPr>
              <w:t>500ETF</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2</w:t>
            </w:r>
          </w:p>
        </w:tc>
        <w:tc>
          <w:tcPr>
            <w:tcW w:w="1511"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方正富邦中证沪港深人工智能</w:t>
            </w:r>
            <w:r>
              <w:rPr>
                <w:rFonts w:hint="eastAsia"/>
                <w:sz w:val="21"/>
                <w:szCs w:val="21"/>
              </w:rPr>
              <w:t>50</w:t>
            </w:r>
            <w:r>
              <w:rPr>
                <w:rFonts w:hint="eastAsia"/>
                <w:sz w:val="21"/>
                <w:szCs w:val="21"/>
              </w:rPr>
              <w:t>交易型开放式指数证券投资基金</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517800</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方正富邦沪港深人工智能</w:t>
            </w:r>
            <w:r>
              <w:rPr>
                <w:rFonts w:hint="eastAsia"/>
                <w:sz w:val="21"/>
                <w:szCs w:val="21"/>
              </w:rPr>
              <w:t>50ETF</w:t>
            </w:r>
          </w:p>
        </w:tc>
        <w:tc>
          <w:tcPr>
            <w:tcW w:w="1000" w:type="pct"/>
          </w:tcPr>
          <w:p w:rsidR="00606D3B" w:rsidRDefault="000E56C8">
            <w:pPr>
              <w:pStyle w:val="a7"/>
              <w:spacing w:before="0" w:beforeAutospacing="0" w:after="0" w:afterAutospacing="0" w:line="360" w:lineRule="auto"/>
              <w:rPr>
                <w:sz w:val="21"/>
                <w:szCs w:val="21"/>
              </w:rPr>
            </w:pPr>
            <w:r>
              <w:rPr>
                <w:rFonts w:hint="eastAsia"/>
                <w:sz w:val="21"/>
                <w:szCs w:val="21"/>
              </w:rPr>
              <w:t>人工智能</w:t>
            </w:r>
            <w:r>
              <w:rPr>
                <w:rFonts w:hint="eastAsia"/>
                <w:sz w:val="21"/>
                <w:szCs w:val="21"/>
              </w:rPr>
              <w:t>50ETF</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3</w:t>
            </w:r>
          </w:p>
        </w:tc>
        <w:tc>
          <w:tcPr>
            <w:tcW w:w="1511"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方正富邦中证科创创业</w:t>
            </w:r>
            <w:r>
              <w:rPr>
                <w:rFonts w:hint="eastAsia"/>
                <w:sz w:val="21"/>
                <w:szCs w:val="21"/>
              </w:rPr>
              <w:t>50</w:t>
            </w:r>
            <w:r>
              <w:rPr>
                <w:rFonts w:hint="eastAsia"/>
                <w:sz w:val="21"/>
                <w:szCs w:val="21"/>
              </w:rPr>
              <w:t>交易型开放式指数证券投资基金</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588310</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方正富邦科创创业</w:t>
            </w:r>
            <w:r>
              <w:rPr>
                <w:rFonts w:hint="eastAsia"/>
                <w:sz w:val="21"/>
                <w:szCs w:val="21"/>
              </w:rPr>
              <w:t>50ETF</w:t>
            </w:r>
          </w:p>
        </w:tc>
        <w:tc>
          <w:tcPr>
            <w:tcW w:w="1000" w:type="pct"/>
          </w:tcPr>
          <w:p w:rsidR="00606D3B" w:rsidRDefault="000E56C8">
            <w:pPr>
              <w:pStyle w:val="a7"/>
              <w:spacing w:before="0" w:beforeAutospacing="0" w:after="0" w:afterAutospacing="0" w:line="360" w:lineRule="auto"/>
              <w:rPr>
                <w:sz w:val="21"/>
                <w:szCs w:val="21"/>
              </w:rPr>
            </w:pPr>
            <w:r>
              <w:rPr>
                <w:rFonts w:hint="eastAsia"/>
                <w:sz w:val="21"/>
                <w:szCs w:val="21"/>
              </w:rPr>
              <w:t>双创</w:t>
            </w:r>
            <w:r>
              <w:rPr>
                <w:rFonts w:hint="eastAsia"/>
                <w:sz w:val="21"/>
                <w:szCs w:val="21"/>
              </w:rPr>
              <w:t>ETF</w:t>
            </w:r>
            <w:r>
              <w:rPr>
                <w:rFonts w:hint="eastAsia"/>
                <w:sz w:val="21"/>
                <w:szCs w:val="21"/>
              </w:rPr>
              <w:t>基金</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4</w:t>
            </w:r>
          </w:p>
        </w:tc>
        <w:tc>
          <w:tcPr>
            <w:tcW w:w="1511"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方正富邦中证医药及医疗器械创新交易型开放式指数证券投资基金</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560600</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方正富邦中证医药及医疗器械创新</w:t>
            </w:r>
            <w:r>
              <w:rPr>
                <w:rFonts w:hint="eastAsia"/>
                <w:sz w:val="21"/>
                <w:szCs w:val="21"/>
              </w:rPr>
              <w:t>ETF</w:t>
            </w:r>
          </w:p>
        </w:tc>
        <w:tc>
          <w:tcPr>
            <w:tcW w:w="1000" w:type="pct"/>
          </w:tcPr>
          <w:p w:rsidR="00606D3B" w:rsidRDefault="000E56C8">
            <w:pPr>
              <w:pStyle w:val="a7"/>
              <w:spacing w:before="0" w:beforeAutospacing="0" w:after="0" w:afterAutospacing="0" w:line="360" w:lineRule="auto"/>
              <w:rPr>
                <w:sz w:val="21"/>
                <w:szCs w:val="21"/>
              </w:rPr>
            </w:pPr>
            <w:r>
              <w:rPr>
                <w:rFonts w:hint="eastAsia"/>
                <w:sz w:val="21"/>
                <w:szCs w:val="21"/>
              </w:rPr>
              <w:t>医药创新</w:t>
            </w:r>
            <w:r>
              <w:rPr>
                <w:rFonts w:hint="eastAsia"/>
                <w:sz w:val="21"/>
                <w:szCs w:val="21"/>
              </w:rPr>
              <w:t>E</w:t>
            </w:r>
            <w:r>
              <w:rPr>
                <w:sz w:val="21"/>
                <w:szCs w:val="21"/>
              </w:rPr>
              <w:t>TF</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5</w:t>
            </w:r>
          </w:p>
        </w:tc>
        <w:tc>
          <w:tcPr>
            <w:tcW w:w="1511" w:type="pct"/>
          </w:tcPr>
          <w:p w:rsidR="00606D3B" w:rsidRDefault="000E56C8">
            <w:pPr>
              <w:pStyle w:val="a7"/>
              <w:spacing w:before="0" w:beforeAutospacing="0" w:after="0" w:afterAutospacing="0" w:line="360" w:lineRule="auto"/>
              <w:rPr>
                <w:sz w:val="21"/>
                <w:szCs w:val="21"/>
              </w:rPr>
            </w:pPr>
            <w:r>
              <w:rPr>
                <w:rFonts w:hint="eastAsia"/>
                <w:sz w:val="21"/>
                <w:szCs w:val="21"/>
              </w:rPr>
              <w:t>方正富邦深证</w:t>
            </w:r>
            <w:r>
              <w:rPr>
                <w:rFonts w:hint="eastAsia"/>
                <w:sz w:val="21"/>
                <w:szCs w:val="21"/>
              </w:rPr>
              <w:t>100</w:t>
            </w:r>
            <w:r>
              <w:rPr>
                <w:rFonts w:hint="eastAsia"/>
                <w:sz w:val="21"/>
                <w:szCs w:val="21"/>
              </w:rPr>
              <w:t>交易型开放式指数证券投资基金</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159961</w:t>
            </w:r>
          </w:p>
        </w:tc>
        <w:tc>
          <w:tcPr>
            <w:tcW w:w="999" w:type="pct"/>
          </w:tcPr>
          <w:p w:rsidR="00606D3B" w:rsidRDefault="000E56C8">
            <w:pPr>
              <w:pStyle w:val="a7"/>
              <w:spacing w:before="0" w:beforeAutospacing="0" w:after="0" w:afterAutospacing="0" w:line="360" w:lineRule="auto"/>
              <w:rPr>
                <w:sz w:val="21"/>
                <w:szCs w:val="21"/>
              </w:rPr>
            </w:pPr>
            <w:r>
              <w:rPr>
                <w:rFonts w:hint="eastAsia"/>
                <w:sz w:val="21"/>
                <w:szCs w:val="21"/>
              </w:rPr>
              <w:t>方正富邦深证</w:t>
            </w:r>
            <w:r>
              <w:rPr>
                <w:rFonts w:hint="eastAsia"/>
                <w:sz w:val="21"/>
                <w:szCs w:val="21"/>
              </w:rPr>
              <w:t>100ETF</w:t>
            </w:r>
          </w:p>
        </w:tc>
        <w:tc>
          <w:tcPr>
            <w:tcW w:w="1000" w:type="pct"/>
          </w:tcPr>
          <w:p w:rsidR="00606D3B" w:rsidRDefault="000E56C8">
            <w:pPr>
              <w:pStyle w:val="a7"/>
              <w:spacing w:before="0" w:beforeAutospacing="0" w:after="0" w:afterAutospacing="0" w:line="360" w:lineRule="auto"/>
              <w:rPr>
                <w:sz w:val="21"/>
                <w:szCs w:val="21"/>
              </w:rPr>
            </w:pPr>
            <w:r>
              <w:rPr>
                <w:rFonts w:hint="eastAsia"/>
                <w:sz w:val="21"/>
                <w:szCs w:val="21"/>
              </w:rPr>
              <w:t>深</w:t>
            </w:r>
            <w:r>
              <w:rPr>
                <w:rFonts w:hint="eastAsia"/>
                <w:sz w:val="21"/>
                <w:szCs w:val="21"/>
              </w:rPr>
              <w:t>100ETF</w:t>
            </w:r>
            <w:r>
              <w:rPr>
                <w:rFonts w:hint="eastAsia"/>
                <w:sz w:val="21"/>
                <w:szCs w:val="21"/>
              </w:rPr>
              <w:t>方正富邦</w:t>
            </w:r>
          </w:p>
        </w:tc>
      </w:tr>
      <w:tr w:rsidR="00606D3B">
        <w:tc>
          <w:tcPr>
            <w:tcW w:w="488" w:type="pct"/>
          </w:tcPr>
          <w:p w:rsidR="00606D3B" w:rsidRDefault="000E56C8">
            <w:pPr>
              <w:pStyle w:val="a7"/>
              <w:spacing w:before="0" w:beforeAutospacing="0" w:after="0" w:afterAutospacing="0" w:line="360" w:lineRule="auto"/>
              <w:rPr>
                <w:sz w:val="21"/>
                <w:szCs w:val="21"/>
              </w:rPr>
            </w:pPr>
            <w:r>
              <w:rPr>
                <w:rFonts w:hint="eastAsia"/>
                <w:sz w:val="21"/>
                <w:szCs w:val="21"/>
              </w:rPr>
              <w:t>6</w:t>
            </w:r>
          </w:p>
        </w:tc>
        <w:tc>
          <w:tcPr>
            <w:tcW w:w="2576" w:type="dxa"/>
          </w:tcPr>
          <w:p w:rsidR="00606D3B" w:rsidRDefault="000E56C8">
            <w:pPr>
              <w:pStyle w:val="a7"/>
              <w:spacing w:before="0" w:beforeAutospacing="0" w:after="0" w:afterAutospacing="0" w:line="360" w:lineRule="auto"/>
              <w:rPr>
                <w:sz w:val="21"/>
                <w:szCs w:val="21"/>
              </w:rPr>
            </w:pPr>
            <w:r>
              <w:rPr>
                <w:rFonts w:hint="eastAsia"/>
                <w:sz w:val="21"/>
                <w:szCs w:val="21"/>
              </w:rPr>
              <w:t>方正富邦沪深</w:t>
            </w:r>
            <w:r>
              <w:rPr>
                <w:rFonts w:hint="eastAsia"/>
                <w:sz w:val="21"/>
                <w:szCs w:val="21"/>
              </w:rPr>
              <w:t>300</w:t>
            </w:r>
            <w:r>
              <w:rPr>
                <w:rFonts w:hint="eastAsia"/>
                <w:sz w:val="21"/>
                <w:szCs w:val="21"/>
              </w:rPr>
              <w:t>交易型开放式指数证券投资基金</w:t>
            </w:r>
          </w:p>
        </w:tc>
        <w:tc>
          <w:tcPr>
            <w:tcW w:w="1703" w:type="dxa"/>
          </w:tcPr>
          <w:p w:rsidR="00606D3B" w:rsidRDefault="000E56C8">
            <w:pPr>
              <w:pStyle w:val="a7"/>
              <w:spacing w:before="0" w:beforeAutospacing="0" w:after="0" w:afterAutospacing="0" w:line="360" w:lineRule="auto"/>
              <w:rPr>
                <w:sz w:val="21"/>
                <w:szCs w:val="21"/>
              </w:rPr>
            </w:pPr>
            <w:r>
              <w:rPr>
                <w:rFonts w:hint="eastAsia"/>
                <w:sz w:val="21"/>
                <w:szCs w:val="21"/>
              </w:rPr>
              <w:t>515360</w:t>
            </w:r>
          </w:p>
        </w:tc>
        <w:tc>
          <w:tcPr>
            <w:tcW w:w="1703" w:type="dxa"/>
          </w:tcPr>
          <w:p w:rsidR="00606D3B" w:rsidRDefault="000E56C8">
            <w:pPr>
              <w:pStyle w:val="a7"/>
              <w:spacing w:before="0" w:beforeAutospacing="0" w:after="0" w:afterAutospacing="0" w:line="360" w:lineRule="auto"/>
              <w:rPr>
                <w:sz w:val="21"/>
                <w:szCs w:val="21"/>
              </w:rPr>
            </w:pPr>
            <w:r>
              <w:rPr>
                <w:rFonts w:hint="eastAsia"/>
                <w:sz w:val="21"/>
                <w:szCs w:val="21"/>
              </w:rPr>
              <w:t>方正富邦沪深</w:t>
            </w:r>
            <w:r>
              <w:rPr>
                <w:rFonts w:hint="eastAsia"/>
                <w:sz w:val="21"/>
                <w:szCs w:val="21"/>
              </w:rPr>
              <w:t>300ETF</w:t>
            </w:r>
          </w:p>
        </w:tc>
        <w:tc>
          <w:tcPr>
            <w:tcW w:w="1705" w:type="dxa"/>
          </w:tcPr>
          <w:p w:rsidR="00606D3B" w:rsidRDefault="000E56C8">
            <w:pPr>
              <w:pStyle w:val="a7"/>
              <w:spacing w:before="0" w:beforeAutospacing="0" w:after="0" w:afterAutospacing="0" w:line="360" w:lineRule="auto"/>
              <w:rPr>
                <w:sz w:val="21"/>
                <w:szCs w:val="21"/>
              </w:rPr>
            </w:pPr>
            <w:r>
              <w:rPr>
                <w:rFonts w:hint="eastAsia"/>
                <w:sz w:val="21"/>
                <w:szCs w:val="21"/>
              </w:rPr>
              <w:t>方正沪深</w:t>
            </w:r>
            <w:r>
              <w:rPr>
                <w:rFonts w:hint="eastAsia"/>
                <w:sz w:val="21"/>
                <w:szCs w:val="21"/>
              </w:rPr>
              <w:t>300ETF</w:t>
            </w:r>
          </w:p>
        </w:tc>
      </w:tr>
    </w:tbl>
    <w:p w:rsidR="00606D3B" w:rsidRDefault="00606D3B">
      <w:pPr>
        <w:pStyle w:val="a7"/>
        <w:spacing w:before="0" w:beforeAutospacing="0" w:after="0" w:afterAutospacing="0" w:line="360" w:lineRule="auto"/>
        <w:jc w:val="both"/>
        <w:rPr>
          <w:sz w:val="21"/>
          <w:szCs w:val="21"/>
        </w:rPr>
      </w:pPr>
    </w:p>
    <w:p w:rsidR="00606D3B" w:rsidRDefault="000E56C8">
      <w:pPr>
        <w:pStyle w:val="a7"/>
        <w:spacing w:before="0" w:beforeAutospacing="0" w:after="0" w:afterAutospacing="0" w:line="360" w:lineRule="auto"/>
        <w:ind w:firstLineChars="200" w:firstLine="420"/>
        <w:jc w:val="both"/>
        <w:rPr>
          <w:sz w:val="21"/>
          <w:szCs w:val="21"/>
        </w:rPr>
      </w:pPr>
      <w:r>
        <w:rPr>
          <w:rFonts w:hint="eastAsia"/>
          <w:sz w:val="21"/>
          <w:szCs w:val="21"/>
        </w:rPr>
        <w:t>投资者可通过以下途径咨询有关详情：</w:t>
      </w:r>
    </w:p>
    <w:p w:rsidR="00606D3B" w:rsidRDefault="000E56C8">
      <w:pPr>
        <w:spacing w:line="360" w:lineRule="auto"/>
        <w:jc w:val="left"/>
      </w:pPr>
      <w:r>
        <w:rPr>
          <w:rFonts w:hint="eastAsia"/>
        </w:rPr>
        <w:t>1</w:t>
      </w:r>
      <w:r>
        <w:rPr>
          <w:rFonts w:hint="eastAsia"/>
        </w:rPr>
        <w:t>）中信证券股份有限公司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2760"/>
        <w:gridCol w:w="1132"/>
        <w:gridCol w:w="3289"/>
      </w:tblGrid>
      <w:tr w:rsidR="00606D3B">
        <w:tc>
          <w:tcPr>
            <w:tcW w:w="786" w:type="pct"/>
            <w:vAlign w:val="center"/>
          </w:tcPr>
          <w:p w:rsidR="00606D3B" w:rsidRDefault="000E56C8">
            <w:pPr>
              <w:spacing w:line="360" w:lineRule="auto"/>
              <w:jc w:val="left"/>
            </w:pPr>
            <w:r>
              <w:rPr>
                <w:rFonts w:hint="eastAsia"/>
              </w:rPr>
              <w:lastRenderedPageBreak/>
              <w:t>注册地址</w:t>
            </w:r>
          </w:p>
        </w:tc>
        <w:tc>
          <w:tcPr>
            <w:tcW w:w="4213" w:type="pct"/>
            <w:gridSpan w:val="3"/>
            <w:vAlign w:val="center"/>
          </w:tcPr>
          <w:p w:rsidR="00606D3B" w:rsidRDefault="000E56C8">
            <w:pPr>
              <w:spacing w:line="360" w:lineRule="auto"/>
              <w:jc w:val="left"/>
            </w:pPr>
            <w:r>
              <w:rPr>
                <w:rFonts w:hint="eastAsia"/>
              </w:rPr>
              <w:t>广东省深圳市福田区中心三路</w:t>
            </w:r>
            <w:r>
              <w:rPr>
                <w:rFonts w:hint="eastAsia"/>
              </w:rPr>
              <w:t>8</w:t>
            </w:r>
            <w:r>
              <w:rPr>
                <w:rFonts w:hint="eastAsia"/>
              </w:rPr>
              <w:t>号卓越时代广场（二期）北座</w:t>
            </w:r>
          </w:p>
        </w:tc>
      </w:tr>
      <w:tr w:rsidR="00606D3B">
        <w:trPr>
          <w:trHeight w:val="319"/>
        </w:trPr>
        <w:tc>
          <w:tcPr>
            <w:tcW w:w="786" w:type="pct"/>
            <w:vAlign w:val="center"/>
          </w:tcPr>
          <w:p w:rsidR="00606D3B" w:rsidRDefault="000E56C8">
            <w:pPr>
              <w:spacing w:line="360" w:lineRule="auto"/>
              <w:jc w:val="left"/>
            </w:pPr>
            <w:r>
              <w:rPr>
                <w:rFonts w:hint="eastAsia"/>
              </w:rPr>
              <w:t>法定代表人</w:t>
            </w:r>
          </w:p>
        </w:tc>
        <w:tc>
          <w:tcPr>
            <w:tcW w:w="4213" w:type="pct"/>
            <w:gridSpan w:val="3"/>
            <w:vAlign w:val="center"/>
          </w:tcPr>
          <w:p w:rsidR="00606D3B" w:rsidRDefault="000E56C8">
            <w:pPr>
              <w:spacing w:line="360" w:lineRule="auto"/>
              <w:jc w:val="left"/>
            </w:pPr>
            <w:r>
              <w:rPr>
                <w:rFonts w:hint="eastAsia"/>
              </w:rPr>
              <w:t>张佑君</w:t>
            </w:r>
          </w:p>
        </w:tc>
      </w:tr>
      <w:tr w:rsidR="00606D3B">
        <w:tc>
          <w:tcPr>
            <w:tcW w:w="786" w:type="pct"/>
            <w:vAlign w:val="center"/>
          </w:tcPr>
          <w:p w:rsidR="00606D3B" w:rsidRDefault="000E56C8">
            <w:pPr>
              <w:spacing w:line="360" w:lineRule="auto"/>
              <w:jc w:val="left"/>
            </w:pPr>
            <w:r>
              <w:rPr>
                <w:rFonts w:hint="eastAsia"/>
              </w:rPr>
              <w:t>客服电话</w:t>
            </w:r>
          </w:p>
        </w:tc>
        <w:tc>
          <w:tcPr>
            <w:tcW w:w="1619" w:type="pct"/>
            <w:vAlign w:val="center"/>
          </w:tcPr>
          <w:p w:rsidR="00606D3B" w:rsidRDefault="000E56C8">
            <w:pPr>
              <w:spacing w:line="360" w:lineRule="auto"/>
              <w:jc w:val="left"/>
            </w:pPr>
            <w:r>
              <w:rPr>
                <w:rFonts w:hint="eastAsia"/>
              </w:rPr>
              <w:t>955</w:t>
            </w:r>
            <w:r>
              <w:rPr>
                <w:rFonts w:hint="eastAsia"/>
              </w:rPr>
              <w:t>48</w:t>
            </w:r>
          </w:p>
        </w:tc>
        <w:tc>
          <w:tcPr>
            <w:tcW w:w="664" w:type="pct"/>
            <w:vAlign w:val="center"/>
          </w:tcPr>
          <w:p w:rsidR="00606D3B" w:rsidRDefault="000E56C8">
            <w:pPr>
              <w:spacing w:line="360" w:lineRule="auto"/>
              <w:jc w:val="left"/>
            </w:pPr>
            <w:r>
              <w:rPr>
                <w:rFonts w:hint="eastAsia"/>
              </w:rPr>
              <w:t>网址</w:t>
            </w:r>
          </w:p>
        </w:tc>
        <w:tc>
          <w:tcPr>
            <w:tcW w:w="1929" w:type="pct"/>
            <w:vAlign w:val="center"/>
          </w:tcPr>
          <w:p w:rsidR="00606D3B" w:rsidRDefault="000E56C8">
            <w:pPr>
              <w:spacing w:line="360" w:lineRule="auto"/>
              <w:jc w:val="left"/>
            </w:pPr>
            <w:r>
              <w:rPr>
                <w:rFonts w:hint="eastAsia"/>
              </w:rPr>
              <w:t>www.citics.com</w:t>
            </w:r>
          </w:p>
        </w:tc>
      </w:tr>
    </w:tbl>
    <w:p w:rsidR="00606D3B" w:rsidRDefault="000E56C8">
      <w:pPr>
        <w:spacing w:line="360" w:lineRule="auto"/>
        <w:jc w:val="left"/>
      </w:pPr>
      <w:r>
        <w:rPr>
          <w:rFonts w:hint="eastAsia"/>
        </w:rPr>
        <w:t>2</w:t>
      </w:r>
      <w:r>
        <w:rPr>
          <w:rFonts w:hint="eastAsia"/>
        </w:rPr>
        <w:t>）</w:t>
      </w:r>
      <w:r>
        <w:rPr>
          <w:rFonts w:hint="eastAsia"/>
        </w:rPr>
        <w:t>中信证券（山东）有限责任公司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760"/>
        <w:gridCol w:w="1132"/>
        <w:gridCol w:w="3288"/>
      </w:tblGrid>
      <w:tr w:rsidR="00606D3B">
        <w:tc>
          <w:tcPr>
            <w:tcW w:w="787" w:type="pct"/>
            <w:vAlign w:val="center"/>
          </w:tcPr>
          <w:p w:rsidR="00606D3B" w:rsidRDefault="000E56C8">
            <w:pPr>
              <w:spacing w:line="360" w:lineRule="auto"/>
              <w:jc w:val="left"/>
            </w:pPr>
            <w:r>
              <w:rPr>
                <w:rFonts w:hint="eastAsia"/>
              </w:rPr>
              <w:t>注册地址</w:t>
            </w:r>
          </w:p>
        </w:tc>
        <w:tc>
          <w:tcPr>
            <w:tcW w:w="4212" w:type="pct"/>
            <w:gridSpan w:val="3"/>
            <w:vAlign w:val="center"/>
          </w:tcPr>
          <w:p w:rsidR="00606D3B" w:rsidRDefault="000E56C8">
            <w:pPr>
              <w:spacing w:line="360" w:lineRule="auto"/>
              <w:jc w:val="left"/>
            </w:pPr>
            <w:r>
              <w:rPr>
                <w:rFonts w:hint="eastAsia"/>
              </w:rPr>
              <w:t>青岛市崂山区深圳路</w:t>
            </w:r>
            <w:r>
              <w:rPr>
                <w:rFonts w:hint="eastAsia"/>
              </w:rPr>
              <w:t>222</w:t>
            </w:r>
            <w:r>
              <w:rPr>
                <w:rFonts w:hint="eastAsia"/>
              </w:rPr>
              <w:t>号</w:t>
            </w:r>
            <w:r>
              <w:rPr>
                <w:rFonts w:hint="eastAsia"/>
              </w:rPr>
              <w:t>1</w:t>
            </w:r>
            <w:r>
              <w:rPr>
                <w:rFonts w:hint="eastAsia"/>
              </w:rPr>
              <w:t>号楼</w:t>
            </w:r>
            <w:r>
              <w:rPr>
                <w:rFonts w:hint="eastAsia"/>
              </w:rPr>
              <w:t>2001</w:t>
            </w:r>
          </w:p>
        </w:tc>
      </w:tr>
      <w:tr w:rsidR="00606D3B">
        <w:trPr>
          <w:trHeight w:val="319"/>
        </w:trPr>
        <w:tc>
          <w:tcPr>
            <w:tcW w:w="787" w:type="pct"/>
            <w:vAlign w:val="center"/>
          </w:tcPr>
          <w:p w:rsidR="00606D3B" w:rsidRDefault="000E56C8">
            <w:pPr>
              <w:spacing w:line="360" w:lineRule="auto"/>
              <w:jc w:val="left"/>
            </w:pPr>
            <w:r>
              <w:rPr>
                <w:rFonts w:hint="eastAsia"/>
              </w:rPr>
              <w:t>法定代表人</w:t>
            </w:r>
          </w:p>
        </w:tc>
        <w:tc>
          <w:tcPr>
            <w:tcW w:w="4212" w:type="pct"/>
            <w:gridSpan w:val="3"/>
            <w:vAlign w:val="center"/>
          </w:tcPr>
          <w:p w:rsidR="00606D3B" w:rsidRDefault="000E56C8">
            <w:pPr>
              <w:spacing w:line="360" w:lineRule="auto"/>
              <w:jc w:val="left"/>
            </w:pPr>
            <w:r>
              <w:rPr>
                <w:rFonts w:hint="eastAsia"/>
              </w:rPr>
              <w:t>肖海峰</w:t>
            </w:r>
          </w:p>
        </w:tc>
      </w:tr>
      <w:tr w:rsidR="00606D3B">
        <w:tc>
          <w:tcPr>
            <w:tcW w:w="787" w:type="pct"/>
            <w:vAlign w:val="center"/>
          </w:tcPr>
          <w:p w:rsidR="00606D3B" w:rsidRDefault="000E56C8">
            <w:pPr>
              <w:spacing w:line="360" w:lineRule="auto"/>
              <w:jc w:val="left"/>
            </w:pPr>
            <w:r>
              <w:rPr>
                <w:rFonts w:hint="eastAsia"/>
              </w:rPr>
              <w:t>客服电话</w:t>
            </w:r>
          </w:p>
        </w:tc>
        <w:tc>
          <w:tcPr>
            <w:tcW w:w="1619" w:type="pct"/>
            <w:vAlign w:val="center"/>
          </w:tcPr>
          <w:p w:rsidR="00606D3B" w:rsidRDefault="000E56C8">
            <w:pPr>
              <w:spacing w:line="360" w:lineRule="auto"/>
              <w:jc w:val="left"/>
            </w:pPr>
            <w:r>
              <w:rPr>
                <w:rFonts w:hint="eastAsia"/>
              </w:rPr>
              <w:t>955</w:t>
            </w:r>
            <w:r>
              <w:rPr>
                <w:rFonts w:hint="eastAsia"/>
              </w:rPr>
              <w:t>48</w:t>
            </w:r>
          </w:p>
        </w:tc>
        <w:tc>
          <w:tcPr>
            <w:tcW w:w="664" w:type="pct"/>
            <w:vAlign w:val="center"/>
          </w:tcPr>
          <w:p w:rsidR="00606D3B" w:rsidRDefault="000E56C8">
            <w:pPr>
              <w:spacing w:line="360" w:lineRule="auto"/>
              <w:jc w:val="left"/>
            </w:pPr>
            <w:r>
              <w:rPr>
                <w:rFonts w:hint="eastAsia"/>
              </w:rPr>
              <w:t>网址</w:t>
            </w:r>
          </w:p>
        </w:tc>
        <w:tc>
          <w:tcPr>
            <w:tcW w:w="1928" w:type="pct"/>
            <w:vAlign w:val="center"/>
          </w:tcPr>
          <w:p w:rsidR="00606D3B" w:rsidRDefault="000E56C8">
            <w:pPr>
              <w:spacing w:line="360" w:lineRule="auto"/>
              <w:jc w:val="left"/>
            </w:pPr>
            <w:r>
              <w:rPr>
                <w:rFonts w:hint="eastAsia"/>
              </w:rPr>
              <w:t>sd.citics.com</w:t>
            </w:r>
          </w:p>
        </w:tc>
      </w:tr>
    </w:tbl>
    <w:p w:rsidR="00606D3B" w:rsidRDefault="000E56C8">
      <w:pPr>
        <w:spacing w:line="360" w:lineRule="auto"/>
        <w:jc w:val="left"/>
      </w:pPr>
      <w:r>
        <w:rPr>
          <w:rFonts w:hint="eastAsia"/>
        </w:rPr>
        <w:t>3</w:t>
      </w:r>
      <w:r>
        <w:rPr>
          <w:rFonts w:hint="eastAsia"/>
        </w:rPr>
        <w:t>）</w:t>
      </w:r>
      <w:r>
        <w:t>中信证券华南股份有限公司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760"/>
        <w:gridCol w:w="1132"/>
        <w:gridCol w:w="3288"/>
      </w:tblGrid>
      <w:tr w:rsidR="00606D3B">
        <w:tc>
          <w:tcPr>
            <w:tcW w:w="787" w:type="pct"/>
            <w:vAlign w:val="center"/>
          </w:tcPr>
          <w:p w:rsidR="00606D3B" w:rsidRDefault="000E56C8">
            <w:pPr>
              <w:spacing w:line="360" w:lineRule="auto"/>
              <w:jc w:val="left"/>
            </w:pPr>
            <w:r>
              <w:rPr>
                <w:rFonts w:hint="eastAsia"/>
              </w:rPr>
              <w:t>注册地址</w:t>
            </w:r>
          </w:p>
        </w:tc>
        <w:tc>
          <w:tcPr>
            <w:tcW w:w="4212" w:type="pct"/>
            <w:gridSpan w:val="3"/>
            <w:vAlign w:val="center"/>
          </w:tcPr>
          <w:p w:rsidR="00606D3B" w:rsidRDefault="000E56C8">
            <w:pPr>
              <w:spacing w:line="360" w:lineRule="auto"/>
              <w:jc w:val="left"/>
            </w:pPr>
            <w:r>
              <w:rPr>
                <w:rFonts w:hint="eastAsia"/>
              </w:rPr>
              <w:t>广州市天河区临江大道</w:t>
            </w:r>
            <w:r>
              <w:rPr>
                <w:rFonts w:hint="eastAsia"/>
              </w:rPr>
              <w:t>395</w:t>
            </w:r>
            <w:r>
              <w:rPr>
                <w:rFonts w:hint="eastAsia"/>
              </w:rPr>
              <w:t>号</w:t>
            </w:r>
            <w:r>
              <w:rPr>
                <w:rFonts w:hint="eastAsia"/>
              </w:rPr>
              <w:t>901</w:t>
            </w:r>
            <w:r>
              <w:rPr>
                <w:rFonts w:hint="eastAsia"/>
              </w:rPr>
              <w:t>室（部位：自编</w:t>
            </w:r>
            <w:r>
              <w:rPr>
                <w:rFonts w:hint="eastAsia"/>
              </w:rPr>
              <w:t>01</w:t>
            </w:r>
            <w:r>
              <w:rPr>
                <w:rFonts w:hint="eastAsia"/>
              </w:rPr>
              <w:t>号）</w:t>
            </w:r>
            <w:r>
              <w:rPr>
                <w:rFonts w:hint="eastAsia"/>
              </w:rPr>
              <w:t>1001</w:t>
            </w:r>
            <w:r>
              <w:rPr>
                <w:rFonts w:hint="eastAsia"/>
              </w:rPr>
              <w:t>室（部位：自编</w:t>
            </w:r>
            <w:r>
              <w:rPr>
                <w:rFonts w:hint="eastAsia"/>
              </w:rPr>
              <w:t>01</w:t>
            </w:r>
            <w:r>
              <w:rPr>
                <w:rFonts w:hint="eastAsia"/>
              </w:rPr>
              <w:t>号）</w:t>
            </w:r>
          </w:p>
        </w:tc>
      </w:tr>
      <w:tr w:rsidR="00606D3B">
        <w:trPr>
          <w:trHeight w:val="319"/>
        </w:trPr>
        <w:tc>
          <w:tcPr>
            <w:tcW w:w="787" w:type="pct"/>
            <w:vAlign w:val="center"/>
          </w:tcPr>
          <w:p w:rsidR="00606D3B" w:rsidRDefault="000E56C8">
            <w:pPr>
              <w:spacing w:line="360" w:lineRule="auto"/>
              <w:jc w:val="left"/>
            </w:pPr>
            <w:r>
              <w:rPr>
                <w:rFonts w:hint="eastAsia"/>
              </w:rPr>
              <w:t>法定代表人</w:t>
            </w:r>
          </w:p>
        </w:tc>
        <w:tc>
          <w:tcPr>
            <w:tcW w:w="4212" w:type="pct"/>
            <w:gridSpan w:val="3"/>
            <w:vAlign w:val="center"/>
          </w:tcPr>
          <w:p w:rsidR="00606D3B" w:rsidRDefault="000E56C8">
            <w:pPr>
              <w:spacing w:line="360" w:lineRule="auto"/>
              <w:jc w:val="left"/>
            </w:pPr>
            <w:r>
              <w:t>陈可可</w:t>
            </w:r>
          </w:p>
        </w:tc>
      </w:tr>
      <w:tr w:rsidR="00606D3B">
        <w:tc>
          <w:tcPr>
            <w:tcW w:w="787" w:type="pct"/>
            <w:vAlign w:val="center"/>
          </w:tcPr>
          <w:p w:rsidR="00606D3B" w:rsidRDefault="000E56C8">
            <w:pPr>
              <w:spacing w:line="360" w:lineRule="auto"/>
              <w:jc w:val="left"/>
            </w:pPr>
            <w:r>
              <w:rPr>
                <w:rFonts w:hint="eastAsia"/>
              </w:rPr>
              <w:t>客服电话</w:t>
            </w:r>
          </w:p>
        </w:tc>
        <w:tc>
          <w:tcPr>
            <w:tcW w:w="1619" w:type="pct"/>
            <w:vAlign w:val="center"/>
          </w:tcPr>
          <w:p w:rsidR="00606D3B" w:rsidRDefault="000E56C8">
            <w:pPr>
              <w:spacing w:line="360" w:lineRule="auto"/>
              <w:jc w:val="left"/>
            </w:pPr>
            <w:r>
              <w:rPr>
                <w:rFonts w:hint="eastAsia"/>
              </w:rPr>
              <w:t>955</w:t>
            </w:r>
            <w:r>
              <w:rPr>
                <w:rFonts w:hint="eastAsia"/>
              </w:rPr>
              <w:t>48</w:t>
            </w:r>
          </w:p>
        </w:tc>
        <w:tc>
          <w:tcPr>
            <w:tcW w:w="664" w:type="pct"/>
            <w:vAlign w:val="center"/>
          </w:tcPr>
          <w:p w:rsidR="00606D3B" w:rsidRDefault="000E56C8">
            <w:pPr>
              <w:spacing w:line="360" w:lineRule="auto"/>
              <w:jc w:val="left"/>
            </w:pPr>
            <w:r>
              <w:rPr>
                <w:rFonts w:hint="eastAsia"/>
              </w:rPr>
              <w:t>网址</w:t>
            </w:r>
          </w:p>
        </w:tc>
        <w:tc>
          <w:tcPr>
            <w:tcW w:w="1928" w:type="pct"/>
            <w:vAlign w:val="center"/>
          </w:tcPr>
          <w:p w:rsidR="00606D3B" w:rsidRDefault="000E56C8">
            <w:pPr>
              <w:spacing w:line="360" w:lineRule="auto"/>
              <w:jc w:val="left"/>
            </w:pPr>
            <w:r>
              <w:rPr>
                <w:rFonts w:hint="eastAsia"/>
              </w:rPr>
              <w:t>www.gzs.com.cn</w:t>
            </w:r>
          </w:p>
        </w:tc>
      </w:tr>
    </w:tbl>
    <w:p w:rsidR="00606D3B" w:rsidRDefault="000E56C8">
      <w:pPr>
        <w:autoSpaceDE w:val="0"/>
        <w:autoSpaceDN w:val="0"/>
        <w:adjustRightInd w:val="0"/>
        <w:spacing w:line="360" w:lineRule="auto"/>
        <w:jc w:val="left"/>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）方正富邦基金管理有限公司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7167"/>
      </w:tblGrid>
      <w:tr w:rsidR="00606D3B">
        <w:trPr>
          <w:trHeight w:val="313"/>
        </w:trPr>
        <w:tc>
          <w:tcPr>
            <w:tcW w:w="795" w:type="pct"/>
            <w:vAlign w:val="center"/>
          </w:tcPr>
          <w:p w:rsidR="00606D3B" w:rsidRDefault="000E56C8">
            <w:pPr>
              <w:pStyle w:val="080318"/>
              <w:ind w:firstLineChars="0" w:firstLine="0"/>
              <w:rPr>
                <w:rFonts w:asciiTheme="minorEastAsia" w:eastAsiaTheme="minorEastAsia" w:hAnsiTheme="minorEastAsia" w:cs="Times New Roman"/>
              </w:rPr>
            </w:pPr>
            <w:r>
              <w:rPr>
                <w:rFonts w:asciiTheme="minorEastAsia" w:eastAsiaTheme="minorEastAsia" w:hAnsiTheme="minorEastAsia" w:hint="eastAsia"/>
              </w:rPr>
              <w:t>客服电话</w:t>
            </w:r>
          </w:p>
        </w:tc>
        <w:tc>
          <w:tcPr>
            <w:tcW w:w="4204" w:type="pct"/>
            <w:vAlign w:val="center"/>
          </w:tcPr>
          <w:p w:rsidR="00606D3B" w:rsidRDefault="000E56C8">
            <w:pPr>
              <w:pStyle w:val="080318"/>
              <w:ind w:firstLineChars="0" w:firstLine="0"/>
              <w:rPr>
                <w:rFonts w:asciiTheme="minorEastAsia" w:eastAsiaTheme="minorEastAsia" w:hAnsiTheme="minorEastAsia"/>
              </w:rPr>
            </w:pPr>
            <w:r>
              <w:rPr>
                <w:rFonts w:asciiTheme="minorEastAsia" w:eastAsiaTheme="minorEastAsia" w:hAnsiTheme="minorEastAsia" w:hint="eastAsia"/>
              </w:rPr>
              <w:t>400-818-0990</w:t>
            </w:r>
          </w:p>
        </w:tc>
      </w:tr>
      <w:tr w:rsidR="00606D3B">
        <w:trPr>
          <w:trHeight w:val="263"/>
        </w:trPr>
        <w:tc>
          <w:tcPr>
            <w:tcW w:w="795" w:type="pct"/>
            <w:vAlign w:val="center"/>
          </w:tcPr>
          <w:p w:rsidR="00606D3B" w:rsidRDefault="000E56C8">
            <w:pPr>
              <w:pStyle w:val="080318"/>
              <w:ind w:firstLineChars="0" w:firstLine="0"/>
              <w:rPr>
                <w:rFonts w:asciiTheme="minorEastAsia" w:eastAsiaTheme="minorEastAsia" w:hAnsiTheme="minorEastAsia" w:cs="Times New Roman"/>
              </w:rPr>
            </w:pPr>
            <w:r>
              <w:rPr>
                <w:rFonts w:asciiTheme="minorEastAsia" w:eastAsiaTheme="minorEastAsia" w:hAnsiTheme="minorEastAsia" w:hint="eastAsia"/>
              </w:rPr>
              <w:t>网址</w:t>
            </w:r>
          </w:p>
        </w:tc>
        <w:tc>
          <w:tcPr>
            <w:tcW w:w="4204" w:type="pct"/>
            <w:vAlign w:val="center"/>
          </w:tcPr>
          <w:p w:rsidR="00606D3B" w:rsidRDefault="000E56C8">
            <w:pPr>
              <w:pStyle w:val="080318"/>
              <w:ind w:firstLineChars="0" w:firstLine="0"/>
              <w:rPr>
                <w:rFonts w:asciiTheme="minorEastAsia" w:eastAsiaTheme="minorEastAsia" w:hAnsiTheme="minorEastAsia"/>
              </w:rPr>
            </w:pPr>
            <w:r>
              <w:rPr>
                <w:rFonts w:asciiTheme="minorEastAsia" w:eastAsiaTheme="minorEastAsia" w:hAnsiTheme="minorEastAsia"/>
              </w:rPr>
              <w:t>www.</w:t>
            </w:r>
            <w:r>
              <w:rPr>
                <w:rFonts w:asciiTheme="minorEastAsia" w:eastAsiaTheme="minorEastAsia" w:hAnsiTheme="minorEastAsia" w:hint="eastAsia"/>
              </w:rPr>
              <w:t>founderff</w:t>
            </w:r>
            <w:r>
              <w:rPr>
                <w:rFonts w:asciiTheme="minorEastAsia" w:eastAsiaTheme="minorEastAsia" w:hAnsiTheme="minorEastAsia"/>
              </w:rPr>
              <w:t>.com</w:t>
            </w:r>
          </w:p>
        </w:tc>
      </w:tr>
    </w:tbl>
    <w:p w:rsidR="00606D3B" w:rsidRDefault="00606D3B">
      <w:pPr>
        <w:pStyle w:val="a7"/>
        <w:spacing w:before="0" w:beforeAutospacing="0" w:after="0" w:afterAutospacing="0" w:line="360" w:lineRule="auto"/>
        <w:ind w:firstLineChars="200" w:firstLine="420"/>
        <w:jc w:val="both"/>
        <w:rPr>
          <w:sz w:val="21"/>
          <w:szCs w:val="21"/>
        </w:rPr>
      </w:pPr>
    </w:p>
    <w:p w:rsidR="00606D3B" w:rsidRDefault="000E56C8">
      <w:pPr>
        <w:pStyle w:val="a7"/>
        <w:spacing w:before="0" w:beforeAutospacing="0" w:after="0" w:afterAutospacing="0" w:line="360" w:lineRule="auto"/>
        <w:ind w:firstLineChars="200" w:firstLine="420"/>
        <w:jc w:val="both"/>
        <w:rPr>
          <w:sz w:val="21"/>
          <w:szCs w:val="21"/>
        </w:rPr>
      </w:pPr>
      <w:r>
        <w:rPr>
          <w:rFonts w:hint="eastAsia"/>
          <w:sz w:val="21"/>
          <w:szCs w:val="21"/>
        </w:rPr>
        <w:t>风险提示：</w:t>
      </w:r>
    </w:p>
    <w:p w:rsidR="00606D3B" w:rsidRDefault="000E56C8">
      <w:pPr>
        <w:pStyle w:val="a7"/>
        <w:spacing w:before="0" w:beforeAutospacing="0" w:after="0" w:afterAutospacing="0" w:line="360" w:lineRule="auto"/>
        <w:ind w:firstLineChars="200" w:firstLine="420"/>
        <w:jc w:val="both"/>
        <w:rPr>
          <w:sz w:val="21"/>
          <w:szCs w:val="21"/>
        </w:rPr>
      </w:pPr>
      <w:r>
        <w:rPr>
          <w:rFonts w:hint="eastAsia"/>
          <w:sz w:val="21"/>
          <w:szCs w:val="21"/>
        </w:rPr>
        <w:t>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606D3B" w:rsidRDefault="000E56C8">
      <w:pPr>
        <w:pStyle w:val="a7"/>
        <w:spacing w:before="0" w:beforeAutospacing="0" w:after="0" w:afterAutospacing="0" w:line="360" w:lineRule="auto"/>
        <w:ind w:firstLineChars="200" w:firstLine="420"/>
        <w:jc w:val="both"/>
        <w:rPr>
          <w:sz w:val="21"/>
          <w:szCs w:val="21"/>
        </w:rPr>
      </w:pPr>
      <w:r>
        <w:rPr>
          <w:sz w:val="21"/>
          <w:szCs w:val="21"/>
        </w:rPr>
        <w:t>特此公告。</w:t>
      </w:r>
    </w:p>
    <w:p w:rsidR="00606D3B" w:rsidRDefault="00606D3B">
      <w:pPr>
        <w:pStyle w:val="a7"/>
        <w:spacing w:before="0" w:beforeAutospacing="0" w:after="0" w:afterAutospacing="0" w:line="360" w:lineRule="auto"/>
        <w:ind w:firstLineChars="200" w:firstLine="420"/>
        <w:jc w:val="right"/>
        <w:rPr>
          <w:sz w:val="21"/>
          <w:szCs w:val="21"/>
        </w:rPr>
      </w:pPr>
    </w:p>
    <w:p w:rsidR="00606D3B" w:rsidRDefault="000E56C8">
      <w:pPr>
        <w:pStyle w:val="a7"/>
        <w:spacing w:before="0" w:beforeAutospacing="0" w:after="0" w:afterAutospacing="0" w:line="360" w:lineRule="auto"/>
        <w:ind w:firstLineChars="200" w:firstLine="420"/>
        <w:jc w:val="right"/>
        <w:rPr>
          <w:sz w:val="21"/>
          <w:szCs w:val="21"/>
        </w:rPr>
      </w:pPr>
      <w:r>
        <w:rPr>
          <w:rFonts w:hint="eastAsia"/>
          <w:sz w:val="21"/>
          <w:szCs w:val="21"/>
        </w:rPr>
        <w:t>方正富邦基金管理有限公司</w:t>
      </w:r>
    </w:p>
    <w:p w:rsidR="00606D3B" w:rsidRDefault="000E56C8">
      <w:pPr>
        <w:pStyle w:val="a7"/>
        <w:spacing w:before="0" w:beforeAutospacing="0" w:after="0" w:afterAutospacing="0" w:line="360" w:lineRule="auto"/>
        <w:ind w:firstLineChars="200" w:firstLine="420"/>
        <w:jc w:val="right"/>
        <w:rPr>
          <w:sz w:val="21"/>
          <w:szCs w:val="21"/>
        </w:rPr>
      </w:pPr>
      <w:r>
        <w:rPr>
          <w:rFonts w:hint="eastAsia"/>
          <w:sz w:val="21"/>
          <w:szCs w:val="21"/>
        </w:rPr>
        <w:t>2023</w:t>
      </w:r>
      <w:r>
        <w:rPr>
          <w:rFonts w:hint="eastAsia"/>
          <w:sz w:val="21"/>
          <w:szCs w:val="21"/>
        </w:rPr>
        <w:t>年</w:t>
      </w:r>
      <w:r>
        <w:rPr>
          <w:rFonts w:hint="eastAsia"/>
          <w:sz w:val="21"/>
          <w:szCs w:val="21"/>
        </w:rPr>
        <w:t>9</w:t>
      </w:r>
      <w:r>
        <w:rPr>
          <w:rFonts w:hint="eastAsia"/>
          <w:sz w:val="21"/>
          <w:szCs w:val="21"/>
        </w:rPr>
        <w:t>月</w:t>
      </w:r>
      <w:r>
        <w:rPr>
          <w:rFonts w:hint="eastAsia"/>
          <w:sz w:val="21"/>
          <w:szCs w:val="21"/>
        </w:rPr>
        <w:t>22</w:t>
      </w:r>
      <w:r>
        <w:rPr>
          <w:rFonts w:hint="eastAsia"/>
          <w:sz w:val="21"/>
          <w:szCs w:val="21"/>
        </w:rPr>
        <w:t>日</w:t>
      </w:r>
    </w:p>
    <w:sectPr w:rsidR="00606D3B" w:rsidSect="00606D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B3E60"/>
    <w:multiLevelType w:val="multilevel"/>
    <w:tmpl w:val="393B3E60"/>
    <w:lvl w:ilvl="0">
      <w:start w:val="1"/>
      <w:numFmt w:val="chineseCountingThousand"/>
      <w:pStyle w:val="1"/>
      <w:suff w:val="nothing"/>
      <w:lvlText w:val="%1、"/>
      <w:lvlJc w:val="center"/>
      <w:pPr>
        <w:ind w:left="0" w:firstLine="288"/>
      </w:pPr>
    </w:lvl>
    <w:lvl w:ilvl="1">
      <w:start w:val="1"/>
      <w:numFmt w:val="chineseCountingThousand"/>
      <w:pStyle w:val="2"/>
      <w:lvlText w:val="（%2）"/>
      <w:lvlJc w:val="left"/>
      <w:pPr>
        <w:tabs>
          <w:tab w:val="left" w:pos="1260"/>
        </w:tabs>
        <w:ind w:left="180" w:firstLine="0"/>
      </w:pPr>
      <w:rPr>
        <w:sz w:val="21"/>
        <w:szCs w:val="21"/>
      </w:rPr>
    </w:lvl>
    <w:lvl w:ilvl="2">
      <w:start w:val="1"/>
      <w:numFmt w:val="decimal"/>
      <w:pStyle w:val="3"/>
      <w:lvlText w:val="%3."/>
      <w:lvlJc w:val="left"/>
      <w:pPr>
        <w:tabs>
          <w:tab w:val="left" w:pos="454"/>
        </w:tabs>
        <w:ind w:left="454" w:hanging="454"/>
      </w:pPr>
      <w:rPr>
        <w:rFonts w:ascii="Arial" w:eastAsia="宋体" w:hAnsi="Arial" w:cs="Arial" w:hint="default"/>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sz w:val="24"/>
      </w:rPr>
    </w:lvl>
    <w:lvl w:ilvl="5">
      <w:start w:val="1"/>
      <w:numFmt w:val="upperLetter"/>
      <w:pStyle w:val="6"/>
      <w:lvlText w:val="%6."/>
      <w:lvlJc w:val="left"/>
      <w:pPr>
        <w:tabs>
          <w:tab w:val="left" w:pos="927"/>
        </w:tabs>
        <w:ind w:left="0" w:firstLine="567"/>
      </w:pPr>
      <w:rPr>
        <w:sz w:val="21"/>
        <w:szCs w:val="21"/>
      </w:rPr>
    </w:lvl>
    <w:lvl w:ilvl="6">
      <w:start w:val="1"/>
      <w:numFmt w:val="none"/>
      <w:lvlText w:val=""/>
      <w:lvlJc w:val="left"/>
      <w:pPr>
        <w:tabs>
          <w:tab w:val="left" w:pos="3827"/>
        </w:tabs>
        <w:ind w:left="3827" w:hanging="1276"/>
      </w:pPr>
    </w:lvl>
    <w:lvl w:ilvl="7">
      <w:start w:val="1"/>
      <w:numFmt w:val="none"/>
      <w:lvlText w:val=""/>
      <w:lvlJc w:val="left"/>
      <w:pPr>
        <w:tabs>
          <w:tab w:val="left" w:pos="4394"/>
        </w:tabs>
        <w:ind w:left="4394" w:hanging="1418"/>
      </w:pPr>
    </w:lvl>
    <w:lvl w:ilvl="8">
      <w:start w:val="1"/>
      <w:numFmt w:val="none"/>
      <w:lvlText w:val=""/>
      <w:lvlJc w:val="left"/>
      <w:pPr>
        <w:tabs>
          <w:tab w:val="left" w:pos="510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g2YjNjOTIxZjMwMTA5NDc0Y2VmZjI1YmFhNTA0ZDMifQ=="/>
  </w:docVars>
  <w:rsids>
    <w:rsidRoot w:val="006A0830"/>
    <w:rsid w:val="00011F4E"/>
    <w:rsid w:val="00014BE6"/>
    <w:rsid w:val="00017DDD"/>
    <w:rsid w:val="00025620"/>
    <w:rsid w:val="000262E9"/>
    <w:rsid w:val="00042EC1"/>
    <w:rsid w:val="00044747"/>
    <w:rsid w:val="00045A0E"/>
    <w:rsid w:val="00084143"/>
    <w:rsid w:val="000A2C45"/>
    <w:rsid w:val="000A7122"/>
    <w:rsid w:val="000B0370"/>
    <w:rsid w:val="000B3A13"/>
    <w:rsid w:val="000B3BD6"/>
    <w:rsid w:val="000D15C4"/>
    <w:rsid w:val="000E56C8"/>
    <w:rsid w:val="000F3B48"/>
    <w:rsid w:val="001038A6"/>
    <w:rsid w:val="001165AD"/>
    <w:rsid w:val="00120F9A"/>
    <w:rsid w:val="00121E2D"/>
    <w:rsid w:val="00141AFF"/>
    <w:rsid w:val="0014441D"/>
    <w:rsid w:val="00151F96"/>
    <w:rsid w:val="00165CDD"/>
    <w:rsid w:val="00173A58"/>
    <w:rsid w:val="001808A0"/>
    <w:rsid w:val="001819D2"/>
    <w:rsid w:val="00193E6E"/>
    <w:rsid w:val="0019516D"/>
    <w:rsid w:val="001A14A9"/>
    <w:rsid w:val="001A31F7"/>
    <w:rsid w:val="001A3E3D"/>
    <w:rsid w:val="001A6D8B"/>
    <w:rsid w:val="001B3566"/>
    <w:rsid w:val="001C5AF1"/>
    <w:rsid w:val="001C5EAB"/>
    <w:rsid w:val="001E2A48"/>
    <w:rsid w:val="001E6DB8"/>
    <w:rsid w:val="001E7F8D"/>
    <w:rsid w:val="001F2D87"/>
    <w:rsid w:val="001F75C3"/>
    <w:rsid w:val="001F7FD0"/>
    <w:rsid w:val="00201EC6"/>
    <w:rsid w:val="002028E3"/>
    <w:rsid w:val="00202A9B"/>
    <w:rsid w:val="00217FFA"/>
    <w:rsid w:val="002257DD"/>
    <w:rsid w:val="00232682"/>
    <w:rsid w:val="002357EF"/>
    <w:rsid w:val="0025469F"/>
    <w:rsid w:val="00257040"/>
    <w:rsid w:val="0025750C"/>
    <w:rsid w:val="00261318"/>
    <w:rsid w:val="00265CB1"/>
    <w:rsid w:val="00273C17"/>
    <w:rsid w:val="00280BE6"/>
    <w:rsid w:val="0029335A"/>
    <w:rsid w:val="002A0B56"/>
    <w:rsid w:val="002A2BB4"/>
    <w:rsid w:val="002A7439"/>
    <w:rsid w:val="002B09D8"/>
    <w:rsid w:val="002B6FC9"/>
    <w:rsid w:val="002D45F1"/>
    <w:rsid w:val="002D53F6"/>
    <w:rsid w:val="002D6ACC"/>
    <w:rsid w:val="002E654E"/>
    <w:rsid w:val="002F70D2"/>
    <w:rsid w:val="00302059"/>
    <w:rsid w:val="00302847"/>
    <w:rsid w:val="00311946"/>
    <w:rsid w:val="003338E1"/>
    <w:rsid w:val="00352CC9"/>
    <w:rsid w:val="00355307"/>
    <w:rsid w:val="00357E57"/>
    <w:rsid w:val="0036505C"/>
    <w:rsid w:val="0038178C"/>
    <w:rsid w:val="003A1B6F"/>
    <w:rsid w:val="003A25D0"/>
    <w:rsid w:val="003A4D70"/>
    <w:rsid w:val="003A747A"/>
    <w:rsid w:val="003B04F1"/>
    <w:rsid w:val="003B0C13"/>
    <w:rsid w:val="003B3112"/>
    <w:rsid w:val="003D2861"/>
    <w:rsid w:val="003D570A"/>
    <w:rsid w:val="003D5FE5"/>
    <w:rsid w:val="003F1032"/>
    <w:rsid w:val="003F10D9"/>
    <w:rsid w:val="003F3D99"/>
    <w:rsid w:val="00400AAC"/>
    <w:rsid w:val="00402BC7"/>
    <w:rsid w:val="004145A7"/>
    <w:rsid w:val="004222A2"/>
    <w:rsid w:val="0044010A"/>
    <w:rsid w:val="004446E7"/>
    <w:rsid w:val="0045561A"/>
    <w:rsid w:val="00456FBB"/>
    <w:rsid w:val="004607C6"/>
    <w:rsid w:val="00463E58"/>
    <w:rsid w:val="004643CF"/>
    <w:rsid w:val="004676E4"/>
    <w:rsid w:val="004A3A9E"/>
    <w:rsid w:val="004A75FB"/>
    <w:rsid w:val="004B0D22"/>
    <w:rsid w:val="004B6D39"/>
    <w:rsid w:val="004C3CB1"/>
    <w:rsid w:val="004D059D"/>
    <w:rsid w:val="004D55CF"/>
    <w:rsid w:val="004E296D"/>
    <w:rsid w:val="004E57D3"/>
    <w:rsid w:val="004F42C5"/>
    <w:rsid w:val="004F58BF"/>
    <w:rsid w:val="00507619"/>
    <w:rsid w:val="005079A3"/>
    <w:rsid w:val="00520806"/>
    <w:rsid w:val="005214B7"/>
    <w:rsid w:val="005265DE"/>
    <w:rsid w:val="00531CF6"/>
    <w:rsid w:val="00532A7E"/>
    <w:rsid w:val="00561A39"/>
    <w:rsid w:val="005632D0"/>
    <w:rsid w:val="005705C5"/>
    <w:rsid w:val="005859FE"/>
    <w:rsid w:val="005A00E5"/>
    <w:rsid w:val="005A16BC"/>
    <w:rsid w:val="005A2F60"/>
    <w:rsid w:val="005A7AD9"/>
    <w:rsid w:val="005B1D81"/>
    <w:rsid w:val="005B2B1A"/>
    <w:rsid w:val="005E5E01"/>
    <w:rsid w:val="005F666C"/>
    <w:rsid w:val="0060101A"/>
    <w:rsid w:val="00606D3B"/>
    <w:rsid w:val="00607B7F"/>
    <w:rsid w:val="00607F17"/>
    <w:rsid w:val="00614B88"/>
    <w:rsid w:val="006167DC"/>
    <w:rsid w:val="00631D6A"/>
    <w:rsid w:val="00695567"/>
    <w:rsid w:val="00697171"/>
    <w:rsid w:val="006A0830"/>
    <w:rsid w:val="006A1424"/>
    <w:rsid w:val="006A619C"/>
    <w:rsid w:val="006B15C9"/>
    <w:rsid w:val="006C50A6"/>
    <w:rsid w:val="006C6AB8"/>
    <w:rsid w:val="006E63F3"/>
    <w:rsid w:val="006F029E"/>
    <w:rsid w:val="007101C2"/>
    <w:rsid w:val="00711FC4"/>
    <w:rsid w:val="007156D0"/>
    <w:rsid w:val="00717066"/>
    <w:rsid w:val="00720724"/>
    <w:rsid w:val="00735650"/>
    <w:rsid w:val="00761E58"/>
    <w:rsid w:val="0076431E"/>
    <w:rsid w:val="00781E12"/>
    <w:rsid w:val="0078258E"/>
    <w:rsid w:val="00782C35"/>
    <w:rsid w:val="007868D1"/>
    <w:rsid w:val="00794FD5"/>
    <w:rsid w:val="007A0DAB"/>
    <w:rsid w:val="007A1137"/>
    <w:rsid w:val="007A48E7"/>
    <w:rsid w:val="007A5779"/>
    <w:rsid w:val="007A6323"/>
    <w:rsid w:val="007A7087"/>
    <w:rsid w:val="007B3D64"/>
    <w:rsid w:val="007C3CF0"/>
    <w:rsid w:val="007D2B1B"/>
    <w:rsid w:val="007D5192"/>
    <w:rsid w:val="007D5FB8"/>
    <w:rsid w:val="007D7579"/>
    <w:rsid w:val="007E6C8A"/>
    <w:rsid w:val="007F5A3D"/>
    <w:rsid w:val="00801511"/>
    <w:rsid w:val="00821A3D"/>
    <w:rsid w:val="008272E6"/>
    <w:rsid w:val="00834D3C"/>
    <w:rsid w:val="00844A5F"/>
    <w:rsid w:val="00850E20"/>
    <w:rsid w:val="00852B66"/>
    <w:rsid w:val="0085509C"/>
    <w:rsid w:val="0085633F"/>
    <w:rsid w:val="0086097C"/>
    <w:rsid w:val="00863A97"/>
    <w:rsid w:val="00865974"/>
    <w:rsid w:val="008706BE"/>
    <w:rsid w:val="008732A2"/>
    <w:rsid w:val="00881526"/>
    <w:rsid w:val="00890117"/>
    <w:rsid w:val="00893FA1"/>
    <w:rsid w:val="008A0A79"/>
    <w:rsid w:val="008A21A6"/>
    <w:rsid w:val="008A638D"/>
    <w:rsid w:val="008C3C67"/>
    <w:rsid w:val="008D1A42"/>
    <w:rsid w:val="008D7F49"/>
    <w:rsid w:val="008E0DC6"/>
    <w:rsid w:val="008F190D"/>
    <w:rsid w:val="008F668D"/>
    <w:rsid w:val="008F689F"/>
    <w:rsid w:val="00901C2B"/>
    <w:rsid w:val="00903291"/>
    <w:rsid w:val="00911614"/>
    <w:rsid w:val="00934E30"/>
    <w:rsid w:val="0094189F"/>
    <w:rsid w:val="00946E90"/>
    <w:rsid w:val="00963C1E"/>
    <w:rsid w:val="00966E8C"/>
    <w:rsid w:val="00971D49"/>
    <w:rsid w:val="0097574B"/>
    <w:rsid w:val="00975B98"/>
    <w:rsid w:val="00976626"/>
    <w:rsid w:val="00984F52"/>
    <w:rsid w:val="00987D25"/>
    <w:rsid w:val="00993B77"/>
    <w:rsid w:val="009B01FA"/>
    <w:rsid w:val="009B1BD5"/>
    <w:rsid w:val="009B64D9"/>
    <w:rsid w:val="009D2F87"/>
    <w:rsid w:val="009E69CD"/>
    <w:rsid w:val="009E7E79"/>
    <w:rsid w:val="00A05D44"/>
    <w:rsid w:val="00A11F2F"/>
    <w:rsid w:val="00A127FD"/>
    <w:rsid w:val="00A220A1"/>
    <w:rsid w:val="00A258B9"/>
    <w:rsid w:val="00A264FB"/>
    <w:rsid w:val="00A421BF"/>
    <w:rsid w:val="00A44777"/>
    <w:rsid w:val="00A51C00"/>
    <w:rsid w:val="00A52649"/>
    <w:rsid w:val="00A57615"/>
    <w:rsid w:val="00A66AD1"/>
    <w:rsid w:val="00A80275"/>
    <w:rsid w:val="00A80836"/>
    <w:rsid w:val="00A819D8"/>
    <w:rsid w:val="00A910CF"/>
    <w:rsid w:val="00AA1AFD"/>
    <w:rsid w:val="00AA6FC0"/>
    <w:rsid w:val="00AB42FE"/>
    <w:rsid w:val="00AB6DE6"/>
    <w:rsid w:val="00AB7397"/>
    <w:rsid w:val="00AC10A5"/>
    <w:rsid w:val="00AC7F99"/>
    <w:rsid w:val="00AD4395"/>
    <w:rsid w:val="00AE2B97"/>
    <w:rsid w:val="00AE42D8"/>
    <w:rsid w:val="00AE53D6"/>
    <w:rsid w:val="00AE6810"/>
    <w:rsid w:val="00AF0531"/>
    <w:rsid w:val="00B001AE"/>
    <w:rsid w:val="00B337DC"/>
    <w:rsid w:val="00B4473E"/>
    <w:rsid w:val="00B524DA"/>
    <w:rsid w:val="00B70928"/>
    <w:rsid w:val="00B7144D"/>
    <w:rsid w:val="00B72A3B"/>
    <w:rsid w:val="00B742E2"/>
    <w:rsid w:val="00B80165"/>
    <w:rsid w:val="00B91CBC"/>
    <w:rsid w:val="00B9456F"/>
    <w:rsid w:val="00BA13F1"/>
    <w:rsid w:val="00BB140F"/>
    <w:rsid w:val="00BC40D5"/>
    <w:rsid w:val="00BD7589"/>
    <w:rsid w:val="00BF2899"/>
    <w:rsid w:val="00BF6130"/>
    <w:rsid w:val="00C044C1"/>
    <w:rsid w:val="00C230D0"/>
    <w:rsid w:val="00C4464A"/>
    <w:rsid w:val="00C52E07"/>
    <w:rsid w:val="00C66230"/>
    <w:rsid w:val="00C7079F"/>
    <w:rsid w:val="00C740E6"/>
    <w:rsid w:val="00C850CD"/>
    <w:rsid w:val="00C9532A"/>
    <w:rsid w:val="00CA6E3B"/>
    <w:rsid w:val="00CB1CCC"/>
    <w:rsid w:val="00CB32F8"/>
    <w:rsid w:val="00CB61AA"/>
    <w:rsid w:val="00CC1F49"/>
    <w:rsid w:val="00CE3B23"/>
    <w:rsid w:val="00CE43FA"/>
    <w:rsid w:val="00CF74AE"/>
    <w:rsid w:val="00D031BB"/>
    <w:rsid w:val="00D06EE7"/>
    <w:rsid w:val="00D14DDE"/>
    <w:rsid w:val="00D33485"/>
    <w:rsid w:val="00D55D54"/>
    <w:rsid w:val="00D563BD"/>
    <w:rsid w:val="00D6433F"/>
    <w:rsid w:val="00D65251"/>
    <w:rsid w:val="00D661AE"/>
    <w:rsid w:val="00D70F74"/>
    <w:rsid w:val="00D92EF2"/>
    <w:rsid w:val="00DA0531"/>
    <w:rsid w:val="00DA0B7F"/>
    <w:rsid w:val="00DA53AE"/>
    <w:rsid w:val="00DC699B"/>
    <w:rsid w:val="00DE2A52"/>
    <w:rsid w:val="00DE3010"/>
    <w:rsid w:val="00DE4556"/>
    <w:rsid w:val="00DF3F7F"/>
    <w:rsid w:val="00E124D3"/>
    <w:rsid w:val="00E13714"/>
    <w:rsid w:val="00E252C8"/>
    <w:rsid w:val="00E472B3"/>
    <w:rsid w:val="00E54D26"/>
    <w:rsid w:val="00E7025F"/>
    <w:rsid w:val="00E726FF"/>
    <w:rsid w:val="00E82AD8"/>
    <w:rsid w:val="00E844B3"/>
    <w:rsid w:val="00E84DA6"/>
    <w:rsid w:val="00E93DB3"/>
    <w:rsid w:val="00E95F0D"/>
    <w:rsid w:val="00E9709D"/>
    <w:rsid w:val="00EA47AC"/>
    <w:rsid w:val="00EB22B9"/>
    <w:rsid w:val="00EC44BE"/>
    <w:rsid w:val="00ED0851"/>
    <w:rsid w:val="00ED35BE"/>
    <w:rsid w:val="00ED3DA8"/>
    <w:rsid w:val="00EE1163"/>
    <w:rsid w:val="00EF292B"/>
    <w:rsid w:val="00EF4573"/>
    <w:rsid w:val="00EF7572"/>
    <w:rsid w:val="00F04B7A"/>
    <w:rsid w:val="00F1057F"/>
    <w:rsid w:val="00F23F5A"/>
    <w:rsid w:val="00F31659"/>
    <w:rsid w:val="00F34D27"/>
    <w:rsid w:val="00F3689A"/>
    <w:rsid w:val="00F43DF2"/>
    <w:rsid w:val="00F45B9A"/>
    <w:rsid w:val="00F53CE3"/>
    <w:rsid w:val="00F549AB"/>
    <w:rsid w:val="00F56EC4"/>
    <w:rsid w:val="00F611A8"/>
    <w:rsid w:val="00F66FD9"/>
    <w:rsid w:val="00F7660B"/>
    <w:rsid w:val="00F766F0"/>
    <w:rsid w:val="00F8777F"/>
    <w:rsid w:val="00FA4174"/>
    <w:rsid w:val="00FC44B9"/>
    <w:rsid w:val="00FD1D4D"/>
    <w:rsid w:val="00FF48DF"/>
    <w:rsid w:val="00FF4D81"/>
    <w:rsid w:val="08903721"/>
    <w:rsid w:val="0F2C21D2"/>
    <w:rsid w:val="1357361A"/>
    <w:rsid w:val="166E6190"/>
    <w:rsid w:val="50350355"/>
    <w:rsid w:val="54C477B4"/>
    <w:rsid w:val="60635F2D"/>
    <w:rsid w:val="65D44548"/>
    <w:rsid w:val="72F54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B"/>
    <w:pPr>
      <w:jc w:val="both"/>
    </w:pPr>
    <w:rPr>
      <w:rFonts w:ascii="Calibri" w:hAnsi="Calibri" w:cs="宋体"/>
      <w:sz w:val="21"/>
      <w:szCs w:val="21"/>
    </w:rPr>
  </w:style>
  <w:style w:type="paragraph" w:styleId="1">
    <w:name w:val="heading 1"/>
    <w:basedOn w:val="a"/>
    <w:next w:val="a"/>
    <w:link w:val="1Char"/>
    <w:uiPriority w:val="9"/>
    <w:qFormat/>
    <w:rsid w:val="00606D3B"/>
    <w:pPr>
      <w:numPr>
        <w:numId w:val="1"/>
      </w:numPr>
      <w:spacing w:before="300" w:after="300" w:line="360" w:lineRule="auto"/>
      <w:outlineLvl w:val="0"/>
    </w:pPr>
    <w:rPr>
      <w:rFonts w:ascii="宋体" w:hAnsi="宋体"/>
      <w:b/>
      <w:bCs/>
      <w:color w:val="000000"/>
      <w:kern w:val="36"/>
      <w:sz w:val="30"/>
      <w:szCs w:val="30"/>
    </w:rPr>
  </w:style>
  <w:style w:type="paragraph" w:styleId="2">
    <w:name w:val="heading 2"/>
    <w:basedOn w:val="a"/>
    <w:next w:val="a"/>
    <w:link w:val="2Char"/>
    <w:uiPriority w:val="9"/>
    <w:semiHidden/>
    <w:unhideWhenUsed/>
    <w:qFormat/>
    <w:rsid w:val="00606D3B"/>
    <w:pPr>
      <w:numPr>
        <w:ilvl w:val="1"/>
        <w:numId w:val="1"/>
      </w:numPr>
      <w:spacing w:after="120" w:line="360" w:lineRule="auto"/>
      <w:outlineLvl w:val="1"/>
    </w:pPr>
    <w:rPr>
      <w:rFonts w:ascii="宋体" w:hAnsi="宋体"/>
      <w:color w:val="000000"/>
      <w:sz w:val="24"/>
      <w:szCs w:val="24"/>
    </w:rPr>
  </w:style>
  <w:style w:type="paragraph" w:styleId="3">
    <w:name w:val="heading 3"/>
    <w:basedOn w:val="a"/>
    <w:next w:val="a"/>
    <w:link w:val="3Char"/>
    <w:uiPriority w:val="9"/>
    <w:semiHidden/>
    <w:unhideWhenUsed/>
    <w:qFormat/>
    <w:rsid w:val="00606D3B"/>
    <w:pPr>
      <w:numPr>
        <w:ilvl w:val="2"/>
        <w:numId w:val="1"/>
      </w:numPr>
      <w:spacing w:after="120" w:line="360" w:lineRule="auto"/>
      <w:outlineLvl w:val="2"/>
    </w:pPr>
    <w:rPr>
      <w:rFonts w:ascii="宋体" w:hAnsi="宋体"/>
      <w:color w:val="000000"/>
    </w:rPr>
  </w:style>
  <w:style w:type="paragraph" w:styleId="4">
    <w:name w:val="heading 4"/>
    <w:basedOn w:val="a"/>
    <w:next w:val="a"/>
    <w:link w:val="4Char"/>
    <w:uiPriority w:val="9"/>
    <w:semiHidden/>
    <w:unhideWhenUsed/>
    <w:qFormat/>
    <w:rsid w:val="00606D3B"/>
    <w:pPr>
      <w:numPr>
        <w:ilvl w:val="3"/>
        <w:numId w:val="1"/>
      </w:numPr>
      <w:spacing w:after="120" w:line="360" w:lineRule="auto"/>
      <w:outlineLvl w:val="3"/>
    </w:pPr>
    <w:rPr>
      <w:rFonts w:ascii="宋体" w:hAnsi="宋体"/>
      <w:color w:val="000000"/>
    </w:rPr>
  </w:style>
  <w:style w:type="paragraph" w:styleId="5">
    <w:name w:val="heading 5"/>
    <w:basedOn w:val="a"/>
    <w:next w:val="a"/>
    <w:link w:val="5Char"/>
    <w:uiPriority w:val="9"/>
    <w:semiHidden/>
    <w:unhideWhenUsed/>
    <w:qFormat/>
    <w:rsid w:val="00606D3B"/>
    <w:pPr>
      <w:numPr>
        <w:ilvl w:val="4"/>
        <w:numId w:val="1"/>
      </w:numPr>
      <w:spacing w:after="120" w:line="360" w:lineRule="auto"/>
      <w:outlineLvl w:val="4"/>
    </w:pPr>
    <w:rPr>
      <w:rFonts w:ascii="宋体" w:hAnsi="宋体"/>
      <w:color w:val="000000"/>
    </w:rPr>
  </w:style>
  <w:style w:type="paragraph" w:styleId="6">
    <w:name w:val="heading 6"/>
    <w:basedOn w:val="a"/>
    <w:next w:val="a"/>
    <w:link w:val="6Char"/>
    <w:uiPriority w:val="9"/>
    <w:semiHidden/>
    <w:unhideWhenUsed/>
    <w:qFormat/>
    <w:rsid w:val="00606D3B"/>
    <w:pPr>
      <w:numPr>
        <w:ilvl w:val="5"/>
        <w:numId w:val="1"/>
      </w:numPr>
      <w:spacing w:after="120" w:line="360" w:lineRule="auto"/>
      <w:outlineLvl w:val="5"/>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06D3B"/>
    <w:pPr>
      <w:jc w:val="left"/>
    </w:pPr>
  </w:style>
  <w:style w:type="paragraph" w:styleId="a4">
    <w:name w:val="Balloon Text"/>
    <w:basedOn w:val="a"/>
    <w:link w:val="Char0"/>
    <w:uiPriority w:val="99"/>
    <w:semiHidden/>
    <w:unhideWhenUsed/>
    <w:qFormat/>
    <w:rsid w:val="00606D3B"/>
    <w:rPr>
      <w:sz w:val="18"/>
      <w:szCs w:val="18"/>
    </w:rPr>
  </w:style>
  <w:style w:type="paragraph" w:styleId="a5">
    <w:name w:val="footer"/>
    <w:basedOn w:val="a"/>
    <w:link w:val="Char1"/>
    <w:uiPriority w:val="99"/>
    <w:unhideWhenUsed/>
    <w:qFormat/>
    <w:rsid w:val="00606D3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06D3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06D3B"/>
    <w:pPr>
      <w:spacing w:before="100" w:beforeAutospacing="1" w:after="100" w:afterAutospacing="1"/>
      <w:jc w:val="left"/>
    </w:pPr>
    <w:rPr>
      <w:rFonts w:ascii="宋体" w:hAnsi="宋体"/>
      <w:sz w:val="24"/>
      <w:szCs w:val="24"/>
    </w:rPr>
  </w:style>
  <w:style w:type="paragraph" w:styleId="a8">
    <w:name w:val="annotation subject"/>
    <w:basedOn w:val="a3"/>
    <w:next w:val="a3"/>
    <w:link w:val="Char3"/>
    <w:uiPriority w:val="99"/>
    <w:semiHidden/>
    <w:unhideWhenUsed/>
    <w:qFormat/>
    <w:rsid w:val="00606D3B"/>
    <w:rPr>
      <w:b/>
      <w:bCs/>
    </w:rPr>
  </w:style>
  <w:style w:type="table" w:styleId="a9">
    <w:name w:val="Table Grid"/>
    <w:basedOn w:val="a1"/>
    <w:uiPriority w:val="59"/>
    <w:qFormat/>
    <w:rsid w:val="00606D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sid w:val="00606D3B"/>
    <w:rPr>
      <w:color w:val="0000FF"/>
      <w:u w:val="single"/>
    </w:rPr>
  </w:style>
  <w:style w:type="character" w:styleId="ab">
    <w:name w:val="annotation reference"/>
    <w:uiPriority w:val="99"/>
    <w:semiHidden/>
    <w:unhideWhenUsed/>
    <w:qFormat/>
    <w:rsid w:val="00606D3B"/>
    <w:rPr>
      <w:sz w:val="21"/>
      <w:szCs w:val="21"/>
    </w:rPr>
  </w:style>
  <w:style w:type="character" w:customStyle="1" w:styleId="1Char">
    <w:name w:val="标题 1 Char"/>
    <w:link w:val="1"/>
    <w:uiPriority w:val="9"/>
    <w:qFormat/>
    <w:rsid w:val="00606D3B"/>
    <w:rPr>
      <w:rFonts w:ascii="宋体" w:eastAsia="宋体" w:hAnsi="宋体" w:cs="宋体"/>
      <w:b/>
      <w:bCs/>
      <w:color w:val="000000"/>
      <w:kern w:val="36"/>
      <w:sz w:val="30"/>
      <w:szCs w:val="30"/>
    </w:rPr>
  </w:style>
  <w:style w:type="character" w:customStyle="1" w:styleId="2Char">
    <w:name w:val="标题 2 Char"/>
    <w:link w:val="2"/>
    <w:uiPriority w:val="9"/>
    <w:semiHidden/>
    <w:qFormat/>
    <w:rsid w:val="00606D3B"/>
    <w:rPr>
      <w:rFonts w:ascii="宋体" w:eastAsia="宋体" w:hAnsi="宋体" w:cs="宋体"/>
      <w:color w:val="000000"/>
      <w:kern w:val="0"/>
      <w:sz w:val="24"/>
      <w:szCs w:val="24"/>
    </w:rPr>
  </w:style>
  <w:style w:type="character" w:customStyle="1" w:styleId="3Char">
    <w:name w:val="标题 3 Char"/>
    <w:link w:val="3"/>
    <w:uiPriority w:val="9"/>
    <w:semiHidden/>
    <w:qFormat/>
    <w:rsid w:val="00606D3B"/>
    <w:rPr>
      <w:rFonts w:ascii="宋体" w:eastAsia="宋体" w:hAnsi="宋体" w:cs="宋体"/>
      <w:color w:val="000000"/>
      <w:kern w:val="0"/>
      <w:szCs w:val="21"/>
    </w:rPr>
  </w:style>
  <w:style w:type="character" w:customStyle="1" w:styleId="4Char">
    <w:name w:val="标题 4 Char"/>
    <w:link w:val="4"/>
    <w:uiPriority w:val="9"/>
    <w:semiHidden/>
    <w:qFormat/>
    <w:rsid w:val="00606D3B"/>
    <w:rPr>
      <w:rFonts w:ascii="宋体" w:eastAsia="宋体" w:hAnsi="宋体" w:cs="宋体"/>
      <w:color w:val="000000"/>
      <w:kern w:val="0"/>
      <w:szCs w:val="21"/>
    </w:rPr>
  </w:style>
  <w:style w:type="character" w:customStyle="1" w:styleId="5Char">
    <w:name w:val="标题 5 Char"/>
    <w:link w:val="5"/>
    <w:uiPriority w:val="9"/>
    <w:semiHidden/>
    <w:qFormat/>
    <w:rsid w:val="00606D3B"/>
    <w:rPr>
      <w:rFonts w:ascii="宋体" w:eastAsia="宋体" w:hAnsi="宋体" w:cs="宋体"/>
      <w:color w:val="000000"/>
      <w:kern w:val="0"/>
      <w:szCs w:val="21"/>
    </w:rPr>
  </w:style>
  <w:style w:type="character" w:customStyle="1" w:styleId="6Char">
    <w:name w:val="标题 6 Char"/>
    <w:link w:val="6"/>
    <w:uiPriority w:val="9"/>
    <w:semiHidden/>
    <w:qFormat/>
    <w:rsid w:val="00606D3B"/>
    <w:rPr>
      <w:rFonts w:ascii="宋体" w:eastAsia="宋体" w:hAnsi="宋体" w:cs="宋体"/>
      <w:color w:val="000000"/>
      <w:kern w:val="0"/>
      <w:szCs w:val="21"/>
    </w:rPr>
  </w:style>
  <w:style w:type="character" w:customStyle="1" w:styleId="Char2">
    <w:name w:val="页眉 Char"/>
    <w:link w:val="a6"/>
    <w:uiPriority w:val="99"/>
    <w:qFormat/>
    <w:rsid w:val="00606D3B"/>
    <w:rPr>
      <w:rFonts w:ascii="Calibri" w:eastAsia="宋体" w:hAnsi="Calibri" w:cs="宋体"/>
      <w:kern w:val="0"/>
      <w:sz w:val="18"/>
      <w:szCs w:val="18"/>
    </w:rPr>
  </w:style>
  <w:style w:type="character" w:customStyle="1" w:styleId="Char1">
    <w:name w:val="页脚 Char"/>
    <w:link w:val="a5"/>
    <w:uiPriority w:val="99"/>
    <w:qFormat/>
    <w:rsid w:val="00606D3B"/>
    <w:rPr>
      <w:rFonts w:ascii="Calibri" w:eastAsia="宋体" w:hAnsi="Calibri" w:cs="宋体"/>
      <w:kern w:val="0"/>
      <w:sz w:val="18"/>
      <w:szCs w:val="18"/>
    </w:rPr>
  </w:style>
  <w:style w:type="character" w:customStyle="1" w:styleId="Char0">
    <w:name w:val="批注框文本 Char"/>
    <w:link w:val="a4"/>
    <w:uiPriority w:val="99"/>
    <w:semiHidden/>
    <w:qFormat/>
    <w:rsid w:val="00606D3B"/>
    <w:rPr>
      <w:rFonts w:ascii="Calibri" w:eastAsia="宋体" w:hAnsi="Calibri" w:cs="宋体"/>
      <w:kern w:val="0"/>
      <w:sz w:val="18"/>
      <w:szCs w:val="18"/>
    </w:rPr>
  </w:style>
  <w:style w:type="character" w:customStyle="1" w:styleId="Char">
    <w:name w:val="批注文字 Char"/>
    <w:link w:val="a3"/>
    <w:uiPriority w:val="99"/>
    <w:semiHidden/>
    <w:qFormat/>
    <w:rsid w:val="00606D3B"/>
    <w:rPr>
      <w:rFonts w:cs="宋体"/>
      <w:sz w:val="21"/>
      <w:szCs w:val="21"/>
    </w:rPr>
  </w:style>
  <w:style w:type="character" w:customStyle="1" w:styleId="Char3">
    <w:name w:val="批注主题 Char"/>
    <w:link w:val="a8"/>
    <w:uiPriority w:val="99"/>
    <w:semiHidden/>
    <w:qFormat/>
    <w:rsid w:val="00606D3B"/>
    <w:rPr>
      <w:rFonts w:cs="宋体"/>
      <w:b/>
      <w:bCs/>
      <w:sz w:val="21"/>
      <w:szCs w:val="21"/>
    </w:rPr>
  </w:style>
  <w:style w:type="paragraph" w:customStyle="1" w:styleId="10">
    <w:name w:val="修订1"/>
    <w:hidden/>
    <w:uiPriority w:val="99"/>
    <w:semiHidden/>
    <w:qFormat/>
    <w:rsid w:val="00606D3B"/>
    <w:rPr>
      <w:rFonts w:ascii="Calibri" w:hAnsi="Calibri" w:cs="宋体"/>
      <w:sz w:val="21"/>
      <w:szCs w:val="21"/>
    </w:rPr>
  </w:style>
  <w:style w:type="paragraph" w:customStyle="1" w:styleId="080318">
    <w:name w:val="产品方案正文080318"/>
    <w:basedOn w:val="a"/>
    <w:qFormat/>
    <w:rsid w:val="00606D3B"/>
    <w:pPr>
      <w:widowControl w:val="0"/>
      <w:autoSpaceDE w:val="0"/>
      <w:autoSpaceDN w:val="0"/>
      <w:adjustRightInd w:val="0"/>
      <w:snapToGrid w:val="0"/>
      <w:spacing w:line="360" w:lineRule="auto"/>
      <w:ind w:firstLineChars="200" w:firstLine="200"/>
    </w:pPr>
    <w:rPr>
      <w:rFonts w:ascii="宋体" w:hAnsi="Times New Roman"/>
      <w:kern w:val="2"/>
      <w:szCs w:val="20"/>
      <w:lang w:val="zh-CN"/>
    </w:rPr>
  </w:style>
  <w:style w:type="paragraph" w:styleId="ac">
    <w:name w:val="List Paragraph"/>
    <w:basedOn w:val="a"/>
    <w:uiPriority w:val="34"/>
    <w:qFormat/>
    <w:rsid w:val="00606D3B"/>
    <w:pPr>
      <w:widowControl w:val="0"/>
      <w:ind w:firstLineChars="200" w:firstLine="420"/>
    </w:pPr>
    <w:rPr>
      <w:rFonts w:ascii="Times New Roman" w:hAnsi="Times New Roman" w:cs="Times New Roman"/>
      <w:kern w:val="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B47A-30A9-4DD5-8608-47BCC909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1043</Characters>
  <Application>Microsoft Office Word</Application>
  <DocSecurity>4</DocSecurity>
  <Lines>8</Lines>
  <Paragraphs>2</Paragraphs>
  <ScaleCrop>false</ScaleCrop>
  <Company>bosera</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zhoulei</dc:creator>
  <cp:lastModifiedBy>ZHONGM</cp:lastModifiedBy>
  <cp:revision>2</cp:revision>
  <dcterms:created xsi:type="dcterms:W3CDTF">2023-09-21T16:02:00Z</dcterms:created>
  <dcterms:modified xsi:type="dcterms:W3CDTF">2023-09-21T16:02:00Z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7F5F1EA0976E4817AD00F2C229AA6AB5_13</vt:lpwstr>
  </property>
</Properties>
</file>