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8A" w:rsidRDefault="00324C8A">
      <w:pPr>
        <w:autoSpaceDE w:val="0"/>
        <w:autoSpaceDN w:val="0"/>
        <w:adjustRightInd w:val="0"/>
        <w:spacing w:line="360" w:lineRule="auto"/>
        <w:jc w:val="center"/>
        <w:rPr>
          <w:b/>
          <w:color w:val="000000"/>
          <w:kern w:val="0"/>
          <w:sz w:val="28"/>
          <w:szCs w:val="28"/>
        </w:rPr>
      </w:pPr>
      <w:r>
        <w:rPr>
          <w:b/>
          <w:color w:val="000000"/>
          <w:kern w:val="0"/>
          <w:sz w:val="28"/>
          <w:szCs w:val="28"/>
        </w:rPr>
        <w:t>民生加银基金管理有限公司关于旗下部分开放式基金增加</w:t>
      </w:r>
      <w:r>
        <w:rPr>
          <w:rFonts w:hint="eastAsia"/>
          <w:b/>
          <w:color w:val="000000"/>
          <w:kern w:val="0"/>
          <w:sz w:val="28"/>
          <w:szCs w:val="28"/>
        </w:rPr>
        <w:t>上海大智慧基金销售有限公司</w:t>
      </w:r>
      <w:r>
        <w:rPr>
          <w:b/>
          <w:color w:val="000000"/>
          <w:kern w:val="0"/>
          <w:sz w:val="28"/>
          <w:szCs w:val="28"/>
        </w:rPr>
        <w:t>为</w:t>
      </w:r>
      <w:r>
        <w:rPr>
          <w:rFonts w:hint="eastAsia"/>
          <w:b/>
          <w:color w:val="000000"/>
          <w:kern w:val="0"/>
          <w:sz w:val="28"/>
          <w:szCs w:val="28"/>
        </w:rPr>
        <w:t>销售</w:t>
      </w:r>
      <w:r>
        <w:rPr>
          <w:b/>
          <w:color w:val="000000"/>
          <w:kern w:val="0"/>
          <w:sz w:val="28"/>
          <w:szCs w:val="28"/>
        </w:rPr>
        <w:t>机构并开通基金定期定额投资和转换业务、同时参加费率优惠活动的公告</w:t>
      </w:r>
    </w:p>
    <w:p w:rsidR="00324C8A" w:rsidRDefault="00324C8A">
      <w:pPr>
        <w:autoSpaceDE w:val="0"/>
        <w:autoSpaceDN w:val="0"/>
        <w:adjustRightInd w:val="0"/>
        <w:spacing w:line="360" w:lineRule="auto"/>
        <w:jc w:val="left"/>
        <w:rPr>
          <w:color w:val="000000"/>
          <w:kern w:val="0"/>
          <w:sz w:val="30"/>
          <w:szCs w:val="30"/>
        </w:rPr>
      </w:pPr>
    </w:p>
    <w:p w:rsidR="00324C8A" w:rsidRDefault="00324C8A" w:rsidP="00A85B4B">
      <w:pPr>
        <w:autoSpaceDE w:val="0"/>
        <w:autoSpaceDN w:val="0"/>
        <w:adjustRightInd w:val="0"/>
        <w:spacing w:line="360" w:lineRule="auto"/>
        <w:ind w:firstLineChars="200" w:firstLine="480"/>
        <w:rPr>
          <w:color w:val="000000"/>
          <w:kern w:val="0"/>
          <w:sz w:val="24"/>
          <w:szCs w:val="24"/>
        </w:rPr>
      </w:pPr>
      <w:r>
        <w:rPr>
          <w:color w:val="000000"/>
          <w:kern w:val="0"/>
          <w:sz w:val="24"/>
          <w:szCs w:val="24"/>
        </w:rPr>
        <w:t>根据民生加银基金管理有限公司（以下简称</w:t>
      </w:r>
      <w:r>
        <w:rPr>
          <w:color w:val="000000"/>
          <w:kern w:val="0"/>
          <w:sz w:val="24"/>
          <w:szCs w:val="24"/>
        </w:rPr>
        <w:t>“</w:t>
      </w:r>
      <w:r>
        <w:rPr>
          <w:color w:val="000000"/>
          <w:kern w:val="0"/>
          <w:sz w:val="24"/>
          <w:szCs w:val="24"/>
        </w:rPr>
        <w:t>本公司</w:t>
      </w:r>
      <w:r>
        <w:rPr>
          <w:color w:val="000000"/>
          <w:kern w:val="0"/>
          <w:sz w:val="24"/>
          <w:szCs w:val="24"/>
        </w:rPr>
        <w:t>”</w:t>
      </w:r>
      <w:r>
        <w:rPr>
          <w:color w:val="000000"/>
          <w:kern w:val="0"/>
          <w:sz w:val="24"/>
          <w:szCs w:val="24"/>
        </w:rPr>
        <w:t>）与</w:t>
      </w:r>
      <w:r>
        <w:rPr>
          <w:rFonts w:hint="eastAsia"/>
          <w:color w:val="000000"/>
          <w:kern w:val="0"/>
          <w:sz w:val="24"/>
          <w:szCs w:val="24"/>
        </w:rPr>
        <w:t>上海大智慧基金销售有限公司</w:t>
      </w:r>
      <w:r>
        <w:rPr>
          <w:color w:val="000000"/>
          <w:kern w:val="0"/>
          <w:sz w:val="24"/>
          <w:szCs w:val="24"/>
        </w:rPr>
        <w:t>（以下简称</w:t>
      </w:r>
      <w:r>
        <w:rPr>
          <w:color w:val="000000"/>
          <w:kern w:val="0"/>
          <w:sz w:val="24"/>
          <w:szCs w:val="24"/>
        </w:rPr>
        <w:t>“</w:t>
      </w:r>
      <w:r>
        <w:rPr>
          <w:rFonts w:hint="eastAsia"/>
          <w:color w:val="000000"/>
          <w:kern w:val="0"/>
          <w:sz w:val="24"/>
          <w:szCs w:val="24"/>
        </w:rPr>
        <w:t>大智慧基金</w:t>
      </w:r>
      <w:r>
        <w:rPr>
          <w:color w:val="000000"/>
          <w:kern w:val="0"/>
          <w:sz w:val="24"/>
          <w:szCs w:val="24"/>
        </w:rPr>
        <w:t>”</w:t>
      </w:r>
      <w:r>
        <w:rPr>
          <w:color w:val="000000"/>
          <w:kern w:val="0"/>
          <w:sz w:val="24"/>
          <w:szCs w:val="24"/>
        </w:rPr>
        <w:t>）签署的基金销售协议，自</w:t>
      </w:r>
      <w:r>
        <w:rPr>
          <w:kern w:val="0"/>
          <w:sz w:val="24"/>
          <w:szCs w:val="24"/>
        </w:rPr>
        <w:t>2023</w:t>
      </w:r>
      <w:r>
        <w:rPr>
          <w:kern w:val="0"/>
          <w:sz w:val="24"/>
          <w:szCs w:val="24"/>
        </w:rPr>
        <w:t>年</w:t>
      </w:r>
      <w:r>
        <w:rPr>
          <w:rFonts w:hint="eastAsia"/>
          <w:kern w:val="0"/>
          <w:sz w:val="24"/>
          <w:szCs w:val="24"/>
        </w:rPr>
        <w:t>9</w:t>
      </w:r>
      <w:r>
        <w:rPr>
          <w:kern w:val="0"/>
          <w:sz w:val="24"/>
          <w:szCs w:val="24"/>
        </w:rPr>
        <w:t>月</w:t>
      </w:r>
      <w:r>
        <w:rPr>
          <w:rFonts w:hint="eastAsia"/>
          <w:kern w:val="0"/>
          <w:sz w:val="24"/>
          <w:szCs w:val="24"/>
        </w:rPr>
        <w:t>22</w:t>
      </w:r>
      <w:r>
        <w:rPr>
          <w:kern w:val="0"/>
          <w:sz w:val="24"/>
          <w:szCs w:val="24"/>
        </w:rPr>
        <w:t>日</w:t>
      </w:r>
      <w:r>
        <w:rPr>
          <w:color w:val="000000"/>
          <w:kern w:val="0"/>
          <w:sz w:val="24"/>
          <w:szCs w:val="24"/>
        </w:rPr>
        <w:t>起，本公司旗下部分开放式基金增加</w:t>
      </w:r>
      <w:r>
        <w:rPr>
          <w:rFonts w:hint="eastAsia"/>
          <w:color w:val="000000"/>
          <w:kern w:val="0"/>
          <w:sz w:val="24"/>
          <w:szCs w:val="24"/>
        </w:rPr>
        <w:t>大智慧基金</w:t>
      </w:r>
      <w:r>
        <w:rPr>
          <w:color w:val="000000"/>
          <w:kern w:val="0"/>
          <w:sz w:val="24"/>
          <w:szCs w:val="24"/>
        </w:rPr>
        <w:t>为销售机构，同时开通基金定期定额投资业务（或简称定投申购）和基金转换业务、参加</w:t>
      </w:r>
      <w:r>
        <w:rPr>
          <w:rFonts w:hint="eastAsia"/>
          <w:color w:val="000000"/>
          <w:kern w:val="0"/>
          <w:sz w:val="24"/>
          <w:szCs w:val="24"/>
        </w:rPr>
        <w:t>大智慧基金</w:t>
      </w:r>
      <w:r>
        <w:rPr>
          <w:color w:val="000000"/>
          <w:kern w:val="0"/>
          <w:sz w:val="24"/>
          <w:szCs w:val="24"/>
        </w:rPr>
        <w:t>开展的基金申购及定期定额申购费率优惠活动。现将相关事项公告如下：</w:t>
      </w:r>
    </w:p>
    <w:p w:rsidR="00324C8A" w:rsidRDefault="00324C8A">
      <w:pPr>
        <w:pStyle w:val="ab"/>
        <w:numPr>
          <w:ilvl w:val="0"/>
          <w:numId w:val="11"/>
        </w:numPr>
        <w:tabs>
          <w:tab w:val="left" w:pos="0"/>
        </w:tabs>
        <w:autoSpaceDE w:val="0"/>
        <w:autoSpaceDN w:val="0"/>
        <w:adjustRightInd w:val="0"/>
        <w:spacing w:line="360" w:lineRule="auto"/>
        <w:ind w:firstLineChars="0"/>
        <w:jc w:val="left"/>
        <w:rPr>
          <w:color w:val="000000"/>
          <w:kern w:val="0"/>
          <w:sz w:val="24"/>
          <w:szCs w:val="24"/>
        </w:rPr>
      </w:pPr>
      <w:r>
        <w:rPr>
          <w:color w:val="000000"/>
          <w:kern w:val="0"/>
          <w:sz w:val="24"/>
          <w:szCs w:val="24"/>
        </w:rPr>
        <w:t>适用基金及业务范围</w:t>
      </w:r>
    </w:p>
    <w:tbl>
      <w:tblPr>
        <w:tblW w:w="8287" w:type="dxa"/>
        <w:tblInd w:w="108" w:type="dxa"/>
        <w:tblLayout w:type="fixed"/>
        <w:tblLook w:val="0000"/>
      </w:tblPr>
      <w:tblGrid>
        <w:gridCol w:w="616"/>
        <w:gridCol w:w="1823"/>
        <w:gridCol w:w="3260"/>
        <w:gridCol w:w="851"/>
        <w:gridCol w:w="850"/>
        <w:gridCol w:w="887"/>
      </w:tblGrid>
      <w:tr w:rsidR="00324C8A" w:rsidTr="00A85B4B">
        <w:trPr>
          <w:trHeight w:val="1213"/>
        </w:trPr>
        <w:tc>
          <w:tcPr>
            <w:tcW w:w="616" w:type="dxa"/>
            <w:tcBorders>
              <w:top w:val="single" w:sz="4" w:space="0" w:color="auto"/>
              <w:left w:val="single" w:sz="4" w:space="0" w:color="auto"/>
              <w:bottom w:val="single" w:sz="4" w:space="0" w:color="auto"/>
              <w:right w:val="single" w:sz="4" w:space="0" w:color="auto"/>
            </w:tcBorders>
            <w:noWrap/>
            <w:vAlign w:val="center"/>
          </w:tcPr>
          <w:p w:rsidR="00324C8A" w:rsidRDefault="00324C8A" w:rsidP="00A85B4B">
            <w:pPr>
              <w:widowControl/>
              <w:jc w:val="center"/>
              <w:rPr>
                <w:kern w:val="0"/>
                <w:sz w:val="24"/>
                <w:szCs w:val="24"/>
              </w:rPr>
            </w:pPr>
            <w:r>
              <w:rPr>
                <w:rFonts w:hint="eastAsia"/>
                <w:kern w:val="0"/>
                <w:sz w:val="24"/>
                <w:szCs w:val="24"/>
              </w:rPr>
              <w:t>序号</w:t>
            </w:r>
          </w:p>
        </w:tc>
        <w:tc>
          <w:tcPr>
            <w:tcW w:w="1823"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color w:val="000000"/>
                <w:kern w:val="0"/>
                <w:sz w:val="24"/>
                <w:szCs w:val="24"/>
              </w:rPr>
            </w:pPr>
            <w:r>
              <w:rPr>
                <w:color w:val="000000"/>
                <w:kern w:val="0"/>
                <w:sz w:val="24"/>
                <w:szCs w:val="24"/>
              </w:rPr>
              <w:t>基金</w:t>
            </w:r>
            <w:r>
              <w:rPr>
                <w:rFonts w:hint="eastAsia"/>
                <w:color w:val="000000"/>
                <w:kern w:val="0"/>
                <w:sz w:val="24"/>
                <w:szCs w:val="24"/>
              </w:rPr>
              <w:t>代码</w:t>
            </w:r>
          </w:p>
        </w:tc>
        <w:tc>
          <w:tcPr>
            <w:tcW w:w="3260" w:type="dxa"/>
            <w:tcBorders>
              <w:top w:val="single" w:sz="4" w:space="0" w:color="auto"/>
              <w:left w:val="nil"/>
              <w:bottom w:val="single" w:sz="4" w:space="0" w:color="auto"/>
              <w:right w:val="single" w:sz="4" w:space="0" w:color="auto"/>
            </w:tcBorders>
            <w:vAlign w:val="center"/>
          </w:tcPr>
          <w:p w:rsidR="00324C8A" w:rsidRDefault="00324C8A" w:rsidP="00A85B4B">
            <w:pPr>
              <w:widowControl/>
              <w:jc w:val="center"/>
              <w:rPr>
                <w:color w:val="000000"/>
                <w:kern w:val="0"/>
                <w:sz w:val="24"/>
                <w:szCs w:val="24"/>
              </w:rPr>
            </w:pPr>
            <w:r>
              <w:rPr>
                <w:color w:val="000000"/>
                <w:kern w:val="0"/>
                <w:sz w:val="24"/>
                <w:szCs w:val="24"/>
              </w:rPr>
              <w:t>基金</w:t>
            </w:r>
            <w:r>
              <w:rPr>
                <w:rFonts w:hint="eastAsia"/>
                <w:color w:val="000000"/>
                <w:kern w:val="0"/>
                <w:sz w:val="24"/>
                <w:szCs w:val="24"/>
              </w:rPr>
              <w:t>名称</w:t>
            </w:r>
          </w:p>
        </w:tc>
        <w:tc>
          <w:tcPr>
            <w:tcW w:w="851" w:type="dxa"/>
            <w:tcBorders>
              <w:top w:val="single" w:sz="4" w:space="0" w:color="auto"/>
              <w:left w:val="nil"/>
              <w:bottom w:val="single" w:sz="4" w:space="0" w:color="auto"/>
              <w:right w:val="single" w:sz="4" w:space="0" w:color="auto"/>
            </w:tcBorders>
            <w:vAlign w:val="center"/>
          </w:tcPr>
          <w:p w:rsidR="00324C8A" w:rsidRDefault="00324C8A" w:rsidP="00A85B4B">
            <w:pPr>
              <w:widowControl/>
              <w:ind w:left="-91" w:right="-99"/>
              <w:jc w:val="center"/>
              <w:rPr>
                <w:kern w:val="0"/>
                <w:sz w:val="24"/>
                <w:szCs w:val="24"/>
              </w:rPr>
            </w:pPr>
            <w:r>
              <w:rPr>
                <w:kern w:val="0"/>
                <w:sz w:val="24"/>
                <w:szCs w:val="24"/>
              </w:rPr>
              <w:t>是否开通定投申购</w:t>
            </w:r>
          </w:p>
        </w:tc>
        <w:tc>
          <w:tcPr>
            <w:tcW w:w="850" w:type="dxa"/>
            <w:tcBorders>
              <w:top w:val="single" w:sz="4" w:space="0" w:color="auto"/>
              <w:left w:val="nil"/>
              <w:bottom w:val="single" w:sz="4" w:space="0" w:color="auto"/>
              <w:right w:val="single" w:sz="4" w:space="0" w:color="auto"/>
            </w:tcBorders>
            <w:vAlign w:val="center"/>
          </w:tcPr>
          <w:p w:rsidR="00324C8A" w:rsidRDefault="00324C8A">
            <w:pPr>
              <w:widowControl/>
              <w:jc w:val="center"/>
              <w:rPr>
                <w:kern w:val="0"/>
                <w:sz w:val="24"/>
                <w:szCs w:val="24"/>
              </w:rPr>
            </w:pPr>
            <w:r>
              <w:rPr>
                <w:kern w:val="0"/>
                <w:sz w:val="24"/>
                <w:szCs w:val="24"/>
              </w:rPr>
              <w:t>是否开通转换</w:t>
            </w:r>
          </w:p>
        </w:tc>
        <w:tc>
          <w:tcPr>
            <w:tcW w:w="887" w:type="dxa"/>
            <w:tcBorders>
              <w:top w:val="single" w:sz="4" w:space="0" w:color="auto"/>
              <w:left w:val="nil"/>
              <w:bottom w:val="single" w:sz="4" w:space="0" w:color="auto"/>
              <w:right w:val="single" w:sz="4" w:space="0" w:color="auto"/>
            </w:tcBorders>
            <w:vAlign w:val="center"/>
          </w:tcPr>
          <w:p w:rsidR="00324C8A" w:rsidRDefault="00324C8A" w:rsidP="00A85B4B">
            <w:pPr>
              <w:widowControl/>
              <w:ind w:left="-60" w:right="-70"/>
              <w:jc w:val="center"/>
              <w:rPr>
                <w:kern w:val="0"/>
                <w:sz w:val="24"/>
                <w:szCs w:val="24"/>
              </w:rPr>
            </w:pPr>
            <w:r>
              <w:rPr>
                <w:kern w:val="0"/>
                <w:sz w:val="24"/>
                <w:szCs w:val="24"/>
              </w:rPr>
              <w:t>是否参加费率优惠</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1</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000067</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民生加银转债优选债券型证券投资基金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000068</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2</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000090</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民生加银高等级信用债债券型证券投资基金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000089</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E</w:t>
            </w:r>
            <w:r>
              <w:rPr>
                <w:kern w:val="0"/>
                <w:sz w:val="24"/>
                <w:szCs w:val="24"/>
              </w:rPr>
              <w:t>类：</w:t>
            </w:r>
            <w:r>
              <w:rPr>
                <w:kern w:val="0"/>
                <w:sz w:val="24"/>
                <w:szCs w:val="24"/>
              </w:rPr>
              <w:t>000715</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3</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000136</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民生加银策略精选灵活配置混合型证券投资基金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009709</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4</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000137</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民生加银岁岁增利定期开放债券型证券投资基金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否</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000138</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否</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5</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000408</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民生加银城镇化灵活配置混合型证券投资基金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009706</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6</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000884</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民生加银优选股票型证券投资基金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7</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001220</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民生加银研究精选灵活配置混合型证券投资基金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8</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E</w:t>
            </w:r>
            <w:r>
              <w:rPr>
                <w:kern w:val="0"/>
                <w:sz w:val="24"/>
                <w:szCs w:val="24"/>
              </w:rPr>
              <w:t>类：</w:t>
            </w:r>
            <w:r>
              <w:rPr>
                <w:kern w:val="0"/>
                <w:sz w:val="24"/>
                <w:szCs w:val="24"/>
              </w:rPr>
              <w:t>018874</w:t>
            </w:r>
          </w:p>
        </w:tc>
        <w:tc>
          <w:tcPr>
            <w:tcW w:w="3260" w:type="dxa"/>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民生加银现金增利货币市场基金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rFonts w:hint="eastAsia"/>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9</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001352</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民生加银新战略灵活配置混合型证券投资基金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011391</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nil"/>
              <w:right w:val="single" w:sz="4" w:space="0" w:color="auto"/>
            </w:tcBorders>
            <w:noWrap/>
            <w:vAlign w:val="center"/>
          </w:tcPr>
          <w:p w:rsidR="00324C8A" w:rsidRDefault="00324C8A">
            <w:pPr>
              <w:widowControl/>
              <w:jc w:val="center"/>
              <w:rPr>
                <w:kern w:val="0"/>
                <w:sz w:val="24"/>
                <w:szCs w:val="24"/>
              </w:rPr>
            </w:pPr>
            <w:r>
              <w:rPr>
                <w:kern w:val="0"/>
                <w:sz w:val="24"/>
                <w:szCs w:val="24"/>
              </w:rPr>
              <w:t>1</w:t>
            </w:r>
            <w:r>
              <w:rPr>
                <w:rFonts w:hint="eastAsia"/>
                <w:kern w:val="0"/>
                <w:sz w:val="24"/>
                <w:szCs w:val="24"/>
              </w:rPr>
              <w:t>0</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rFonts w:hint="eastAsia"/>
                <w:kern w:val="0"/>
                <w:sz w:val="24"/>
                <w:szCs w:val="24"/>
              </w:rPr>
              <w:t>类：</w:t>
            </w:r>
            <w:r>
              <w:rPr>
                <w:kern w:val="0"/>
                <w:sz w:val="24"/>
                <w:szCs w:val="24"/>
              </w:rPr>
              <w:t>002449</w:t>
            </w:r>
          </w:p>
        </w:tc>
        <w:tc>
          <w:tcPr>
            <w:tcW w:w="3260" w:type="dxa"/>
            <w:vMerge w:val="restart"/>
            <w:tcBorders>
              <w:top w:val="nil"/>
              <w:left w:val="nil"/>
              <w:bottom w:val="nil"/>
              <w:right w:val="single" w:sz="4" w:space="0" w:color="auto"/>
            </w:tcBorders>
            <w:vAlign w:val="center"/>
          </w:tcPr>
          <w:p w:rsidR="00324C8A" w:rsidRDefault="00324C8A">
            <w:pPr>
              <w:widowControl/>
              <w:jc w:val="left"/>
              <w:rPr>
                <w:kern w:val="0"/>
                <w:sz w:val="24"/>
                <w:szCs w:val="24"/>
              </w:rPr>
            </w:pPr>
            <w:r>
              <w:rPr>
                <w:kern w:val="0"/>
                <w:sz w:val="24"/>
                <w:szCs w:val="24"/>
              </w:rPr>
              <w:t>民生加银量化中国灵活配置混合型证券投资基金</w:t>
            </w:r>
          </w:p>
        </w:tc>
        <w:tc>
          <w:tcPr>
            <w:tcW w:w="851" w:type="dxa"/>
            <w:vMerge w:val="restart"/>
            <w:tcBorders>
              <w:top w:val="nil"/>
              <w:left w:val="nil"/>
              <w:bottom w:val="nil"/>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vMerge w:val="restart"/>
            <w:tcBorders>
              <w:top w:val="nil"/>
              <w:left w:val="nil"/>
              <w:bottom w:val="nil"/>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vMerge w:val="restart"/>
            <w:tcBorders>
              <w:top w:val="nil"/>
              <w:left w:val="nil"/>
              <w:bottom w:val="nil"/>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noWrap/>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C</w:t>
            </w:r>
            <w:r>
              <w:rPr>
                <w:rFonts w:hint="eastAsia"/>
                <w:kern w:val="0"/>
                <w:sz w:val="24"/>
                <w:szCs w:val="24"/>
              </w:rPr>
              <w:t>类：</w:t>
            </w:r>
            <w:r>
              <w:rPr>
                <w:rFonts w:hint="eastAsia"/>
                <w:kern w:val="0"/>
                <w:sz w:val="24"/>
                <w:szCs w:val="24"/>
              </w:rPr>
              <w:t>0</w:t>
            </w:r>
            <w:r>
              <w:rPr>
                <w:kern w:val="0"/>
                <w:sz w:val="24"/>
                <w:szCs w:val="24"/>
              </w:rPr>
              <w:t>18517</w:t>
            </w:r>
          </w:p>
        </w:tc>
        <w:tc>
          <w:tcPr>
            <w:tcW w:w="3260" w:type="dxa"/>
            <w:vMerge/>
            <w:tcBorders>
              <w:top w:val="nil"/>
              <w:left w:val="nil"/>
              <w:bottom w:val="single" w:sz="4" w:space="0" w:color="auto"/>
              <w:right w:val="single" w:sz="4" w:space="0" w:color="auto"/>
            </w:tcBorders>
            <w:vAlign w:val="center"/>
          </w:tcPr>
          <w:p w:rsidR="00324C8A" w:rsidRDefault="00324C8A"/>
        </w:tc>
        <w:tc>
          <w:tcPr>
            <w:tcW w:w="851" w:type="dxa"/>
            <w:vMerge/>
            <w:tcBorders>
              <w:top w:val="nil"/>
              <w:left w:val="nil"/>
              <w:bottom w:val="single" w:sz="4" w:space="0" w:color="auto"/>
              <w:right w:val="single" w:sz="4" w:space="0" w:color="auto"/>
            </w:tcBorders>
            <w:noWrap/>
            <w:vAlign w:val="center"/>
          </w:tcPr>
          <w:p w:rsidR="00324C8A" w:rsidRDefault="00324C8A"/>
        </w:tc>
        <w:tc>
          <w:tcPr>
            <w:tcW w:w="850" w:type="dxa"/>
            <w:vMerge/>
            <w:tcBorders>
              <w:top w:val="nil"/>
              <w:left w:val="nil"/>
              <w:bottom w:val="single" w:sz="4" w:space="0" w:color="auto"/>
              <w:right w:val="single" w:sz="4" w:space="0" w:color="auto"/>
            </w:tcBorders>
            <w:noWrap/>
            <w:vAlign w:val="center"/>
          </w:tcPr>
          <w:p w:rsidR="00324C8A" w:rsidRDefault="00324C8A"/>
        </w:tc>
        <w:tc>
          <w:tcPr>
            <w:tcW w:w="887" w:type="dxa"/>
            <w:vMerge/>
            <w:tcBorders>
              <w:top w:val="nil"/>
              <w:left w:val="nil"/>
              <w:bottom w:val="single" w:sz="4" w:space="0" w:color="auto"/>
              <w:right w:val="single" w:sz="4" w:space="0" w:color="auto"/>
            </w:tcBorders>
            <w:noWrap/>
            <w:vAlign w:val="center"/>
          </w:tcPr>
          <w:p w:rsidR="00324C8A" w:rsidRDefault="00324C8A"/>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11</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002518</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民生加银鑫福灵活配置混合型证券投资基金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007072</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lastRenderedPageBreak/>
              <w:t>1</w:t>
            </w:r>
            <w:r>
              <w:rPr>
                <w:rFonts w:hint="eastAsia"/>
                <w:kern w:val="0"/>
                <w:sz w:val="24"/>
                <w:szCs w:val="24"/>
              </w:rPr>
              <w:t>2</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002649</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民生加银智造</w:t>
            </w:r>
            <w:r>
              <w:rPr>
                <w:kern w:val="0"/>
                <w:sz w:val="24"/>
                <w:szCs w:val="24"/>
              </w:rPr>
              <w:t>2025</w:t>
            </w:r>
            <w:r>
              <w:rPr>
                <w:kern w:val="0"/>
                <w:sz w:val="24"/>
                <w:szCs w:val="24"/>
              </w:rPr>
              <w:t>灵活配置混合型证券投资基金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1</w:t>
            </w:r>
            <w:r>
              <w:rPr>
                <w:rFonts w:hint="eastAsia"/>
                <w:kern w:val="0"/>
                <w:sz w:val="24"/>
                <w:szCs w:val="24"/>
              </w:rPr>
              <w:t>3</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002683</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民生加银前沿科技灵活配置混合型证券投资基金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1</w:t>
            </w:r>
            <w:r>
              <w:rPr>
                <w:rFonts w:hint="eastAsia"/>
                <w:kern w:val="0"/>
                <w:sz w:val="24"/>
                <w:szCs w:val="24"/>
              </w:rPr>
              <w:t>4</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D</w:t>
            </w:r>
            <w:r>
              <w:rPr>
                <w:kern w:val="0"/>
                <w:sz w:val="24"/>
                <w:szCs w:val="24"/>
              </w:rPr>
              <w:t>类：</w:t>
            </w:r>
            <w:r>
              <w:rPr>
                <w:kern w:val="0"/>
                <w:sz w:val="24"/>
                <w:szCs w:val="24"/>
              </w:rPr>
              <w:t>0</w:t>
            </w:r>
            <w:r>
              <w:rPr>
                <w:rFonts w:hint="eastAsia"/>
                <w:kern w:val="0"/>
                <w:sz w:val="24"/>
                <w:szCs w:val="24"/>
              </w:rPr>
              <w:t>18331</w:t>
            </w:r>
          </w:p>
        </w:tc>
        <w:tc>
          <w:tcPr>
            <w:tcW w:w="3260" w:type="dxa"/>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民生加银腾元宝货币市场基金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1</w:t>
            </w:r>
            <w:r>
              <w:rPr>
                <w:rFonts w:hint="eastAsia"/>
                <w:kern w:val="0"/>
                <w:sz w:val="24"/>
                <w:szCs w:val="24"/>
              </w:rPr>
              <w:t>5</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D</w:t>
            </w:r>
            <w:r>
              <w:rPr>
                <w:kern w:val="0"/>
                <w:sz w:val="24"/>
                <w:szCs w:val="24"/>
              </w:rPr>
              <w:t>类：</w:t>
            </w:r>
            <w:r>
              <w:rPr>
                <w:rFonts w:hint="eastAsia"/>
                <w:kern w:val="0"/>
                <w:sz w:val="24"/>
                <w:szCs w:val="24"/>
              </w:rPr>
              <w:t>018953</w:t>
            </w:r>
          </w:p>
        </w:tc>
        <w:tc>
          <w:tcPr>
            <w:tcW w:w="3260" w:type="dxa"/>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民生加银现金宝货币市场基金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1</w:t>
            </w:r>
            <w:r>
              <w:rPr>
                <w:rFonts w:hint="eastAsia"/>
                <w:kern w:val="0"/>
                <w:sz w:val="24"/>
                <w:szCs w:val="24"/>
              </w:rPr>
              <w:t>6</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004532</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民生加银中证港股通高股息精选指数证券投资基金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否</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004533</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否</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1</w:t>
            </w:r>
            <w:r>
              <w:rPr>
                <w:rFonts w:hint="eastAsia"/>
                <w:kern w:val="0"/>
                <w:sz w:val="24"/>
                <w:szCs w:val="24"/>
              </w:rPr>
              <w:t>7</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004710</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民生加银鹏程混合型证券投资基金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007749</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1</w:t>
            </w:r>
            <w:r>
              <w:rPr>
                <w:rFonts w:hint="eastAsia"/>
                <w:kern w:val="0"/>
                <w:sz w:val="24"/>
                <w:szCs w:val="24"/>
              </w:rPr>
              <w:t>8</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006058</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民生加银新兴成长混合型证券投资基金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19</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006072</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民生加银创新成长混合型证券投资基金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014929</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2</w:t>
            </w:r>
            <w:r>
              <w:rPr>
                <w:rFonts w:hint="eastAsia"/>
                <w:kern w:val="0"/>
                <w:sz w:val="24"/>
                <w:szCs w:val="24"/>
              </w:rPr>
              <w:t>0</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007259</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民生加银中债</w:t>
            </w:r>
            <w:r>
              <w:rPr>
                <w:kern w:val="0"/>
                <w:sz w:val="24"/>
                <w:szCs w:val="24"/>
              </w:rPr>
              <w:t>1-3</w:t>
            </w:r>
            <w:r>
              <w:rPr>
                <w:kern w:val="0"/>
                <w:sz w:val="24"/>
                <w:szCs w:val="24"/>
              </w:rPr>
              <w:t>年农发行债券指数证券投资基金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2</w:t>
            </w:r>
            <w:r>
              <w:rPr>
                <w:rFonts w:hint="eastAsia"/>
                <w:kern w:val="0"/>
                <w:sz w:val="24"/>
                <w:szCs w:val="24"/>
              </w:rPr>
              <w:t>1</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007731</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民生加银持续成长混合型证券投资基金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007732</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2</w:t>
            </w:r>
            <w:r>
              <w:rPr>
                <w:rFonts w:hint="eastAsia"/>
                <w:kern w:val="0"/>
                <w:sz w:val="24"/>
                <w:szCs w:val="24"/>
              </w:rPr>
              <w:t>2</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007965</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民生加银品质消费股票型证券投资基金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007966</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2</w:t>
            </w:r>
            <w:r>
              <w:rPr>
                <w:rFonts w:hint="eastAsia"/>
                <w:kern w:val="0"/>
                <w:sz w:val="24"/>
                <w:szCs w:val="24"/>
              </w:rPr>
              <w:t>3</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008860</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民生加银龙头优选股票型证券投资基金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2</w:t>
            </w:r>
            <w:r>
              <w:rPr>
                <w:rFonts w:hint="eastAsia"/>
                <w:kern w:val="0"/>
                <w:sz w:val="24"/>
                <w:szCs w:val="24"/>
              </w:rPr>
              <w:t>4</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009659</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w:t>
            </w:r>
            <w:r>
              <w:rPr>
                <w:rFonts w:hint="eastAsia"/>
                <w:kern w:val="0"/>
                <w:sz w:val="24"/>
                <w:szCs w:val="24"/>
              </w:rPr>
              <w:t>新动</w:t>
            </w:r>
            <w:r>
              <w:rPr>
                <w:kern w:val="0"/>
                <w:sz w:val="24"/>
                <w:szCs w:val="24"/>
              </w:rPr>
              <w:t>能一年定期开放混合型证券投资基金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否</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009660</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否</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2</w:t>
            </w:r>
            <w:r>
              <w:rPr>
                <w:rFonts w:hint="eastAsia"/>
                <w:kern w:val="0"/>
                <w:sz w:val="24"/>
                <w:szCs w:val="24"/>
              </w:rPr>
              <w:t>5</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690007</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民生加银景气行业混合型证券投资基金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009720</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26</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009898</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民生加银医药健康股票型证券投资基金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014758</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27</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009904</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民生加银中证</w:t>
            </w:r>
            <w:r>
              <w:rPr>
                <w:kern w:val="0"/>
                <w:sz w:val="24"/>
                <w:szCs w:val="24"/>
              </w:rPr>
              <w:t>200</w:t>
            </w:r>
            <w:r>
              <w:rPr>
                <w:kern w:val="0"/>
                <w:sz w:val="24"/>
                <w:szCs w:val="24"/>
              </w:rPr>
              <w:t>指数增强型发起式证券投资基金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009905</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28</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010116</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民生加银新兴产业混合型证券投资基金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010117</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29</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010420</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民生加银成长优选股票型证券投资基金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3</w:t>
            </w:r>
            <w:r>
              <w:rPr>
                <w:rFonts w:hint="eastAsia"/>
                <w:kern w:val="0"/>
                <w:sz w:val="24"/>
                <w:szCs w:val="24"/>
              </w:rPr>
              <w:t>0</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010659</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民生加银质量领先混合型证券投资基金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010660</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31</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690008</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民生加银中证内地资源主题指数型证券投资基金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011607</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32</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011843</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民生加银内核驱动混合型证券投资基金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011844</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3</w:t>
            </w:r>
            <w:r>
              <w:rPr>
                <w:kern w:val="0"/>
                <w:sz w:val="24"/>
                <w:szCs w:val="24"/>
              </w:rPr>
              <w:t>3</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011888</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民生加银周期优选混合型证券投资基金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011889</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3</w:t>
            </w:r>
            <w:r>
              <w:rPr>
                <w:kern w:val="0"/>
                <w:sz w:val="24"/>
                <w:szCs w:val="24"/>
              </w:rPr>
              <w:t>4</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012214</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民生加银核心资产股票型证券投资基金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012215</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52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3</w:t>
            </w:r>
            <w:r>
              <w:rPr>
                <w:kern w:val="0"/>
                <w:sz w:val="24"/>
                <w:szCs w:val="24"/>
              </w:rPr>
              <w:t>5</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012310</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民生加银中债</w:t>
            </w:r>
            <w:r>
              <w:rPr>
                <w:kern w:val="0"/>
                <w:sz w:val="24"/>
                <w:szCs w:val="24"/>
              </w:rPr>
              <w:t>3-5</w:t>
            </w:r>
            <w:r>
              <w:rPr>
                <w:kern w:val="0"/>
                <w:sz w:val="24"/>
                <w:szCs w:val="24"/>
              </w:rPr>
              <w:t>年政策性金融债指数证券投资基金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36</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012495</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民生加银双核动力混合型证券投资基金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37</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012926</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民生加银中证</w:t>
            </w:r>
            <w:r>
              <w:rPr>
                <w:kern w:val="0"/>
                <w:sz w:val="24"/>
                <w:szCs w:val="24"/>
              </w:rPr>
              <w:t>500</w:t>
            </w:r>
            <w:r>
              <w:rPr>
                <w:kern w:val="0"/>
                <w:sz w:val="24"/>
                <w:szCs w:val="24"/>
              </w:rPr>
              <w:t>指数增强型发起式证券投资基金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012927</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38</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013031</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民生加银中证</w:t>
            </w:r>
            <w:r>
              <w:rPr>
                <w:kern w:val="0"/>
                <w:sz w:val="24"/>
                <w:szCs w:val="24"/>
              </w:rPr>
              <w:t>800</w:t>
            </w:r>
            <w:r>
              <w:rPr>
                <w:kern w:val="0"/>
                <w:sz w:val="24"/>
                <w:szCs w:val="24"/>
              </w:rPr>
              <w:t>指数增强型发起式证券投资基金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013032</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39</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013296</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民生加银聚优精选混合型证券投资基金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40</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013371</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民生加银新能源智选混合型发起式证券投资基金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013372</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52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41</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501200</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rFonts w:hint="eastAsia"/>
                <w:kern w:val="0"/>
                <w:sz w:val="24"/>
                <w:szCs w:val="24"/>
              </w:rPr>
              <w:t>民生加银科技创新混合型证券投资基金（</w:t>
            </w:r>
            <w:r>
              <w:rPr>
                <w:rFonts w:hint="eastAsia"/>
                <w:kern w:val="0"/>
                <w:sz w:val="24"/>
                <w:szCs w:val="24"/>
              </w:rPr>
              <w:t>LOF</w:t>
            </w:r>
            <w:r>
              <w:rPr>
                <w:rFonts w:hint="eastAsia"/>
                <w:kern w:val="0"/>
                <w:sz w:val="24"/>
                <w:szCs w:val="24"/>
              </w:rPr>
              <w:t>）</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否</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42</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690001</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民生加银品牌蓝筹灵活配置混合型证券投资基金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val="restart"/>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43</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690002</w:t>
            </w:r>
          </w:p>
        </w:tc>
        <w:tc>
          <w:tcPr>
            <w:tcW w:w="3260" w:type="dxa"/>
            <w:vMerge w:val="restart"/>
            <w:tcBorders>
              <w:top w:val="nil"/>
              <w:left w:val="single" w:sz="4" w:space="0" w:color="auto"/>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民生加银增强收益债券型证券投资基金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690202</w:t>
            </w:r>
          </w:p>
        </w:tc>
        <w:tc>
          <w:tcPr>
            <w:tcW w:w="3260" w:type="dxa"/>
            <w:vMerge/>
            <w:tcBorders>
              <w:top w:val="nil"/>
              <w:left w:val="single" w:sz="4" w:space="0" w:color="auto"/>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44</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690003</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民生加银精选混合型证券投资基金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45</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690004</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民生加银稳健成长混合型证券投资基金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46</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690005</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民生加银内需增长混合型证券投资基金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nil"/>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47</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690009</w:t>
            </w:r>
          </w:p>
        </w:tc>
        <w:tc>
          <w:tcPr>
            <w:tcW w:w="3260" w:type="dxa"/>
            <w:tcBorders>
              <w:top w:val="nil"/>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民生加银红利回报灵活配置混合型证券投资基金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tcBorders>
              <w:top w:val="single" w:sz="4" w:space="0" w:color="auto"/>
              <w:left w:val="single" w:sz="4" w:space="0" w:color="auto"/>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48</w:t>
            </w:r>
          </w:p>
        </w:tc>
        <w:tc>
          <w:tcPr>
            <w:tcW w:w="1823"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690011</w:t>
            </w:r>
          </w:p>
        </w:tc>
        <w:tc>
          <w:tcPr>
            <w:tcW w:w="3260" w:type="dxa"/>
            <w:tcBorders>
              <w:top w:val="single" w:sz="4" w:space="0" w:color="auto"/>
              <w:left w:val="nil"/>
              <w:bottom w:val="single" w:sz="4" w:space="0" w:color="auto"/>
              <w:right w:val="single" w:sz="4" w:space="0" w:color="auto"/>
            </w:tcBorders>
            <w:vAlign w:val="center"/>
          </w:tcPr>
          <w:p w:rsidR="00324C8A" w:rsidRDefault="00324C8A">
            <w:pPr>
              <w:widowControl/>
              <w:jc w:val="left"/>
              <w:rPr>
                <w:kern w:val="0"/>
                <w:sz w:val="24"/>
                <w:szCs w:val="24"/>
              </w:rPr>
            </w:pPr>
            <w:r>
              <w:rPr>
                <w:kern w:val="0"/>
                <w:sz w:val="24"/>
                <w:szCs w:val="24"/>
              </w:rPr>
              <w:t>民生加银积极成长混合型发起式证券投资基金</w:t>
            </w:r>
          </w:p>
        </w:tc>
        <w:tc>
          <w:tcPr>
            <w:tcW w:w="851"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val="restart"/>
            <w:tcBorders>
              <w:top w:val="single" w:sz="4" w:space="0" w:color="auto"/>
              <w:left w:val="single" w:sz="4" w:space="0" w:color="auto"/>
              <w:bottom w:val="nil"/>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49</w:t>
            </w:r>
          </w:p>
        </w:tc>
        <w:tc>
          <w:tcPr>
            <w:tcW w:w="1823"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014040</w:t>
            </w:r>
          </w:p>
        </w:tc>
        <w:tc>
          <w:tcPr>
            <w:tcW w:w="3260" w:type="dxa"/>
            <w:vMerge w:val="restart"/>
            <w:tcBorders>
              <w:top w:val="single" w:sz="4" w:space="0" w:color="auto"/>
              <w:left w:val="nil"/>
              <w:bottom w:val="nil"/>
              <w:right w:val="single" w:sz="4" w:space="0" w:color="auto"/>
            </w:tcBorders>
            <w:vAlign w:val="center"/>
          </w:tcPr>
          <w:p w:rsidR="00324C8A" w:rsidRDefault="00324C8A">
            <w:pPr>
              <w:widowControl/>
              <w:jc w:val="left"/>
              <w:rPr>
                <w:kern w:val="0"/>
                <w:sz w:val="24"/>
                <w:szCs w:val="24"/>
              </w:rPr>
            </w:pPr>
            <w:r>
              <w:rPr>
                <w:rFonts w:hint="eastAsia"/>
                <w:kern w:val="0"/>
                <w:sz w:val="24"/>
                <w:szCs w:val="24"/>
              </w:rPr>
              <w:t>民生加银金融优选混合型证券投资基金</w:t>
            </w:r>
          </w:p>
        </w:tc>
        <w:tc>
          <w:tcPr>
            <w:tcW w:w="851"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noWrap/>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014041</w:t>
            </w:r>
          </w:p>
        </w:tc>
        <w:tc>
          <w:tcPr>
            <w:tcW w:w="3260" w:type="dxa"/>
            <w:vMerge/>
            <w:tcBorders>
              <w:top w:val="nil"/>
              <w:left w:val="nil"/>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nil"/>
              <w:left w:val="single" w:sz="4" w:space="0" w:color="auto"/>
              <w:bottom w:val="nil"/>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50</w:t>
            </w:r>
          </w:p>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017154</w:t>
            </w:r>
          </w:p>
        </w:tc>
        <w:tc>
          <w:tcPr>
            <w:tcW w:w="3260" w:type="dxa"/>
            <w:vMerge w:val="restart"/>
            <w:tcBorders>
              <w:top w:val="nil"/>
              <w:left w:val="nil"/>
              <w:bottom w:val="nil"/>
              <w:right w:val="single" w:sz="4" w:space="0" w:color="auto"/>
            </w:tcBorders>
            <w:vAlign w:val="center"/>
          </w:tcPr>
          <w:p w:rsidR="00324C8A" w:rsidRDefault="00324C8A">
            <w:pPr>
              <w:widowControl/>
              <w:jc w:val="left"/>
              <w:rPr>
                <w:kern w:val="0"/>
                <w:sz w:val="24"/>
                <w:szCs w:val="24"/>
              </w:rPr>
            </w:pPr>
            <w:r>
              <w:rPr>
                <w:rFonts w:hint="eastAsia"/>
                <w:kern w:val="0"/>
                <w:sz w:val="24"/>
                <w:szCs w:val="24"/>
              </w:rPr>
              <w:t>民生加银专精特新智选混合型发起式证券投资基金</w:t>
            </w:r>
          </w:p>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noWrap/>
            <w:vAlign w:val="center"/>
          </w:tcPr>
          <w:p w:rsidR="00324C8A" w:rsidRDefault="00324C8A"/>
        </w:tc>
        <w:tc>
          <w:tcPr>
            <w:tcW w:w="1823"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017155</w:t>
            </w:r>
          </w:p>
        </w:tc>
        <w:tc>
          <w:tcPr>
            <w:tcW w:w="3260" w:type="dxa"/>
            <w:vMerge/>
            <w:tcBorders>
              <w:top w:val="nil"/>
              <w:left w:val="nil"/>
              <w:bottom w:val="single" w:sz="4" w:space="0" w:color="auto"/>
              <w:right w:val="single" w:sz="4" w:space="0" w:color="auto"/>
            </w:tcBorders>
            <w:vAlign w:val="center"/>
          </w:tcPr>
          <w:p w:rsidR="00324C8A" w:rsidRDefault="00324C8A"/>
        </w:tc>
        <w:tc>
          <w:tcPr>
            <w:tcW w:w="851"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nil"/>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r w:rsidR="00324C8A" w:rsidTr="00A85B4B">
        <w:trPr>
          <w:trHeight w:val="260"/>
        </w:trPr>
        <w:tc>
          <w:tcPr>
            <w:tcW w:w="616" w:type="dxa"/>
            <w:vMerge w:val="restart"/>
            <w:tcBorders>
              <w:top w:val="single" w:sz="4" w:space="0" w:color="auto"/>
              <w:left w:val="single" w:sz="4" w:space="0" w:color="auto"/>
              <w:bottom w:val="nil"/>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51</w:t>
            </w:r>
          </w:p>
        </w:tc>
        <w:tc>
          <w:tcPr>
            <w:tcW w:w="1823"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A</w:t>
            </w:r>
            <w:r>
              <w:rPr>
                <w:kern w:val="0"/>
                <w:sz w:val="24"/>
                <w:szCs w:val="24"/>
              </w:rPr>
              <w:t>类：</w:t>
            </w:r>
            <w:r>
              <w:rPr>
                <w:kern w:val="0"/>
                <w:sz w:val="24"/>
                <w:szCs w:val="24"/>
              </w:rPr>
              <w:t>017868</w:t>
            </w:r>
          </w:p>
        </w:tc>
        <w:tc>
          <w:tcPr>
            <w:tcW w:w="3260" w:type="dxa"/>
            <w:vMerge w:val="restart"/>
            <w:tcBorders>
              <w:top w:val="single" w:sz="4" w:space="0" w:color="auto"/>
              <w:left w:val="nil"/>
              <w:bottom w:val="nil"/>
              <w:right w:val="single" w:sz="4" w:space="0" w:color="auto"/>
            </w:tcBorders>
            <w:vAlign w:val="center"/>
          </w:tcPr>
          <w:p w:rsidR="00324C8A" w:rsidRDefault="00324C8A">
            <w:pPr>
              <w:widowControl/>
              <w:jc w:val="left"/>
              <w:rPr>
                <w:kern w:val="0"/>
                <w:sz w:val="24"/>
                <w:szCs w:val="24"/>
              </w:rPr>
            </w:pPr>
            <w:r>
              <w:rPr>
                <w:rFonts w:hint="eastAsia"/>
                <w:kern w:val="0"/>
                <w:sz w:val="24"/>
                <w:szCs w:val="24"/>
              </w:rPr>
              <w:t>民生加银均衡优选混合型证券投资基金</w:t>
            </w:r>
          </w:p>
        </w:tc>
        <w:tc>
          <w:tcPr>
            <w:tcW w:w="851"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r>
      <w:tr w:rsidR="00324C8A" w:rsidTr="00A85B4B">
        <w:trPr>
          <w:trHeight w:val="260"/>
        </w:trPr>
        <w:tc>
          <w:tcPr>
            <w:tcW w:w="616" w:type="dxa"/>
            <w:vMerge/>
            <w:tcBorders>
              <w:top w:val="nil"/>
              <w:left w:val="single" w:sz="4" w:space="0" w:color="auto"/>
              <w:bottom w:val="single" w:sz="4" w:space="0" w:color="auto"/>
              <w:right w:val="single" w:sz="4" w:space="0" w:color="auto"/>
            </w:tcBorders>
            <w:noWrap/>
            <w:vAlign w:val="center"/>
          </w:tcPr>
          <w:p w:rsidR="00324C8A" w:rsidRDefault="00324C8A"/>
        </w:tc>
        <w:tc>
          <w:tcPr>
            <w:tcW w:w="1823"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C</w:t>
            </w:r>
            <w:r>
              <w:rPr>
                <w:kern w:val="0"/>
                <w:sz w:val="24"/>
                <w:szCs w:val="24"/>
              </w:rPr>
              <w:t>类：</w:t>
            </w:r>
            <w:r>
              <w:rPr>
                <w:kern w:val="0"/>
                <w:sz w:val="24"/>
                <w:szCs w:val="24"/>
              </w:rPr>
              <w:t>017869</w:t>
            </w:r>
          </w:p>
        </w:tc>
        <w:tc>
          <w:tcPr>
            <w:tcW w:w="3260" w:type="dxa"/>
            <w:vMerge/>
            <w:tcBorders>
              <w:top w:val="nil"/>
              <w:left w:val="nil"/>
              <w:bottom w:val="single" w:sz="4" w:space="0" w:color="auto"/>
              <w:right w:val="single" w:sz="4" w:space="0" w:color="auto"/>
            </w:tcBorders>
            <w:vAlign w:val="center"/>
          </w:tcPr>
          <w:p w:rsidR="00324C8A" w:rsidRDefault="00324C8A"/>
        </w:tc>
        <w:tc>
          <w:tcPr>
            <w:tcW w:w="851"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50"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kern w:val="0"/>
                <w:sz w:val="24"/>
                <w:szCs w:val="24"/>
              </w:rPr>
              <w:t>是</w:t>
            </w:r>
          </w:p>
        </w:tc>
        <w:tc>
          <w:tcPr>
            <w:tcW w:w="887" w:type="dxa"/>
            <w:tcBorders>
              <w:top w:val="single" w:sz="4" w:space="0" w:color="auto"/>
              <w:left w:val="nil"/>
              <w:bottom w:val="single" w:sz="4" w:space="0" w:color="auto"/>
              <w:right w:val="single" w:sz="4" w:space="0" w:color="auto"/>
            </w:tcBorders>
            <w:noWrap/>
            <w:vAlign w:val="center"/>
          </w:tcPr>
          <w:p w:rsidR="00324C8A" w:rsidRDefault="00324C8A">
            <w:pPr>
              <w:widowControl/>
              <w:jc w:val="center"/>
              <w:rPr>
                <w:kern w:val="0"/>
                <w:sz w:val="24"/>
                <w:szCs w:val="24"/>
              </w:rPr>
            </w:pPr>
            <w:r>
              <w:rPr>
                <w:rFonts w:hint="eastAsia"/>
                <w:kern w:val="0"/>
                <w:sz w:val="24"/>
                <w:szCs w:val="24"/>
              </w:rPr>
              <w:t>是</w:t>
            </w:r>
          </w:p>
        </w:tc>
      </w:tr>
    </w:tbl>
    <w:p w:rsidR="00324C8A" w:rsidRDefault="00324C8A">
      <w:pPr>
        <w:autoSpaceDE w:val="0"/>
        <w:autoSpaceDN w:val="0"/>
        <w:adjustRightInd w:val="0"/>
        <w:spacing w:line="360" w:lineRule="auto"/>
        <w:ind w:firstLineChars="200" w:firstLine="480"/>
        <w:jc w:val="left"/>
        <w:rPr>
          <w:color w:val="000000"/>
          <w:kern w:val="0"/>
          <w:sz w:val="24"/>
          <w:szCs w:val="24"/>
        </w:rPr>
      </w:pPr>
      <w:r>
        <w:rPr>
          <w:color w:val="000000"/>
          <w:kern w:val="0"/>
          <w:sz w:val="24"/>
          <w:szCs w:val="24"/>
        </w:rPr>
        <w:t>从</w:t>
      </w:r>
      <w:r>
        <w:rPr>
          <w:kern w:val="0"/>
          <w:sz w:val="24"/>
          <w:szCs w:val="24"/>
        </w:rPr>
        <w:t>2023</w:t>
      </w:r>
      <w:r>
        <w:rPr>
          <w:kern w:val="0"/>
          <w:sz w:val="24"/>
          <w:szCs w:val="24"/>
        </w:rPr>
        <w:t>年</w:t>
      </w:r>
      <w:r>
        <w:rPr>
          <w:rFonts w:hint="eastAsia"/>
          <w:kern w:val="0"/>
          <w:sz w:val="24"/>
          <w:szCs w:val="24"/>
        </w:rPr>
        <w:t>9</w:t>
      </w:r>
      <w:r>
        <w:rPr>
          <w:kern w:val="0"/>
          <w:sz w:val="24"/>
          <w:szCs w:val="24"/>
        </w:rPr>
        <w:t>月</w:t>
      </w:r>
      <w:r>
        <w:rPr>
          <w:rFonts w:hint="eastAsia"/>
          <w:kern w:val="0"/>
          <w:sz w:val="24"/>
          <w:szCs w:val="24"/>
        </w:rPr>
        <w:t>22</w:t>
      </w:r>
      <w:r>
        <w:rPr>
          <w:kern w:val="0"/>
          <w:sz w:val="24"/>
          <w:szCs w:val="24"/>
        </w:rPr>
        <w:t>日</w:t>
      </w:r>
      <w:r>
        <w:rPr>
          <w:color w:val="000000"/>
          <w:kern w:val="0"/>
          <w:sz w:val="24"/>
          <w:szCs w:val="24"/>
        </w:rPr>
        <w:t>起，投资人可通过</w:t>
      </w:r>
      <w:r>
        <w:rPr>
          <w:rFonts w:hint="eastAsia"/>
          <w:color w:val="000000"/>
          <w:kern w:val="0"/>
          <w:sz w:val="24"/>
          <w:szCs w:val="24"/>
        </w:rPr>
        <w:t>大智慧基金</w:t>
      </w:r>
      <w:r>
        <w:rPr>
          <w:color w:val="000000"/>
          <w:kern w:val="0"/>
          <w:sz w:val="24"/>
          <w:szCs w:val="24"/>
        </w:rPr>
        <w:t>办理上述列表中对应基金的开户、申购、赎回、定投申购、转换等业务，具体的业务流程、办理时间和办理方式以</w:t>
      </w:r>
      <w:r>
        <w:rPr>
          <w:rFonts w:hint="eastAsia"/>
          <w:color w:val="000000"/>
          <w:kern w:val="0"/>
          <w:sz w:val="24"/>
          <w:szCs w:val="24"/>
        </w:rPr>
        <w:t>大智慧基金</w:t>
      </w:r>
      <w:r>
        <w:rPr>
          <w:color w:val="000000"/>
          <w:kern w:val="0"/>
          <w:sz w:val="24"/>
          <w:szCs w:val="24"/>
        </w:rPr>
        <w:t>的规定为准。</w:t>
      </w:r>
      <w:r>
        <w:rPr>
          <w:color w:val="000000"/>
          <w:kern w:val="0"/>
          <w:sz w:val="24"/>
          <w:szCs w:val="24"/>
        </w:rPr>
        <w:t xml:space="preserve"> </w:t>
      </w:r>
    </w:p>
    <w:p w:rsidR="00324C8A" w:rsidRDefault="00324C8A">
      <w:pPr>
        <w:autoSpaceDE w:val="0"/>
        <w:autoSpaceDN w:val="0"/>
        <w:adjustRightInd w:val="0"/>
        <w:spacing w:line="360" w:lineRule="auto"/>
        <w:ind w:firstLineChars="200" w:firstLine="480"/>
        <w:jc w:val="left"/>
        <w:rPr>
          <w:color w:val="000000"/>
          <w:kern w:val="0"/>
          <w:sz w:val="24"/>
          <w:szCs w:val="24"/>
        </w:rPr>
      </w:pPr>
      <w:r>
        <w:rPr>
          <w:color w:val="000000"/>
          <w:kern w:val="0"/>
          <w:sz w:val="24"/>
          <w:szCs w:val="24"/>
        </w:rPr>
        <w:t>投资人通过</w:t>
      </w:r>
      <w:r>
        <w:rPr>
          <w:rFonts w:hint="eastAsia"/>
          <w:color w:val="000000"/>
          <w:kern w:val="0"/>
          <w:sz w:val="24"/>
          <w:szCs w:val="24"/>
        </w:rPr>
        <w:t>大智慧基金</w:t>
      </w:r>
      <w:r>
        <w:rPr>
          <w:color w:val="000000"/>
          <w:kern w:val="0"/>
          <w:sz w:val="24"/>
          <w:szCs w:val="24"/>
        </w:rPr>
        <w:t>成功办理上述列表中参加费率优惠的基金的申购、定投申购、基金转换业务，其申购费率（含定投申购）、基金转换费率享有折扣优惠，其中基金转换业务中转出与转入基金的原申购费补差费率享受费率优惠。以上费率优惠中若原费率是固定金额的，则按固定金额执行，不再享有费率折扣，原费率请阅读各基金合同、招募说明书等法律文件。具体实施费率优惠的范围及优惠措施以</w:t>
      </w:r>
      <w:r>
        <w:rPr>
          <w:rFonts w:hint="eastAsia"/>
          <w:color w:val="000000"/>
          <w:kern w:val="0"/>
          <w:sz w:val="24"/>
          <w:szCs w:val="24"/>
        </w:rPr>
        <w:t>大智慧基金</w:t>
      </w:r>
      <w:r>
        <w:rPr>
          <w:color w:val="000000"/>
          <w:kern w:val="0"/>
          <w:sz w:val="24"/>
          <w:szCs w:val="24"/>
        </w:rPr>
        <w:t>安排为准。</w:t>
      </w:r>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二、重要提示</w:t>
      </w:r>
      <w:r>
        <w:rPr>
          <w:color w:val="000000"/>
          <w:kern w:val="0"/>
          <w:sz w:val="24"/>
          <w:szCs w:val="24"/>
        </w:rPr>
        <w:t xml:space="preserve"> </w:t>
      </w:r>
    </w:p>
    <w:p w:rsidR="00324C8A" w:rsidRDefault="00324C8A">
      <w:pPr>
        <w:autoSpaceDE w:val="0"/>
        <w:autoSpaceDN w:val="0"/>
        <w:adjustRightInd w:val="0"/>
        <w:spacing w:line="360" w:lineRule="auto"/>
        <w:ind w:firstLineChars="200" w:firstLine="480"/>
        <w:jc w:val="left"/>
        <w:rPr>
          <w:color w:val="000000"/>
          <w:kern w:val="0"/>
          <w:sz w:val="24"/>
          <w:szCs w:val="24"/>
        </w:rPr>
      </w:pPr>
      <w:r>
        <w:rPr>
          <w:color w:val="000000"/>
          <w:kern w:val="0"/>
          <w:sz w:val="24"/>
          <w:szCs w:val="24"/>
        </w:rPr>
        <w:t>1</w:t>
      </w:r>
      <w:r>
        <w:rPr>
          <w:color w:val="000000"/>
          <w:kern w:val="0"/>
          <w:sz w:val="24"/>
          <w:szCs w:val="24"/>
        </w:rPr>
        <w:t>、上述申购赎回业务仅适用于处于正常申购期及处于特定开放日和开放时间的基金。基金封闭期等特殊期间的有关规定详见对应基金的《基金合同》和《招募说明书》等相关法律文件及本公司发布的最新业务公告。</w:t>
      </w:r>
      <w:r>
        <w:rPr>
          <w:color w:val="000000"/>
          <w:kern w:val="0"/>
          <w:sz w:val="24"/>
          <w:szCs w:val="24"/>
        </w:rPr>
        <w:t xml:space="preserve"> </w:t>
      </w:r>
    </w:p>
    <w:p w:rsidR="00324C8A" w:rsidRDefault="00324C8A">
      <w:pPr>
        <w:autoSpaceDE w:val="0"/>
        <w:autoSpaceDN w:val="0"/>
        <w:adjustRightInd w:val="0"/>
        <w:spacing w:line="360" w:lineRule="auto"/>
        <w:ind w:firstLineChars="200" w:firstLine="480"/>
        <w:jc w:val="left"/>
        <w:rPr>
          <w:color w:val="000000"/>
          <w:kern w:val="0"/>
          <w:sz w:val="24"/>
          <w:szCs w:val="24"/>
        </w:rPr>
      </w:pPr>
      <w:r>
        <w:rPr>
          <w:color w:val="000000"/>
          <w:kern w:val="0"/>
          <w:sz w:val="24"/>
          <w:szCs w:val="24"/>
        </w:rPr>
        <w:t>2</w:t>
      </w:r>
      <w:r>
        <w:rPr>
          <w:color w:val="000000"/>
          <w:kern w:val="0"/>
          <w:sz w:val="24"/>
          <w:szCs w:val="24"/>
        </w:rPr>
        <w:t>、上述参与费率优惠活动的基金，仅适用于处于正常申购期的基金的申购、定投申购及基金转换手续费，不包括赎回业务等其他业务的基金手续费。本次费率优惠活动如有展期、终止或调整，费率优惠规则如有变更，均以</w:t>
      </w:r>
      <w:r>
        <w:rPr>
          <w:rFonts w:hint="eastAsia"/>
          <w:color w:val="000000"/>
          <w:kern w:val="0"/>
          <w:sz w:val="24"/>
          <w:szCs w:val="24"/>
        </w:rPr>
        <w:t>大智慧基金</w:t>
      </w:r>
      <w:r>
        <w:rPr>
          <w:color w:val="000000"/>
          <w:kern w:val="0"/>
          <w:sz w:val="24"/>
          <w:szCs w:val="24"/>
        </w:rPr>
        <w:t>的安排和规定为准，本公司不再另行公告。</w:t>
      </w:r>
      <w:r>
        <w:rPr>
          <w:color w:val="000000"/>
          <w:kern w:val="0"/>
          <w:sz w:val="24"/>
          <w:szCs w:val="24"/>
        </w:rPr>
        <w:t xml:space="preserve"> </w:t>
      </w:r>
    </w:p>
    <w:p w:rsidR="00324C8A" w:rsidRDefault="00324C8A">
      <w:pPr>
        <w:autoSpaceDE w:val="0"/>
        <w:autoSpaceDN w:val="0"/>
        <w:adjustRightInd w:val="0"/>
        <w:spacing w:line="360" w:lineRule="auto"/>
        <w:ind w:firstLineChars="200" w:firstLine="480"/>
        <w:jc w:val="left"/>
        <w:rPr>
          <w:color w:val="000000"/>
          <w:kern w:val="0"/>
          <w:sz w:val="24"/>
          <w:szCs w:val="24"/>
        </w:rPr>
      </w:pPr>
      <w:r>
        <w:rPr>
          <w:color w:val="000000"/>
          <w:kern w:val="0"/>
          <w:sz w:val="24"/>
          <w:szCs w:val="24"/>
        </w:rPr>
        <w:t>3</w:t>
      </w:r>
      <w:r>
        <w:rPr>
          <w:color w:val="000000"/>
          <w:kern w:val="0"/>
          <w:sz w:val="24"/>
          <w:szCs w:val="24"/>
        </w:rPr>
        <w:t>、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w:t>
      </w:r>
      <w:r>
        <w:rPr>
          <w:color w:val="000000"/>
          <w:kern w:val="0"/>
          <w:sz w:val="24"/>
          <w:szCs w:val="24"/>
        </w:rPr>
        <w:t xml:space="preserve"> </w:t>
      </w:r>
    </w:p>
    <w:p w:rsidR="00324C8A" w:rsidRDefault="00324C8A">
      <w:pPr>
        <w:autoSpaceDE w:val="0"/>
        <w:autoSpaceDN w:val="0"/>
        <w:adjustRightInd w:val="0"/>
        <w:spacing w:line="360" w:lineRule="auto"/>
        <w:ind w:firstLineChars="200" w:firstLine="480"/>
        <w:jc w:val="left"/>
        <w:rPr>
          <w:color w:val="000000"/>
          <w:kern w:val="0"/>
          <w:sz w:val="24"/>
          <w:szCs w:val="24"/>
        </w:rPr>
      </w:pPr>
      <w:r>
        <w:rPr>
          <w:color w:val="000000"/>
          <w:kern w:val="0"/>
          <w:sz w:val="24"/>
          <w:szCs w:val="24"/>
        </w:rPr>
        <w:t>4</w:t>
      </w:r>
      <w:r>
        <w:rPr>
          <w:color w:val="000000"/>
          <w:kern w:val="0"/>
          <w:sz w:val="24"/>
          <w:szCs w:val="24"/>
        </w:rPr>
        <w:t>、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Pr>
          <w:rFonts w:hint="eastAsia"/>
          <w:color w:val="000000"/>
          <w:kern w:val="0"/>
          <w:sz w:val="24"/>
          <w:szCs w:val="24"/>
        </w:rPr>
        <w:t>大智慧基金</w:t>
      </w:r>
      <w:r>
        <w:rPr>
          <w:color w:val="000000"/>
          <w:kern w:val="0"/>
          <w:sz w:val="24"/>
          <w:szCs w:val="24"/>
        </w:rPr>
        <w:t>开展基金转换业务。转换业务规则请参照本公司官网中发布的《民生加银基金管理有限公司旗下基金转换业务规则》。</w:t>
      </w:r>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三、投资者可通过以下途径咨询有关详情：</w:t>
      </w:r>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1</w:t>
      </w:r>
      <w:r>
        <w:rPr>
          <w:color w:val="000000"/>
          <w:kern w:val="0"/>
          <w:sz w:val="24"/>
          <w:szCs w:val="24"/>
        </w:rPr>
        <w:t>、</w:t>
      </w:r>
      <w:r>
        <w:rPr>
          <w:rFonts w:hint="eastAsia"/>
          <w:color w:val="000000"/>
          <w:kern w:val="0"/>
          <w:sz w:val="24"/>
          <w:szCs w:val="24"/>
        </w:rPr>
        <w:t>上海大智慧基金销售有限公司</w:t>
      </w:r>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客户服务电话：</w:t>
      </w:r>
      <w:r>
        <w:rPr>
          <w:rFonts w:hint="eastAsia"/>
          <w:color w:val="000000"/>
          <w:kern w:val="0"/>
          <w:sz w:val="24"/>
          <w:szCs w:val="24"/>
        </w:rPr>
        <w:t>021-20292031</w:t>
      </w:r>
    </w:p>
    <w:p w:rsidR="00324C8A" w:rsidRDefault="00324C8A">
      <w:pPr>
        <w:spacing w:line="360" w:lineRule="auto"/>
        <w:ind w:leftChars="67" w:left="141" w:firstLineChars="116" w:firstLine="278"/>
        <w:jc w:val="left"/>
        <w:rPr>
          <w:rFonts w:ascii="仿宋" w:eastAsia="仿宋" w:cs="微软雅黑" w:hint="eastAsia"/>
          <w:color w:val="000000"/>
          <w:kern w:val="0"/>
          <w:sz w:val="24"/>
          <w:szCs w:val="24"/>
        </w:rPr>
      </w:pPr>
      <w:r>
        <w:rPr>
          <w:color w:val="000000"/>
          <w:kern w:val="0"/>
          <w:sz w:val="24"/>
          <w:szCs w:val="24"/>
        </w:rPr>
        <w:t>公司网址：</w:t>
      </w:r>
      <w:r>
        <w:rPr>
          <w:rFonts w:ascii="等线" w:eastAsia="等线" w:cs="黑体" w:hint="eastAsia"/>
        </w:rPr>
        <w:t xml:space="preserve"> </w:t>
      </w:r>
      <w:r>
        <w:rPr>
          <w:rFonts w:hint="eastAsia"/>
          <w:color w:val="000000"/>
          <w:kern w:val="0"/>
          <w:sz w:val="24"/>
          <w:szCs w:val="24"/>
        </w:rPr>
        <w:t>www.wg.com.cn</w:t>
      </w:r>
    </w:p>
    <w:p w:rsidR="00324C8A" w:rsidRDefault="00324C8A">
      <w:pPr>
        <w:autoSpaceDE w:val="0"/>
        <w:autoSpaceDN w:val="0"/>
        <w:adjustRightInd w:val="0"/>
        <w:spacing w:line="360" w:lineRule="auto"/>
        <w:ind w:firstLineChars="177" w:firstLine="425"/>
        <w:jc w:val="left"/>
        <w:rPr>
          <w:color w:val="000000"/>
          <w:kern w:val="0"/>
          <w:sz w:val="24"/>
          <w:szCs w:val="24"/>
        </w:rPr>
      </w:pPr>
      <w:r>
        <w:rPr>
          <w:color w:val="000000"/>
          <w:kern w:val="0"/>
          <w:sz w:val="24"/>
          <w:szCs w:val="24"/>
        </w:rPr>
        <w:t>公司地址：</w:t>
      </w:r>
      <w:r>
        <w:rPr>
          <w:rFonts w:hint="eastAsia"/>
          <w:color w:val="000000"/>
          <w:kern w:val="0"/>
          <w:sz w:val="24"/>
          <w:szCs w:val="24"/>
        </w:rPr>
        <w:t>中国上海市浦东新区杨高南路</w:t>
      </w:r>
      <w:r>
        <w:rPr>
          <w:rFonts w:hint="eastAsia"/>
          <w:color w:val="000000"/>
          <w:kern w:val="0"/>
          <w:sz w:val="24"/>
          <w:szCs w:val="24"/>
        </w:rPr>
        <w:t>428</w:t>
      </w:r>
      <w:r>
        <w:rPr>
          <w:rFonts w:hint="eastAsia"/>
          <w:color w:val="000000"/>
          <w:kern w:val="0"/>
          <w:sz w:val="24"/>
          <w:szCs w:val="24"/>
        </w:rPr>
        <w:t>号</w:t>
      </w:r>
      <w:r>
        <w:rPr>
          <w:rFonts w:hint="eastAsia"/>
          <w:color w:val="000000"/>
          <w:kern w:val="0"/>
          <w:sz w:val="24"/>
          <w:szCs w:val="24"/>
        </w:rPr>
        <w:t>1</w:t>
      </w:r>
      <w:r>
        <w:rPr>
          <w:rFonts w:hint="eastAsia"/>
          <w:color w:val="000000"/>
          <w:kern w:val="0"/>
          <w:sz w:val="24"/>
          <w:szCs w:val="24"/>
        </w:rPr>
        <w:t>号楼</w:t>
      </w:r>
      <w:r>
        <w:rPr>
          <w:rFonts w:hint="eastAsia"/>
          <w:color w:val="000000"/>
          <w:kern w:val="0"/>
          <w:sz w:val="24"/>
          <w:szCs w:val="24"/>
        </w:rPr>
        <w:t>1102</w:t>
      </w:r>
      <w:r>
        <w:rPr>
          <w:rFonts w:hint="eastAsia"/>
          <w:color w:val="000000"/>
          <w:kern w:val="0"/>
          <w:sz w:val="24"/>
          <w:szCs w:val="24"/>
        </w:rPr>
        <w:t>单元</w:t>
      </w:r>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邮编：</w:t>
      </w:r>
      <w:r>
        <w:rPr>
          <w:rFonts w:hint="eastAsia"/>
          <w:color w:val="000000"/>
          <w:kern w:val="0"/>
          <w:sz w:val="24"/>
          <w:szCs w:val="24"/>
        </w:rPr>
        <w:t>200127</w:t>
      </w:r>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2</w:t>
      </w:r>
      <w:r>
        <w:rPr>
          <w:color w:val="000000"/>
          <w:kern w:val="0"/>
          <w:sz w:val="24"/>
          <w:szCs w:val="24"/>
        </w:rPr>
        <w:t>、民生加银基金管理有限公司</w:t>
      </w:r>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客户服务电话：</w:t>
      </w:r>
      <w:r>
        <w:rPr>
          <w:color w:val="000000"/>
          <w:kern w:val="0"/>
          <w:sz w:val="24"/>
          <w:szCs w:val="24"/>
        </w:rPr>
        <w:t>400-8888-388</w:t>
      </w:r>
      <w:r>
        <w:rPr>
          <w:color w:val="000000"/>
          <w:kern w:val="0"/>
          <w:sz w:val="24"/>
          <w:szCs w:val="24"/>
        </w:rPr>
        <w:t>（免长话费）</w:t>
      </w:r>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公司网址：</w:t>
      </w:r>
      <w:hyperlink r:id="rId5" w:history="1">
        <w:r>
          <w:rPr>
            <w:color w:val="000000"/>
            <w:kern w:val="0"/>
            <w:sz w:val="24"/>
            <w:szCs w:val="24"/>
          </w:rPr>
          <w:t>www.msjyfund.com.cn</w:t>
        </w:r>
      </w:hyperlink>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公司地址：深圳市福田区莲花街道福中三路</w:t>
      </w:r>
      <w:r>
        <w:rPr>
          <w:color w:val="000000"/>
          <w:kern w:val="0"/>
          <w:sz w:val="24"/>
          <w:szCs w:val="24"/>
        </w:rPr>
        <w:t>2005</w:t>
      </w:r>
      <w:r>
        <w:rPr>
          <w:color w:val="000000"/>
          <w:kern w:val="0"/>
          <w:sz w:val="24"/>
          <w:szCs w:val="24"/>
        </w:rPr>
        <w:t>号民生金融大厦</w:t>
      </w:r>
      <w:r>
        <w:rPr>
          <w:color w:val="000000"/>
          <w:kern w:val="0"/>
          <w:sz w:val="24"/>
          <w:szCs w:val="24"/>
        </w:rPr>
        <w:t>13</w:t>
      </w:r>
      <w:r>
        <w:rPr>
          <w:color w:val="000000"/>
          <w:kern w:val="0"/>
          <w:sz w:val="24"/>
          <w:szCs w:val="24"/>
        </w:rPr>
        <w:t>楼</w:t>
      </w:r>
      <w:r>
        <w:rPr>
          <w:color w:val="000000"/>
          <w:kern w:val="0"/>
          <w:sz w:val="24"/>
          <w:szCs w:val="24"/>
        </w:rPr>
        <w:t>13A</w:t>
      </w:r>
    </w:p>
    <w:p w:rsidR="00324C8A" w:rsidRDefault="00324C8A">
      <w:pPr>
        <w:autoSpaceDE w:val="0"/>
        <w:autoSpaceDN w:val="0"/>
        <w:adjustRightInd w:val="0"/>
        <w:spacing w:line="360" w:lineRule="auto"/>
        <w:ind w:firstLine="420"/>
        <w:jc w:val="left"/>
        <w:rPr>
          <w:color w:val="000000"/>
          <w:kern w:val="0"/>
          <w:sz w:val="24"/>
          <w:szCs w:val="24"/>
        </w:rPr>
      </w:pPr>
      <w:r>
        <w:rPr>
          <w:color w:val="000000"/>
          <w:kern w:val="0"/>
          <w:sz w:val="24"/>
          <w:szCs w:val="24"/>
        </w:rPr>
        <w:t>邮编：</w:t>
      </w:r>
      <w:r>
        <w:rPr>
          <w:color w:val="000000"/>
          <w:kern w:val="0"/>
          <w:sz w:val="24"/>
          <w:szCs w:val="24"/>
        </w:rPr>
        <w:t>518038</w:t>
      </w:r>
    </w:p>
    <w:p w:rsidR="00324C8A" w:rsidRDefault="00324C8A">
      <w:pPr>
        <w:autoSpaceDE w:val="0"/>
        <w:autoSpaceDN w:val="0"/>
        <w:adjustRightInd w:val="0"/>
        <w:spacing w:line="360" w:lineRule="auto"/>
        <w:ind w:firstLineChars="200" w:firstLine="480"/>
        <w:jc w:val="left"/>
        <w:rPr>
          <w:color w:val="000000"/>
          <w:kern w:val="0"/>
          <w:sz w:val="24"/>
          <w:szCs w:val="24"/>
        </w:rPr>
      </w:pPr>
      <w:r>
        <w:rPr>
          <w:color w:val="000000"/>
          <w:kern w:val="0"/>
          <w:sz w:val="24"/>
          <w:szCs w:val="24"/>
        </w:rPr>
        <w:t>投资者欲了解本公司旗下基金详细情况，请仔细阅读基金合同、招募说明书等相关文件也可以致电本公司客户服务电话或登录本公司网站查询。欢迎广大投资者到</w:t>
      </w:r>
      <w:r>
        <w:rPr>
          <w:rFonts w:hint="eastAsia"/>
          <w:color w:val="000000"/>
          <w:kern w:val="0"/>
          <w:sz w:val="24"/>
          <w:szCs w:val="24"/>
        </w:rPr>
        <w:t>大智慧基金</w:t>
      </w:r>
      <w:r>
        <w:rPr>
          <w:color w:val="000000"/>
          <w:kern w:val="0"/>
          <w:sz w:val="24"/>
          <w:szCs w:val="24"/>
        </w:rPr>
        <w:t>咨询以及办理开户、认购、申购、定投申购、转换等相关基金业务。</w:t>
      </w:r>
      <w:r>
        <w:rPr>
          <w:color w:val="000000"/>
          <w:kern w:val="0"/>
          <w:sz w:val="24"/>
          <w:szCs w:val="24"/>
        </w:rPr>
        <w:t xml:space="preserve"> </w:t>
      </w:r>
    </w:p>
    <w:p w:rsidR="00324C8A" w:rsidRDefault="00324C8A">
      <w:pPr>
        <w:autoSpaceDE w:val="0"/>
        <w:autoSpaceDN w:val="0"/>
        <w:adjustRightInd w:val="0"/>
        <w:spacing w:line="360" w:lineRule="auto"/>
        <w:ind w:firstLineChars="200" w:firstLine="482"/>
        <w:jc w:val="left"/>
        <w:rPr>
          <w:b/>
          <w:color w:val="000000"/>
          <w:kern w:val="0"/>
          <w:sz w:val="24"/>
          <w:szCs w:val="24"/>
        </w:rPr>
      </w:pPr>
    </w:p>
    <w:p w:rsidR="00324C8A" w:rsidRDefault="00324C8A">
      <w:pPr>
        <w:autoSpaceDE w:val="0"/>
        <w:autoSpaceDN w:val="0"/>
        <w:adjustRightInd w:val="0"/>
        <w:spacing w:line="360" w:lineRule="auto"/>
        <w:ind w:firstLineChars="200" w:firstLine="482"/>
        <w:rPr>
          <w:b/>
          <w:color w:val="000000"/>
          <w:kern w:val="0"/>
          <w:sz w:val="24"/>
          <w:szCs w:val="24"/>
        </w:rPr>
      </w:pPr>
      <w:r>
        <w:rPr>
          <w:b/>
          <w:color w:val="000000"/>
          <w:kern w:val="0"/>
          <w:sz w:val="24"/>
          <w:szCs w:val="24"/>
        </w:rPr>
        <w:t>风险提示：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w:t>
      </w:r>
      <w:r>
        <w:rPr>
          <w:rFonts w:hint="eastAsia"/>
          <w:b/>
          <w:color w:val="333333"/>
          <w:sz w:val="24"/>
          <w:szCs w:val="24"/>
        </w:rPr>
        <w:t>，基金管理人管理的其他基金的业绩也不构成对本基金业绩表现的保证</w:t>
      </w:r>
      <w:r>
        <w:rPr>
          <w:b/>
          <w:color w:val="000000"/>
          <w:kern w:val="0"/>
          <w:sz w:val="24"/>
          <w:szCs w:val="24"/>
        </w:rPr>
        <w:t>。定期定额投资是引导投资者进行长期投资、平均投资成本的一种简单易行的投资方式。但是定期定额投资并不能规避基金投资所固有的风险，不能保证投资者获得收益，也不是替代储蓄的等效理财方式。投资者投资于基金前应认真阅读基金的基金合同、招募说明书等资料，了解所投资基金的风险收益特征，并根据自身情况购买与本人风险承受能力相匹配的产品。敬请投资者留意投资风险。</w:t>
      </w:r>
    </w:p>
    <w:p w:rsidR="00324C8A" w:rsidRDefault="00324C8A">
      <w:pPr>
        <w:autoSpaceDE w:val="0"/>
        <w:autoSpaceDN w:val="0"/>
        <w:adjustRightInd w:val="0"/>
        <w:spacing w:line="360" w:lineRule="auto"/>
        <w:ind w:firstLineChars="200" w:firstLine="480"/>
        <w:jc w:val="left"/>
        <w:rPr>
          <w:color w:val="000000"/>
          <w:kern w:val="0"/>
          <w:sz w:val="24"/>
          <w:szCs w:val="24"/>
        </w:rPr>
      </w:pPr>
      <w:r>
        <w:rPr>
          <w:color w:val="000000"/>
          <w:kern w:val="0"/>
          <w:sz w:val="24"/>
          <w:szCs w:val="24"/>
        </w:rPr>
        <w:t>本公司保留对本公告的解释权和修改权。</w:t>
      </w:r>
      <w:r>
        <w:rPr>
          <w:color w:val="000000"/>
          <w:kern w:val="0"/>
          <w:sz w:val="24"/>
          <w:szCs w:val="24"/>
        </w:rPr>
        <w:t xml:space="preserve"> </w:t>
      </w:r>
    </w:p>
    <w:p w:rsidR="00324C8A" w:rsidRDefault="00324C8A">
      <w:pPr>
        <w:autoSpaceDE w:val="0"/>
        <w:autoSpaceDN w:val="0"/>
        <w:adjustRightInd w:val="0"/>
        <w:spacing w:line="360" w:lineRule="auto"/>
        <w:ind w:firstLineChars="200" w:firstLine="480"/>
        <w:jc w:val="left"/>
        <w:rPr>
          <w:color w:val="000000"/>
          <w:kern w:val="0"/>
          <w:sz w:val="24"/>
          <w:szCs w:val="24"/>
        </w:rPr>
      </w:pPr>
      <w:r>
        <w:rPr>
          <w:color w:val="000000"/>
          <w:kern w:val="0"/>
          <w:sz w:val="24"/>
          <w:szCs w:val="24"/>
        </w:rPr>
        <w:t>特此公告。</w:t>
      </w:r>
    </w:p>
    <w:p w:rsidR="00B726D0" w:rsidRDefault="00B726D0">
      <w:pPr>
        <w:autoSpaceDE w:val="0"/>
        <w:autoSpaceDN w:val="0"/>
        <w:adjustRightInd w:val="0"/>
        <w:spacing w:line="360" w:lineRule="auto"/>
        <w:ind w:firstLineChars="200" w:firstLine="480"/>
        <w:jc w:val="left"/>
        <w:rPr>
          <w:rFonts w:hint="eastAsia"/>
          <w:color w:val="000000"/>
          <w:kern w:val="0"/>
          <w:sz w:val="24"/>
          <w:szCs w:val="24"/>
        </w:rPr>
      </w:pPr>
    </w:p>
    <w:p w:rsidR="00324C8A" w:rsidRDefault="00324C8A">
      <w:pPr>
        <w:autoSpaceDE w:val="0"/>
        <w:autoSpaceDN w:val="0"/>
        <w:adjustRightInd w:val="0"/>
        <w:spacing w:line="360" w:lineRule="auto"/>
        <w:jc w:val="right"/>
        <w:rPr>
          <w:color w:val="000000"/>
          <w:kern w:val="0"/>
          <w:sz w:val="24"/>
          <w:szCs w:val="24"/>
        </w:rPr>
      </w:pPr>
      <w:r>
        <w:rPr>
          <w:color w:val="000000"/>
          <w:kern w:val="0"/>
          <w:sz w:val="24"/>
          <w:szCs w:val="24"/>
        </w:rPr>
        <w:t>民生加银基金管理有限公司</w:t>
      </w:r>
    </w:p>
    <w:p w:rsidR="00324C8A" w:rsidRDefault="00324C8A">
      <w:pPr>
        <w:autoSpaceDE w:val="0"/>
        <w:autoSpaceDN w:val="0"/>
        <w:adjustRightInd w:val="0"/>
        <w:spacing w:line="360" w:lineRule="auto"/>
        <w:jc w:val="right"/>
        <w:rPr>
          <w:sz w:val="24"/>
          <w:szCs w:val="24"/>
        </w:rPr>
      </w:pPr>
      <w:r>
        <w:rPr>
          <w:kern w:val="0"/>
          <w:sz w:val="24"/>
          <w:szCs w:val="24"/>
        </w:rPr>
        <w:t>二〇二</w:t>
      </w:r>
      <w:r>
        <w:rPr>
          <w:rFonts w:hint="eastAsia"/>
          <w:kern w:val="0"/>
          <w:sz w:val="24"/>
          <w:szCs w:val="24"/>
        </w:rPr>
        <w:t>三</w:t>
      </w:r>
      <w:r>
        <w:rPr>
          <w:kern w:val="0"/>
          <w:sz w:val="24"/>
          <w:szCs w:val="24"/>
        </w:rPr>
        <w:t>年</w:t>
      </w:r>
      <w:r>
        <w:rPr>
          <w:rFonts w:hint="eastAsia"/>
          <w:kern w:val="0"/>
          <w:sz w:val="24"/>
          <w:szCs w:val="24"/>
        </w:rPr>
        <w:t>九</w:t>
      </w:r>
      <w:r>
        <w:rPr>
          <w:kern w:val="0"/>
          <w:sz w:val="24"/>
          <w:szCs w:val="24"/>
        </w:rPr>
        <w:t>月</w:t>
      </w:r>
      <w:r>
        <w:rPr>
          <w:rFonts w:hint="eastAsia"/>
          <w:kern w:val="0"/>
          <w:sz w:val="24"/>
          <w:szCs w:val="24"/>
        </w:rPr>
        <w:t>二十一</w:t>
      </w:r>
      <w:r>
        <w:rPr>
          <w:kern w:val="0"/>
          <w:sz w:val="24"/>
          <w:szCs w:val="24"/>
        </w:rPr>
        <w:t>日</w:t>
      </w:r>
    </w:p>
    <w:sectPr w:rsidR="00324C8A">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Luxi Sans">
    <w:altName w:val="Arial"/>
    <w:charset w:val="00"/>
    <w:family w:val="auto"/>
    <w:pitch w:val="variable"/>
    <w:sig w:usb0="00000000" w:usb1="00000000" w:usb2="00000000" w:usb3="00000000" w:csb0="00040001" w:csb1="00000000"/>
  </w:font>
  <w:font w:name="仿宋">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B3DA35B0"/>
    <w:lvl w:ilvl="0">
      <w:start w:val="1"/>
      <w:numFmt w:val="decimal"/>
      <w:lvlText w:val="%1."/>
      <w:lvlJc w:val="left"/>
      <w:pPr>
        <w:tabs>
          <w:tab w:val="num" w:pos="2040"/>
        </w:tabs>
        <w:ind w:left="2040" w:hanging="360"/>
      </w:pPr>
    </w:lvl>
  </w:abstractNum>
  <w:abstractNum w:abstractNumId="1">
    <w:nsid w:val="0FFFFF7D"/>
    <w:multiLevelType w:val="singleLevel"/>
    <w:tmpl w:val="2110EE4A"/>
    <w:lvl w:ilvl="0">
      <w:start w:val="1"/>
      <w:numFmt w:val="decimal"/>
      <w:lvlText w:val="%1."/>
      <w:lvlJc w:val="left"/>
      <w:pPr>
        <w:tabs>
          <w:tab w:val="num" w:pos="1620"/>
        </w:tabs>
        <w:ind w:left="1620" w:hanging="360"/>
      </w:pPr>
    </w:lvl>
  </w:abstractNum>
  <w:abstractNum w:abstractNumId="2">
    <w:nsid w:val="0FFFFF7E"/>
    <w:multiLevelType w:val="singleLevel"/>
    <w:tmpl w:val="53B6075C"/>
    <w:lvl w:ilvl="0">
      <w:start w:val="1"/>
      <w:numFmt w:val="decimal"/>
      <w:lvlText w:val="%1."/>
      <w:lvlJc w:val="left"/>
      <w:pPr>
        <w:tabs>
          <w:tab w:val="num" w:pos="1200"/>
        </w:tabs>
        <w:ind w:left="1200" w:hanging="360"/>
      </w:pPr>
    </w:lvl>
  </w:abstractNum>
  <w:abstractNum w:abstractNumId="3">
    <w:nsid w:val="0FFFFF7F"/>
    <w:multiLevelType w:val="singleLevel"/>
    <w:tmpl w:val="8E247BDC"/>
    <w:lvl w:ilvl="0">
      <w:start w:val="1"/>
      <w:numFmt w:val="decimal"/>
      <w:lvlText w:val="%1."/>
      <w:lvlJc w:val="left"/>
      <w:pPr>
        <w:tabs>
          <w:tab w:val="num" w:pos="780"/>
        </w:tabs>
        <w:ind w:left="780" w:hanging="360"/>
      </w:pPr>
    </w:lvl>
  </w:abstractNum>
  <w:abstractNum w:abstractNumId="4">
    <w:nsid w:val="0FFFFF80"/>
    <w:multiLevelType w:val="singleLevel"/>
    <w:tmpl w:val="109466CA"/>
    <w:lvl w:ilvl="0">
      <w:start w:val="1"/>
      <w:numFmt w:val="bullet"/>
      <w:lvlText w:val="●"/>
      <w:lvlJc w:val="left"/>
      <w:pPr>
        <w:tabs>
          <w:tab w:val="num" w:pos="2040"/>
        </w:tabs>
        <w:ind w:left="2040" w:hanging="360"/>
      </w:pPr>
      <w:rPr>
        <w:rFonts w:ascii="宋体" w:hAnsi="宋体" w:hint="default"/>
      </w:rPr>
    </w:lvl>
  </w:abstractNum>
  <w:abstractNum w:abstractNumId="5">
    <w:nsid w:val="0FFFFF81"/>
    <w:multiLevelType w:val="singleLevel"/>
    <w:tmpl w:val="E95031E4"/>
    <w:lvl w:ilvl="0">
      <w:start w:val="1"/>
      <w:numFmt w:val="bullet"/>
      <w:lvlText w:val="●"/>
      <w:lvlJc w:val="left"/>
      <w:pPr>
        <w:tabs>
          <w:tab w:val="num" w:pos="1620"/>
        </w:tabs>
        <w:ind w:left="1620" w:hanging="360"/>
      </w:pPr>
      <w:rPr>
        <w:rFonts w:ascii="宋体" w:hAnsi="宋体" w:hint="default"/>
      </w:rPr>
    </w:lvl>
  </w:abstractNum>
  <w:abstractNum w:abstractNumId="6">
    <w:nsid w:val="0FFFFF82"/>
    <w:multiLevelType w:val="singleLevel"/>
    <w:tmpl w:val="73CE0126"/>
    <w:lvl w:ilvl="0">
      <w:start w:val="1"/>
      <w:numFmt w:val="bullet"/>
      <w:lvlText w:val="●"/>
      <w:lvlJc w:val="left"/>
      <w:pPr>
        <w:tabs>
          <w:tab w:val="num" w:pos="1200"/>
        </w:tabs>
        <w:ind w:left="1200" w:hanging="360"/>
      </w:pPr>
      <w:rPr>
        <w:rFonts w:ascii="宋体" w:hAnsi="宋体" w:hint="default"/>
      </w:rPr>
    </w:lvl>
  </w:abstractNum>
  <w:abstractNum w:abstractNumId="7">
    <w:nsid w:val="0FFFFF83"/>
    <w:multiLevelType w:val="singleLevel"/>
    <w:tmpl w:val="693ECC58"/>
    <w:lvl w:ilvl="0">
      <w:start w:val="1"/>
      <w:numFmt w:val="bullet"/>
      <w:lvlText w:val="●"/>
      <w:lvlJc w:val="left"/>
      <w:pPr>
        <w:tabs>
          <w:tab w:val="num" w:pos="780"/>
        </w:tabs>
        <w:ind w:left="780" w:hanging="360"/>
      </w:pPr>
      <w:rPr>
        <w:rFonts w:ascii="宋体" w:hAnsi="宋体" w:hint="default"/>
      </w:rPr>
    </w:lvl>
  </w:abstractNum>
  <w:abstractNum w:abstractNumId="8">
    <w:nsid w:val="0FFFFF88"/>
    <w:multiLevelType w:val="singleLevel"/>
    <w:tmpl w:val="C6289346"/>
    <w:lvl w:ilvl="0">
      <w:start w:val="1"/>
      <w:numFmt w:val="decimal"/>
      <w:lvlText w:val="%1."/>
      <w:lvlJc w:val="left"/>
      <w:pPr>
        <w:tabs>
          <w:tab w:val="num" w:pos="360"/>
        </w:tabs>
        <w:ind w:left="360" w:hanging="360"/>
      </w:pPr>
    </w:lvl>
  </w:abstractNum>
  <w:abstractNum w:abstractNumId="9">
    <w:nsid w:val="0FFFFF89"/>
    <w:multiLevelType w:val="singleLevel"/>
    <w:tmpl w:val="5B28610E"/>
    <w:lvl w:ilvl="0">
      <w:start w:val="1"/>
      <w:numFmt w:val="bullet"/>
      <w:lvlText w:val="●"/>
      <w:lvlJc w:val="left"/>
      <w:pPr>
        <w:tabs>
          <w:tab w:val="num" w:pos="360"/>
        </w:tabs>
        <w:ind w:left="360" w:hanging="360"/>
      </w:pPr>
      <w:rPr>
        <w:rFonts w:ascii="宋体" w:hAnsi="宋体" w:hint="default"/>
      </w:rPr>
    </w:lvl>
  </w:abstractNum>
  <w:abstractNum w:abstractNumId="10">
    <w:nsid w:val="445C4EA7"/>
    <w:multiLevelType w:val="multilevel"/>
    <w:tmpl w:val="445C4EA7"/>
    <w:lvl w:ilvl="0">
      <w:start w:val="1"/>
      <w:numFmt w:val="japaneseCounting"/>
      <w:lvlText w:val="%1、"/>
      <w:lvlJc w:val="left"/>
      <w:pPr>
        <w:tabs>
          <w:tab w:val="num" w:pos="0"/>
        </w:tabs>
        <w:ind w:left="840" w:hanging="420"/>
      </w:pPr>
      <w:rPr>
        <w:rFonts w:ascii="宋体" w:eastAsia="宋体" w:hAnsi="宋体"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embedSystemFonts/>
  <w:hideGrammaticalErrors/>
  <w:stylePaneFormatFilter w:val="3F01"/>
  <w:doNotTrackMoves/>
  <w:defaultTabStop w:val="420"/>
  <w:defaultTableStyle w:val="a"/>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jdmZjI4ODBlM2NmYWY2ZjAxYjk2MWViZTkzODQ3YzkifQ=="/>
  </w:docVars>
  <w:rsids>
    <w:rsidRoot w:val="00CD0674"/>
    <w:rsid w:val="00324C8A"/>
    <w:rsid w:val="004A134F"/>
    <w:rsid w:val="00A85B4B"/>
    <w:rsid w:val="00B726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5">
    <w:name w:val="toc 5"/>
    <w:basedOn w:val="a"/>
    <w:next w:val="a"/>
    <w:pPr>
      <w:ind w:left="1680"/>
    </w:pPr>
  </w:style>
  <w:style w:type="paragraph" w:styleId="30">
    <w:name w:val="toc 3"/>
    <w:basedOn w:val="a"/>
    <w:next w:val="a"/>
    <w:pPr>
      <w:ind w:left="840"/>
    </w:pPr>
  </w:style>
  <w:style w:type="paragraph" w:styleId="a4">
    <w:name w:val="Date"/>
    <w:basedOn w:val="a"/>
    <w:next w:val="a"/>
    <w:pPr>
      <w:ind w:leftChars="2500" w:left="2500"/>
    </w:p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tyle>
  <w:style w:type="paragraph" w:styleId="4">
    <w:name w:val="toc 4"/>
    <w:basedOn w:val="a"/>
    <w:next w:val="a"/>
    <w:pPr>
      <w:ind w:left="1260"/>
    </w:pPr>
  </w:style>
  <w:style w:type="paragraph" w:styleId="20">
    <w:name w:val="toc 2"/>
    <w:basedOn w:val="a"/>
    <w:next w:val="a"/>
    <w:pPr>
      <w:ind w:left="420"/>
    </w:pPr>
  </w:style>
  <w:style w:type="paragraph" w:styleId="a8">
    <w:name w:val="annotation subject"/>
    <w:basedOn w:val="a3"/>
    <w:next w:val="a3"/>
    <w:rPr>
      <w:b/>
      <w:bCs/>
    </w:rPr>
  </w:style>
  <w:style w:type="character" w:styleId="a9">
    <w:name w:val="Hyperlink"/>
    <w:rPr>
      <w:color w:val="0000FF"/>
      <w:u w:val="single"/>
    </w:rPr>
  </w:style>
  <w:style w:type="character" w:styleId="aa">
    <w:name w:val="annotation reference"/>
    <w:rPr>
      <w:sz w:val="21"/>
      <w:szCs w:val="21"/>
    </w:rPr>
  </w:style>
  <w:style w:type="character" w:customStyle="1" w:styleId="apple-converted-space">
    <w:name w:val="apple-converted-space"/>
  </w:style>
  <w:style w:type="paragraph" w:styleId="ab">
    <w:name w:val="List Paragraph"/>
    <w:basedOn w:val="a"/>
    <w:qFormat/>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jyfund.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3762</Characters>
  <Application>Microsoft Office Word</Application>
  <DocSecurity>4</DocSecurity>
  <Lines>31</Lines>
  <Paragraphs>8</Paragraphs>
  <ScaleCrop>false</ScaleCrop>
  <Company>Lenovo</Company>
  <LinksUpToDate>false</LinksUpToDate>
  <CharactersWithSpaces>4414</CharactersWithSpaces>
  <SharedDoc>false</SharedDoc>
  <HLinks>
    <vt:vector size="6" baseType="variant">
      <vt:variant>
        <vt:i4>2424870</vt:i4>
      </vt:variant>
      <vt:variant>
        <vt:i4>0</vt:i4>
      </vt:variant>
      <vt:variant>
        <vt:i4>0</vt:i4>
      </vt:variant>
      <vt:variant>
        <vt:i4>5</vt:i4>
      </vt:variant>
      <vt:variant>
        <vt:lpwstr>http://www.msjyfund.com.cn/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zhujieyou</dc:creator>
  <cp:keywords/>
  <cp:lastModifiedBy>ZHONGM</cp:lastModifiedBy>
  <cp:revision>2</cp:revision>
  <cp:lastPrinted>2023-09-20T01:48:00Z</cp:lastPrinted>
  <dcterms:created xsi:type="dcterms:W3CDTF">2023-09-20T16:00:00Z</dcterms:created>
  <dcterms:modified xsi:type="dcterms:W3CDTF">2023-09-20T16:00:00Z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DFA8C96D7CC845B8844467C78FE398F0_13</vt:lpwstr>
  </property>
</Properties>
</file>