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F978FE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上海华夏财富投资管理有限公司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1422F9">
        <w:rPr>
          <w:rFonts w:asciiTheme="minorEastAsia" w:hAnsiTheme="minorEastAsia"/>
          <w:sz w:val="24"/>
          <w:szCs w:val="24"/>
        </w:rPr>
        <w:t>9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CE26AE">
        <w:rPr>
          <w:rFonts w:asciiTheme="minorEastAsia" w:hAnsiTheme="minorEastAsia" w:hint="eastAsia"/>
          <w:sz w:val="24"/>
          <w:szCs w:val="24"/>
        </w:rPr>
        <w:t>22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067" w:type="dxa"/>
        <w:jc w:val="center"/>
        <w:tblLook w:val="04A0"/>
      </w:tblPr>
      <w:tblGrid>
        <w:gridCol w:w="846"/>
        <w:gridCol w:w="5953"/>
        <w:gridCol w:w="2268"/>
      </w:tblGrid>
      <w:tr w:rsidR="00DD3A90" w:rsidRPr="00CE26AE" w:rsidTr="00CE26AE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CE26AE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E2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CE26AE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E2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CE26AE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E2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AE" w:rsidRPr="00CE26AE" w:rsidRDefault="00CE26AE" w:rsidP="00CE26A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大成安诚债券型证券投资基金A/C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009396/009397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大成动态量化配置策略混合型证券投资基金C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015526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大成多策略灵活配置混合型证券投资基金(LOF)C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016062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大成丰财宝货币市场基金A/B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000626/000627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大成景轩中高等级债券型证券投资基金A/C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009495/009496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大成景优中短债债券型证券投资基金A/C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008686/008687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大成景泽中短债债券型证券投资基金A/C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016404/016405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6D14A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大成科创主题混合型证券投资基金(LOF)</w:t>
            </w:r>
            <w:r w:rsidR="006D14A8" w:rsidRPr="00CE26AE">
              <w:rPr>
                <w:rFonts w:ascii="宋体" w:eastAsia="宋体" w:hAnsi="宋体" w:hint="eastAsia"/>
                <w:color w:val="000000"/>
                <w:szCs w:val="21"/>
              </w:rPr>
              <w:t xml:space="preserve"> A</w:t>
            </w:r>
            <w:r w:rsidR="006D14A8">
              <w:rPr>
                <w:rFonts w:ascii="宋体" w:eastAsia="宋体" w:hAnsi="宋体" w:hint="eastAsia"/>
                <w:color w:val="000000"/>
                <w:szCs w:val="21"/>
              </w:rPr>
              <w:t>/</w:t>
            </w: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6D14A8" w:rsidP="006D14A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501079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/016198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大成科技创新混合型证券投资基金A/C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008988/008989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大成民稳增长混合型证券投资基金A/C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008846/008847</w:t>
            </w:r>
          </w:p>
        </w:tc>
      </w:tr>
      <w:tr w:rsidR="006A18D4" w:rsidRPr="00CE26AE" w:rsidTr="009D1191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D4" w:rsidRPr="00CE26AE" w:rsidRDefault="006A18D4" w:rsidP="006A18D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bookmarkStart w:id="0" w:name="_GoBack" w:colFirst="1" w:colLast="2"/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8D4" w:rsidRPr="002D6AB3" w:rsidRDefault="006A18D4" w:rsidP="006A18D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D6AB3">
              <w:rPr>
                <w:rFonts w:ascii="宋体" w:eastAsia="宋体" w:hAnsi="宋体" w:hint="eastAsia"/>
                <w:color w:val="000000"/>
                <w:szCs w:val="21"/>
              </w:rPr>
              <w:t>大成全球美元债债券型证券投资基金（QDII)人民币A/C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D4" w:rsidRPr="002D6AB3" w:rsidRDefault="006A18D4" w:rsidP="006A18D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D6AB3">
              <w:rPr>
                <w:rFonts w:ascii="宋体" w:eastAsia="宋体" w:hAnsi="宋体" w:hint="eastAsia"/>
                <w:color w:val="000000"/>
                <w:szCs w:val="21"/>
              </w:rPr>
              <w:t>008751/008752</w:t>
            </w:r>
          </w:p>
        </w:tc>
      </w:tr>
      <w:bookmarkEnd w:id="0"/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大成新能源混合型发起式证券投资基金A/C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014141/014142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大成元吉增利债券型证券投资基金A/C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010927/010928</w:t>
            </w:r>
          </w:p>
        </w:tc>
      </w:tr>
      <w:tr w:rsidR="00CE26AE" w:rsidRPr="00CE26AE" w:rsidTr="00CE26A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大成月添利一个月滚动持有中短债债券型证券投资基金A/B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AE" w:rsidRPr="00CE26AE" w:rsidRDefault="00CE26AE" w:rsidP="00CE26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E26AE">
              <w:rPr>
                <w:rFonts w:ascii="宋体" w:eastAsia="宋体" w:hAnsi="宋体" w:hint="eastAsia"/>
                <w:color w:val="000000"/>
                <w:szCs w:val="21"/>
              </w:rPr>
              <w:t>090021/091021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285D1D" w:rsidRPr="00285D1D" w:rsidRDefault="00FB436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</w:p>
    <w:p w:rsidR="00802A7C" w:rsidRPr="00802A7C" w:rsidRDefault="00802A7C" w:rsidP="00802A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02A7C">
        <w:rPr>
          <w:rFonts w:asciiTheme="minorEastAsia" w:hAnsiTheme="minorEastAsia" w:hint="eastAsia"/>
          <w:sz w:val="24"/>
          <w:szCs w:val="24"/>
        </w:rPr>
        <w:t>客户服务电话：400-817-5666</w:t>
      </w:r>
    </w:p>
    <w:p w:rsidR="00802A7C" w:rsidRPr="00802A7C" w:rsidRDefault="00802A7C" w:rsidP="00802A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02A7C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802A7C">
          <w:rPr>
            <w:rFonts w:asciiTheme="minorEastAsia" w:hAnsiTheme="minorEastAsia" w:hint="eastAsia"/>
            <w:sz w:val="24"/>
            <w:szCs w:val="24"/>
          </w:rPr>
          <w:t>www.amcfortune.com</w:t>
        </w:r>
      </w:hyperlink>
    </w:p>
    <w:p w:rsidR="00D848A4" w:rsidRPr="00054BA2" w:rsidRDefault="00444AB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</w:t>
      </w:r>
      <w:r w:rsidRPr="00054BA2">
        <w:rPr>
          <w:rFonts w:asciiTheme="minorEastAsia" w:hAnsiTheme="minorEastAsia"/>
          <w:sz w:val="24"/>
          <w:szCs w:val="24"/>
        </w:rPr>
        <w:lastRenderedPageBreak/>
        <w:t>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1422F9">
        <w:rPr>
          <w:rFonts w:ascii="宋体" w:eastAsia="宋体" w:hAnsi="宋体" w:hint="eastAsia"/>
          <w:sz w:val="24"/>
          <w:szCs w:val="24"/>
        </w:rPr>
        <w:t>九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CE26AE">
        <w:rPr>
          <w:rFonts w:ascii="宋体" w:eastAsia="宋体" w:hAnsi="宋体" w:hint="eastAsia"/>
          <w:sz w:val="24"/>
          <w:szCs w:val="24"/>
        </w:rPr>
        <w:t>二十一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3E" w:rsidRDefault="00D76B3E" w:rsidP="0098245D">
      <w:r>
        <w:separator/>
      </w:r>
    </w:p>
  </w:endnote>
  <w:endnote w:type="continuationSeparator" w:id="0">
    <w:p w:rsidR="00D76B3E" w:rsidRDefault="00D76B3E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3E" w:rsidRDefault="00D76B3E" w:rsidP="0098245D">
      <w:r>
        <w:separator/>
      </w:r>
    </w:p>
  </w:footnote>
  <w:footnote w:type="continuationSeparator" w:id="0">
    <w:p w:rsidR="00D76B3E" w:rsidRDefault="00D76B3E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16B0"/>
    <w:rsid w:val="000449FD"/>
    <w:rsid w:val="00044E3D"/>
    <w:rsid w:val="00050EB4"/>
    <w:rsid w:val="00054BA2"/>
    <w:rsid w:val="00064D14"/>
    <w:rsid w:val="00084B7B"/>
    <w:rsid w:val="0009165F"/>
    <w:rsid w:val="00091B64"/>
    <w:rsid w:val="00092C68"/>
    <w:rsid w:val="000A2AEE"/>
    <w:rsid w:val="000A2E45"/>
    <w:rsid w:val="000B3CC7"/>
    <w:rsid w:val="000B7A77"/>
    <w:rsid w:val="000C4041"/>
    <w:rsid w:val="000D0BFF"/>
    <w:rsid w:val="000D7FB6"/>
    <w:rsid w:val="000F32C2"/>
    <w:rsid w:val="00100277"/>
    <w:rsid w:val="00102CF7"/>
    <w:rsid w:val="0011005C"/>
    <w:rsid w:val="001127C3"/>
    <w:rsid w:val="00112911"/>
    <w:rsid w:val="00121BEC"/>
    <w:rsid w:val="00123244"/>
    <w:rsid w:val="00130754"/>
    <w:rsid w:val="00132407"/>
    <w:rsid w:val="00133E2A"/>
    <w:rsid w:val="00140EC5"/>
    <w:rsid w:val="001422F9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E7EF6"/>
    <w:rsid w:val="001F0CB8"/>
    <w:rsid w:val="001F109D"/>
    <w:rsid w:val="001F2BC5"/>
    <w:rsid w:val="00201925"/>
    <w:rsid w:val="00201C8E"/>
    <w:rsid w:val="002048BD"/>
    <w:rsid w:val="00205B1A"/>
    <w:rsid w:val="00217286"/>
    <w:rsid w:val="00223E76"/>
    <w:rsid w:val="00232BA8"/>
    <w:rsid w:val="0023366E"/>
    <w:rsid w:val="00236173"/>
    <w:rsid w:val="00252570"/>
    <w:rsid w:val="00262D7A"/>
    <w:rsid w:val="00266E36"/>
    <w:rsid w:val="00280A3A"/>
    <w:rsid w:val="00285D1D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409"/>
    <w:rsid w:val="00346C2D"/>
    <w:rsid w:val="003520BA"/>
    <w:rsid w:val="00353003"/>
    <w:rsid w:val="0035587B"/>
    <w:rsid w:val="00362B85"/>
    <w:rsid w:val="003643E3"/>
    <w:rsid w:val="0036556B"/>
    <w:rsid w:val="00366FF6"/>
    <w:rsid w:val="0037114D"/>
    <w:rsid w:val="00381059"/>
    <w:rsid w:val="003B11C7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A5F6F"/>
    <w:rsid w:val="004B60E0"/>
    <w:rsid w:val="004B7B6B"/>
    <w:rsid w:val="004C1053"/>
    <w:rsid w:val="004C61DE"/>
    <w:rsid w:val="004D1670"/>
    <w:rsid w:val="004D7879"/>
    <w:rsid w:val="004E0A78"/>
    <w:rsid w:val="004E2717"/>
    <w:rsid w:val="004E32A4"/>
    <w:rsid w:val="004F6CEA"/>
    <w:rsid w:val="00502994"/>
    <w:rsid w:val="00502FAC"/>
    <w:rsid w:val="005128DF"/>
    <w:rsid w:val="005247DA"/>
    <w:rsid w:val="00527FE4"/>
    <w:rsid w:val="005330EC"/>
    <w:rsid w:val="00533D98"/>
    <w:rsid w:val="00543D89"/>
    <w:rsid w:val="005452BC"/>
    <w:rsid w:val="00546334"/>
    <w:rsid w:val="0054635F"/>
    <w:rsid w:val="00552D91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D096F"/>
    <w:rsid w:val="005D26D5"/>
    <w:rsid w:val="005E33B2"/>
    <w:rsid w:val="005E5000"/>
    <w:rsid w:val="005E6222"/>
    <w:rsid w:val="005F190F"/>
    <w:rsid w:val="005F20E4"/>
    <w:rsid w:val="00622CB1"/>
    <w:rsid w:val="00631C1C"/>
    <w:rsid w:val="0063580F"/>
    <w:rsid w:val="00637A2F"/>
    <w:rsid w:val="006403DA"/>
    <w:rsid w:val="00676A5A"/>
    <w:rsid w:val="00682C7B"/>
    <w:rsid w:val="00686789"/>
    <w:rsid w:val="006A1117"/>
    <w:rsid w:val="006A18D4"/>
    <w:rsid w:val="006B3556"/>
    <w:rsid w:val="006B3F3A"/>
    <w:rsid w:val="006C0FE4"/>
    <w:rsid w:val="006C4B7E"/>
    <w:rsid w:val="006D14A8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2E8A"/>
    <w:rsid w:val="0076752E"/>
    <w:rsid w:val="00767833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2CBA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2A7C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0B2A"/>
    <w:rsid w:val="008A1CBF"/>
    <w:rsid w:val="008A3715"/>
    <w:rsid w:val="008C47DC"/>
    <w:rsid w:val="008D210F"/>
    <w:rsid w:val="008E7D24"/>
    <w:rsid w:val="008F0AC0"/>
    <w:rsid w:val="00901028"/>
    <w:rsid w:val="00906BF4"/>
    <w:rsid w:val="00913AF8"/>
    <w:rsid w:val="009213C6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5601"/>
    <w:rsid w:val="009968EF"/>
    <w:rsid w:val="009974A6"/>
    <w:rsid w:val="009A3324"/>
    <w:rsid w:val="009A48A2"/>
    <w:rsid w:val="009A48F5"/>
    <w:rsid w:val="009B331E"/>
    <w:rsid w:val="009B43AD"/>
    <w:rsid w:val="009C743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4F93"/>
    <w:rsid w:val="00AC5B8D"/>
    <w:rsid w:val="00AD5C37"/>
    <w:rsid w:val="00B00565"/>
    <w:rsid w:val="00B01F49"/>
    <w:rsid w:val="00B03DE4"/>
    <w:rsid w:val="00B053FA"/>
    <w:rsid w:val="00B1073E"/>
    <w:rsid w:val="00B12FDA"/>
    <w:rsid w:val="00B15793"/>
    <w:rsid w:val="00B273D8"/>
    <w:rsid w:val="00B3407A"/>
    <w:rsid w:val="00B34835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251A"/>
    <w:rsid w:val="00BC5894"/>
    <w:rsid w:val="00BD10F8"/>
    <w:rsid w:val="00BD5BD1"/>
    <w:rsid w:val="00BE39F2"/>
    <w:rsid w:val="00BE4184"/>
    <w:rsid w:val="00BE6948"/>
    <w:rsid w:val="00BF0AAC"/>
    <w:rsid w:val="00BF74C8"/>
    <w:rsid w:val="00C0293D"/>
    <w:rsid w:val="00C03F66"/>
    <w:rsid w:val="00C0499F"/>
    <w:rsid w:val="00C05C6A"/>
    <w:rsid w:val="00C065A8"/>
    <w:rsid w:val="00C12A02"/>
    <w:rsid w:val="00C21F8A"/>
    <w:rsid w:val="00C2292E"/>
    <w:rsid w:val="00C32A02"/>
    <w:rsid w:val="00C35DE2"/>
    <w:rsid w:val="00C43223"/>
    <w:rsid w:val="00C54366"/>
    <w:rsid w:val="00C557FA"/>
    <w:rsid w:val="00C57593"/>
    <w:rsid w:val="00C57EF7"/>
    <w:rsid w:val="00C6074A"/>
    <w:rsid w:val="00C61943"/>
    <w:rsid w:val="00C62F76"/>
    <w:rsid w:val="00C65090"/>
    <w:rsid w:val="00C7599F"/>
    <w:rsid w:val="00C85373"/>
    <w:rsid w:val="00C87486"/>
    <w:rsid w:val="00C97A3B"/>
    <w:rsid w:val="00CA1257"/>
    <w:rsid w:val="00CA7945"/>
    <w:rsid w:val="00CB5DE8"/>
    <w:rsid w:val="00CC0F26"/>
    <w:rsid w:val="00CD2F14"/>
    <w:rsid w:val="00CE26AE"/>
    <w:rsid w:val="00CF3BDC"/>
    <w:rsid w:val="00D02A9B"/>
    <w:rsid w:val="00D07243"/>
    <w:rsid w:val="00D101F6"/>
    <w:rsid w:val="00D26314"/>
    <w:rsid w:val="00D31335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76B3E"/>
    <w:rsid w:val="00D848A4"/>
    <w:rsid w:val="00D85A82"/>
    <w:rsid w:val="00D86EFF"/>
    <w:rsid w:val="00D900A0"/>
    <w:rsid w:val="00D928BA"/>
    <w:rsid w:val="00D956B9"/>
    <w:rsid w:val="00D96F34"/>
    <w:rsid w:val="00DA63E7"/>
    <w:rsid w:val="00DA68C6"/>
    <w:rsid w:val="00DB508D"/>
    <w:rsid w:val="00DB6F89"/>
    <w:rsid w:val="00DC5F75"/>
    <w:rsid w:val="00DC74F9"/>
    <w:rsid w:val="00DD3A90"/>
    <w:rsid w:val="00DD598A"/>
    <w:rsid w:val="00DE021E"/>
    <w:rsid w:val="00DE5858"/>
    <w:rsid w:val="00DF3AA9"/>
    <w:rsid w:val="00E044D4"/>
    <w:rsid w:val="00E1105D"/>
    <w:rsid w:val="00E12E1E"/>
    <w:rsid w:val="00E2116C"/>
    <w:rsid w:val="00E24CAF"/>
    <w:rsid w:val="00E37F36"/>
    <w:rsid w:val="00E44654"/>
    <w:rsid w:val="00E6086B"/>
    <w:rsid w:val="00E61318"/>
    <w:rsid w:val="00E61A58"/>
    <w:rsid w:val="00E64F01"/>
    <w:rsid w:val="00E72504"/>
    <w:rsid w:val="00E778B7"/>
    <w:rsid w:val="00E80CA4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9104A"/>
    <w:rsid w:val="00F978FE"/>
    <w:rsid w:val="00FA0FF1"/>
    <w:rsid w:val="00FA1C16"/>
    <w:rsid w:val="00FA4F75"/>
    <w:rsid w:val="00FA54BA"/>
    <w:rsid w:val="00FA70D2"/>
    <w:rsid w:val="00FB178A"/>
    <w:rsid w:val="00FB4366"/>
    <w:rsid w:val="00FD29C0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4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3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fortu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7FD1-1B7C-410E-8C34-4148B32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2023-09-20T16:02:00Z</dcterms:created>
  <dcterms:modified xsi:type="dcterms:W3CDTF">2023-09-20T16:02:00Z</dcterms:modified>
</cp:coreProperties>
</file>