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05971">
      <w:pPr>
        <w:jc w:val="center"/>
        <w:rPr>
          <w:rFonts w:ascii="宋体" w:hAnsi="宋体"/>
          <w:b/>
          <w:sz w:val="32"/>
          <w:szCs w:val="32"/>
        </w:rPr>
      </w:pPr>
      <w:bookmarkStart w:id="0" w:name="t_2_0_table"/>
      <w:bookmarkEnd w:id="0"/>
      <w:r>
        <w:rPr>
          <w:rFonts w:ascii="宋体" w:hAnsi="宋体" w:hint="eastAsia"/>
          <w:b/>
          <w:sz w:val="32"/>
          <w:szCs w:val="32"/>
        </w:rPr>
        <w:t>银华回报灵活配置定期开放混合型发起式证券投资基金</w:t>
      </w:r>
      <w:r>
        <w:rPr>
          <w:rFonts w:ascii="宋体" w:hAnsi="宋体" w:hint="eastAsia"/>
          <w:b/>
          <w:sz w:val="32"/>
          <w:szCs w:val="32"/>
        </w:rPr>
        <w:t>恢复</w:t>
      </w:r>
      <w:r>
        <w:rPr>
          <w:rFonts w:ascii="宋体" w:hAnsi="宋体" w:hint="eastAsia"/>
          <w:b/>
          <w:sz w:val="32"/>
          <w:szCs w:val="32"/>
        </w:rPr>
        <w:t>及暂停申购、赎回及转换业务的公告</w:t>
      </w:r>
    </w:p>
    <w:p w:rsidR="00000000" w:rsidRDefault="00805971">
      <w:pPr>
        <w:rPr>
          <w:sz w:val="24"/>
        </w:rPr>
      </w:pPr>
    </w:p>
    <w:p w:rsidR="00000000" w:rsidRDefault="00805971">
      <w:pPr>
        <w:ind w:firstLineChars="690" w:firstLine="1940"/>
        <w:rPr>
          <w:rFonts w:ascii="宋体" w:hAnsi="宋体"/>
          <w:b/>
          <w:sz w:val="28"/>
          <w:szCs w:val="28"/>
        </w:rPr>
      </w:pPr>
      <w:r>
        <w:rPr>
          <w:rFonts w:ascii="宋体" w:hAnsi="宋体" w:hint="eastAsia"/>
          <w:b/>
          <w:sz w:val="28"/>
          <w:szCs w:val="28"/>
        </w:rPr>
        <w:t>公告送出日期：</w:t>
      </w:r>
      <w:bookmarkStart w:id="1" w:name="t_2_0_0003_a1_fm1"/>
      <w:bookmarkEnd w:id="1"/>
      <w:r>
        <w:rPr>
          <w:rFonts w:ascii="宋体" w:hAnsi="宋体" w:hint="eastAsia"/>
          <w:b/>
          <w:sz w:val="28"/>
          <w:szCs w:val="28"/>
        </w:rPr>
        <w:t>20</w:t>
      </w:r>
      <w:r>
        <w:rPr>
          <w:rFonts w:ascii="宋体" w:hAnsi="宋体"/>
          <w:b/>
          <w:sz w:val="28"/>
          <w:szCs w:val="28"/>
        </w:rPr>
        <w:t>2</w:t>
      </w:r>
      <w:r>
        <w:rPr>
          <w:rFonts w:ascii="宋体" w:hAnsi="宋体" w:hint="eastAsia"/>
          <w:b/>
          <w:sz w:val="28"/>
          <w:szCs w:val="28"/>
        </w:rPr>
        <w:t>3</w:t>
      </w:r>
      <w:r>
        <w:rPr>
          <w:rFonts w:ascii="宋体" w:hAnsi="宋体" w:hint="eastAsia"/>
          <w:b/>
          <w:sz w:val="28"/>
          <w:szCs w:val="28"/>
        </w:rPr>
        <w:t>年</w:t>
      </w:r>
      <w:r>
        <w:rPr>
          <w:rFonts w:ascii="宋体" w:hAnsi="宋体" w:hint="eastAsia"/>
          <w:b/>
          <w:sz w:val="28"/>
          <w:szCs w:val="28"/>
        </w:rPr>
        <w:t>9</w:t>
      </w:r>
      <w:r>
        <w:rPr>
          <w:rFonts w:ascii="宋体" w:hAnsi="宋体" w:hint="eastAsia"/>
          <w:b/>
          <w:sz w:val="28"/>
          <w:szCs w:val="28"/>
        </w:rPr>
        <w:t>月</w:t>
      </w:r>
      <w:r>
        <w:rPr>
          <w:rFonts w:ascii="宋体" w:hAnsi="宋体" w:hint="eastAsia"/>
          <w:b/>
          <w:sz w:val="28"/>
          <w:szCs w:val="28"/>
        </w:rPr>
        <w:t>20</w:t>
      </w:r>
      <w:r>
        <w:rPr>
          <w:rFonts w:ascii="宋体" w:hAnsi="宋体" w:hint="eastAsia"/>
          <w:b/>
          <w:sz w:val="28"/>
          <w:szCs w:val="28"/>
        </w:rPr>
        <w:t>日</w:t>
      </w:r>
    </w:p>
    <w:p w:rsidR="00000000" w:rsidRDefault="00805971"/>
    <w:p w:rsidR="00000000" w:rsidRDefault="00805971">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1</w:t>
      </w:r>
      <w:bookmarkStart w:id="2" w:name="t_2_1_table"/>
      <w:bookmarkEnd w:id="2"/>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9"/>
        <w:gridCol w:w="2181"/>
        <w:gridCol w:w="4674"/>
      </w:tblGrid>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r>
              <w:rPr>
                <w:rFonts w:ascii="宋体" w:hAnsi="宋体" w:hint="eastAsia"/>
                <w:szCs w:val="21"/>
              </w:rPr>
              <w:t>基金名称</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bookmarkStart w:id="3" w:name="t_2_1_0009_a1_fm1"/>
            <w:bookmarkEnd w:id="3"/>
            <w:r>
              <w:rPr>
                <w:rFonts w:ascii="宋体" w:hAnsi="宋体" w:hint="eastAsia"/>
                <w:szCs w:val="21"/>
              </w:rPr>
              <w:t>银华回报灵活配置定期开放混合型发起式证券投资基金</w:t>
            </w:r>
          </w:p>
        </w:tc>
      </w:tr>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r>
              <w:rPr>
                <w:rFonts w:ascii="宋体" w:hAnsi="宋体" w:hint="eastAsia"/>
                <w:szCs w:val="21"/>
              </w:rPr>
              <w:t>基金简称</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bookmarkStart w:id="4" w:name="t_2_1_0011_a1_fm1"/>
            <w:bookmarkEnd w:id="4"/>
            <w:r>
              <w:rPr>
                <w:rFonts w:ascii="宋体" w:hAnsi="宋体" w:hint="eastAsia"/>
                <w:szCs w:val="21"/>
              </w:rPr>
              <w:t>银华回报灵活配置定期开放混合发起式</w:t>
            </w:r>
          </w:p>
        </w:tc>
      </w:tr>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r>
              <w:rPr>
                <w:rFonts w:ascii="宋体" w:hAnsi="宋体" w:hint="eastAsia"/>
                <w:szCs w:val="21"/>
              </w:rPr>
              <w:t>基金主代码</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bookmarkStart w:id="5" w:name="t_2_1_0012_a1_fm1"/>
            <w:bookmarkEnd w:id="5"/>
            <w:r>
              <w:rPr>
                <w:rFonts w:ascii="宋体" w:hAnsi="宋体" w:hint="eastAsia"/>
                <w:szCs w:val="21"/>
              </w:rPr>
              <w:t>000904</w:t>
            </w:r>
          </w:p>
        </w:tc>
      </w:tr>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r>
              <w:rPr>
                <w:rFonts w:ascii="宋体" w:hAnsi="宋体" w:hint="eastAsia"/>
                <w:szCs w:val="21"/>
              </w:rPr>
              <w:t>基金管理人名称</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bookmarkStart w:id="6" w:name="t_2_1_0186_a1_fm1"/>
            <w:bookmarkEnd w:id="6"/>
            <w:r>
              <w:rPr>
                <w:rFonts w:ascii="宋体" w:hAnsi="宋体" w:hint="eastAsia"/>
                <w:szCs w:val="21"/>
              </w:rPr>
              <w:t>银华基金管理股份有限公司</w:t>
            </w:r>
          </w:p>
        </w:tc>
      </w:tr>
      <w:tr w:rsidR="00000000">
        <w:tc>
          <w:tcPr>
            <w:tcW w:w="3740" w:type="dxa"/>
            <w:gridSpan w:val="2"/>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r>
              <w:rPr>
                <w:rFonts w:ascii="宋体" w:hAnsi="宋体" w:hint="eastAsia"/>
                <w:szCs w:val="21"/>
              </w:rPr>
              <w:t>公告依据</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bookmarkStart w:id="7" w:name="t_2_1_2631_a1_fm1"/>
            <w:bookmarkEnd w:id="7"/>
            <w:r>
              <w:rPr>
                <w:rFonts w:ascii="宋体" w:hAnsi="宋体" w:hint="eastAsia"/>
                <w:szCs w:val="21"/>
              </w:rPr>
              <w:t>《中华人民共和国证券投资基金法》、《公开募集证券投资基金运作管理办法》等法律法规以及《银华回报灵活配置定期开放混合型发起式证券投资基金基金合同》（以下简称“《基金合同》”）、《银</w:t>
            </w:r>
            <w:r>
              <w:rPr>
                <w:rFonts w:ascii="宋体" w:hAnsi="宋体" w:hint="eastAsia"/>
                <w:szCs w:val="21"/>
              </w:rPr>
              <w:t>华回报灵活配置定期开放混合型发起式证券投资基金招募说明书》（以下简称“《招募说明书》”）</w:t>
            </w:r>
          </w:p>
        </w:tc>
      </w:tr>
      <w:tr w:rsidR="00000000">
        <w:trPr>
          <w:trHeight w:val="315"/>
        </w:trPr>
        <w:tc>
          <w:tcPr>
            <w:tcW w:w="1559" w:type="dxa"/>
            <w:vMerge w:val="restart"/>
            <w:tcBorders>
              <w:top w:val="single" w:sz="4" w:space="0" w:color="auto"/>
              <w:left w:val="single" w:sz="4" w:space="0" w:color="auto"/>
              <w:right w:val="single" w:sz="4" w:space="0" w:color="auto"/>
            </w:tcBorders>
            <w:vAlign w:val="center"/>
          </w:tcPr>
          <w:p w:rsidR="00000000" w:rsidRDefault="00805971">
            <w:pPr>
              <w:rPr>
                <w:rFonts w:ascii="宋体" w:hAnsi="宋体" w:hint="eastAsia"/>
                <w:szCs w:val="21"/>
              </w:rPr>
            </w:pPr>
            <w:r>
              <w:rPr>
                <w:rFonts w:ascii="宋体" w:hAnsi="宋体" w:hint="eastAsia"/>
                <w:szCs w:val="21"/>
              </w:rPr>
              <w:t>恢复相关业务的日期及原因说明</w:t>
            </w: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bookmarkStart w:id="8" w:name="t_2_1_2660_a1_fm1"/>
            <w:bookmarkEnd w:id="8"/>
            <w:r>
              <w:rPr>
                <w:rFonts w:ascii="宋体" w:hAnsi="宋体" w:hint="eastAsia"/>
                <w:szCs w:val="21"/>
              </w:rPr>
              <w:t>恢复申购日</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22</w:t>
            </w:r>
            <w:r>
              <w:rPr>
                <w:rFonts w:ascii="宋体" w:hAnsi="宋体" w:hint="eastAsia"/>
                <w:szCs w:val="21"/>
              </w:rPr>
              <w:t>日</w:t>
            </w:r>
          </w:p>
        </w:tc>
      </w:tr>
      <w:tr w:rsidR="00000000">
        <w:tc>
          <w:tcPr>
            <w:tcW w:w="1559" w:type="dxa"/>
            <w:vMerge/>
            <w:tcBorders>
              <w:left w:val="single" w:sz="4" w:space="0" w:color="auto"/>
              <w:right w:val="single" w:sz="4" w:space="0" w:color="auto"/>
            </w:tcBorders>
            <w:vAlign w:val="center"/>
          </w:tcPr>
          <w:p w:rsidR="00000000" w:rsidRDefault="00805971">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bookmarkStart w:id="9" w:name="t_2_1_2661_a1_fm1"/>
            <w:bookmarkEnd w:id="9"/>
            <w:r>
              <w:rPr>
                <w:rFonts w:ascii="宋体" w:hAnsi="宋体" w:hint="eastAsia"/>
                <w:szCs w:val="21"/>
              </w:rPr>
              <w:t>恢复赎回日</w:t>
            </w:r>
          </w:p>
        </w:tc>
        <w:tc>
          <w:tcPr>
            <w:tcW w:w="4674" w:type="dxa"/>
            <w:tcBorders>
              <w:top w:val="single" w:sz="4" w:space="0" w:color="auto"/>
              <w:left w:val="single" w:sz="4" w:space="0" w:color="auto"/>
              <w:bottom w:val="single" w:sz="4" w:space="0" w:color="auto"/>
              <w:right w:val="single" w:sz="4" w:space="0" w:color="auto"/>
            </w:tcBorders>
          </w:tcPr>
          <w:p w:rsidR="00000000" w:rsidRDefault="00805971">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22</w:t>
            </w:r>
            <w:r>
              <w:rPr>
                <w:rFonts w:ascii="宋体" w:hAnsi="宋体" w:hint="eastAsia"/>
                <w:szCs w:val="21"/>
              </w:rPr>
              <w:t>日</w:t>
            </w:r>
          </w:p>
        </w:tc>
      </w:tr>
      <w:tr w:rsidR="00000000">
        <w:tc>
          <w:tcPr>
            <w:tcW w:w="1559" w:type="dxa"/>
            <w:vMerge/>
            <w:tcBorders>
              <w:left w:val="single" w:sz="4" w:space="0" w:color="auto"/>
              <w:right w:val="single" w:sz="4" w:space="0" w:color="auto"/>
            </w:tcBorders>
            <w:vAlign w:val="center"/>
          </w:tcPr>
          <w:p w:rsidR="00000000" w:rsidRDefault="00805971">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bookmarkStart w:id="10" w:name="t_2_1_2793_a1_fm1"/>
            <w:bookmarkEnd w:id="10"/>
            <w:r>
              <w:rPr>
                <w:rFonts w:ascii="宋体" w:hAnsi="宋体" w:hint="eastAsia"/>
                <w:szCs w:val="21"/>
              </w:rPr>
              <w:t>恢复转换转入日</w:t>
            </w:r>
          </w:p>
        </w:tc>
        <w:tc>
          <w:tcPr>
            <w:tcW w:w="4674" w:type="dxa"/>
            <w:tcBorders>
              <w:top w:val="single" w:sz="4" w:space="0" w:color="auto"/>
              <w:left w:val="single" w:sz="4" w:space="0" w:color="auto"/>
              <w:bottom w:val="single" w:sz="4" w:space="0" w:color="auto"/>
              <w:right w:val="single" w:sz="4" w:space="0" w:color="auto"/>
            </w:tcBorders>
          </w:tcPr>
          <w:p w:rsidR="00000000" w:rsidRDefault="00805971">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22</w:t>
            </w:r>
            <w:r>
              <w:rPr>
                <w:rFonts w:ascii="宋体" w:hAnsi="宋体" w:hint="eastAsia"/>
                <w:szCs w:val="21"/>
              </w:rPr>
              <w:t>日</w:t>
            </w:r>
          </w:p>
        </w:tc>
      </w:tr>
      <w:tr w:rsidR="00000000">
        <w:tc>
          <w:tcPr>
            <w:tcW w:w="1559" w:type="dxa"/>
            <w:vMerge/>
            <w:tcBorders>
              <w:left w:val="single" w:sz="4" w:space="0" w:color="auto"/>
              <w:right w:val="single" w:sz="4" w:space="0" w:color="auto"/>
            </w:tcBorders>
            <w:vAlign w:val="center"/>
          </w:tcPr>
          <w:p w:rsidR="00000000" w:rsidRDefault="00805971">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bookmarkStart w:id="11" w:name="t_2_1_2794_a1_fm1"/>
            <w:bookmarkEnd w:id="11"/>
            <w:r>
              <w:rPr>
                <w:rFonts w:ascii="宋体" w:hAnsi="宋体" w:hint="eastAsia"/>
                <w:szCs w:val="21"/>
              </w:rPr>
              <w:t>恢复转换转出日</w:t>
            </w:r>
          </w:p>
        </w:tc>
        <w:tc>
          <w:tcPr>
            <w:tcW w:w="4674" w:type="dxa"/>
            <w:tcBorders>
              <w:top w:val="single" w:sz="4" w:space="0" w:color="auto"/>
              <w:left w:val="single" w:sz="4" w:space="0" w:color="auto"/>
              <w:bottom w:val="single" w:sz="4" w:space="0" w:color="auto"/>
              <w:right w:val="single" w:sz="4" w:space="0" w:color="auto"/>
            </w:tcBorders>
          </w:tcPr>
          <w:p w:rsidR="00000000" w:rsidRDefault="00805971">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22</w:t>
            </w:r>
            <w:r>
              <w:rPr>
                <w:rFonts w:ascii="宋体" w:hAnsi="宋体" w:hint="eastAsia"/>
                <w:szCs w:val="21"/>
              </w:rPr>
              <w:t>日</w:t>
            </w:r>
          </w:p>
        </w:tc>
      </w:tr>
      <w:tr w:rsidR="00000000">
        <w:tc>
          <w:tcPr>
            <w:tcW w:w="1559" w:type="dxa"/>
            <w:vMerge/>
            <w:tcBorders>
              <w:left w:val="single" w:sz="4" w:space="0" w:color="auto"/>
              <w:bottom w:val="single" w:sz="4" w:space="0" w:color="auto"/>
              <w:right w:val="single" w:sz="4" w:space="0" w:color="auto"/>
            </w:tcBorders>
            <w:vAlign w:val="center"/>
          </w:tcPr>
          <w:p w:rsidR="00000000" w:rsidRDefault="00805971">
            <w:pPr>
              <w:rPr>
                <w:rFonts w:ascii="宋体" w:hAnsi="宋体" w:hint="eastAsia"/>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r>
              <w:rPr>
                <w:rFonts w:ascii="宋体" w:hAnsi="宋体"/>
                <w:szCs w:val="21"/>
              </w:rPr>
              <w:t>恢复</w:t>
            </w:r>
            <w:r>
              <w:rPr>
                <w:rFonts w:ascii="宋体" w:hAnsi="宋体" w:hint="eastAsia"/>
                <w:szCs w:val="21"/>
              </w:rPr>
              <w:t>申购、赎回及转换业务的原因说明</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r>
              <w:rPr>
                <w:rFonts w:ascii="宋体" w:hAnsi="宋体" w:hint="eastAsia"/>
                <w:szCs w:val="21"/>
              </w:rPr>
              <w:t>根据本基金《基金合同》和《招募说明书》的相关规定，本基金自本次开放期即</w:t>
            </w:r>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22</w:t>
            </w:r>
            <w:r>
              <w:rPr>
                <w:rFonts w:ascii="宋体" w:hAnsi="宋体" w:hint="eastAsia"/>
                <w:szCs w:val="21"/>
              </w:rPr>
              <w:t>日</w:t>
            </w:r>
            <w:r>
              <w:rPr>
                <w:rFonts w:ascii="宋体" w:hAnsi="宋体" w:hint="eastAsia"/>
                <w:szCs w:val="21"/>
              </w:rPr>
              <w:t>（含）起至</w:t>
            </w:r>
            <w:r>
              <w:rPr>
                <w:rFonts w:ascii="宋体" w:hAnsi="宋体" w:hint="eastAsia"/>
                <w:szCs w:val="21"/>
              </w:rPr>
              <w:t>20</w:t>
            </w:r>
            <w:r>
              <w:rPr>
                <w:rFonts w:ascii="宋体" w:hAnsi="宋体"/>
                <w:szCs w:val="21"/>
              </w:rPr>
              <w:t>2</w:t>
            </w:r>
            <w:r>
              <w:rPr>
                <w:rFonts w:ascii="宋体" w:hAnsi="宋体" w:hint="eastAsia"/>
                <w:szCs w:val="21"/>
              </w:rPr>
              <w:t>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28</w:t>
            </w:r>
            <w:r>
              <w:rPr>
                <w:rFonts w:ascii="宋体" w:hAnsi="宋体" w:hint="eastAsia"/>
                <w:szCs w:val="21"/>
              </w:rPr>
              <w:t>日（含）期间的工作日办理其申购、赎回及转换业务</w:t>
            </w:r>
          </w:p>
        </w:tc>
      </w:tr>
      <w:tr w:rsidR="00000000">
        <w:trPr>
          <w:trHeight w:val="257"/>
        </w:trPr>
        <w:tc>
          <w:tcPr>
            <w:tcW w:w="1559" w:type="dxa"/>
            <w:vMerge w:val="restart"/>
            <w:tcBorders>
              <w:top w:val="single" w:sz="4" w:space="0" w:color="auto"/>
              <w:left w:val="single" w:sz="4" w:space="0" w:color="auto"/>
              <w:right w:val="single" w:sz="4" w:space="0" w:color="auto"/>
            </w:tcBorders>
            <w:vAlign w:val="center"/>
          </w:tcPr>
          <w:p w:rsidR="00000000" w:rsidRDefault="00805971">
            <w:pPr>
              <w:rPr>
                <w:rFonts w:ascii="宋体" w:hAnsi="宋体"/>
                <w:szCs w:val="21"/>
              </w:rPr>
            </w:pPr>
            <w:r>
              <w:rPr>
                <w:rFonts w:ascii="宋体" w:hAnsi="宋体" w:hint="eastAsia"/>
                <w:szCs w:val="21"/>
              </w:rPr>
              <w:t>暂停相关业务的起始日及原因</w:t>
            </w:r>
            <w:r>
              <w:rPr>
                <w:rFonts w:ascii="宋体" w:hAnsi="宋体" w:hint="eastAsia"/>
                <w:szCs w:val="21"/>
              </w:rPr>
              <w:t>说明</w:t>
            </w: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bookmarkStart w:id="12" w:name="t_2_1_2795_a1_fm1"/>
            <w:bookmarkEnd w:id="12"/>
            <w:r>
              <w:rPr>
                <w:rFonts w:ascii="宋体" w:hAnsi="宋体" w:hint="eastAsia"/>
                <w:szCs w:val="21"/>
              </w:rPr>
              <w:t>暂停申购起始日</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29</w:t>
            </w:r>
            <w:r>
              <w:rPr>
                <w:rFonts w:ascii="宋体" w:hAnsi="宋体" w:hint="eastAsia"/>
                <w:szCs w:val="21"/>
              </w:rPr>
              <w:t>日</w:t>
            </w:r>
          </w:p>
        </w:tc>
      </w:tr>
      <w:tr w:rsidR="00000000">
        <w:trPr>
          <w:trHeight w:val="257"/>
        </w:trPr>
        <w:tc>
          <w:tcPr>
            <w:tcW w:w="1559" w:type="dxa"/>
            <w:vMerge/>
            <w:tcBorders>
              <w:left w:val="single" w:sz="4" w:space="0" w:color="auto"/>
              <w:right w:val="single" w:sz="4" w:space="0" w:color="auto"/>
            </w:tcBorders>
            <w:vAlign w:val="center"/>
          </w:tcPr>
          <w:p w:rsidR="00000000" w:rsidRDefault="00805971">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r>
              <w:rPr>
                <w:rFonts w:ascii="宋体" w:hAnsi="宋体" w:hint="eastAsia"/>
                <w:szCs w:val="21"/>
              </w:rPr>
              <w:t>暂停赎回起始日</w:t>
            </w:r>
          </w:p>
        </w:tc>
        <w:tc>
          <w:tcPr>
            <w:tcW w:w="4674" w:type="dxa"/>
            <w:tcBorders>
              <w:top w:val="single" w:sz="4" w:space="0" w:color="auto"/>
              <w:left w:val="single" w:sz="4" w:space="0" w:color="auto"/>
              <w:bottom w:val="single" w:sz="4" w:space="0" w:color="auto"/>
              <w:right w:val="single" w:sz="4" w:space="0" w:color="auto"/>
            </w:tcBorders>
          </w:tcPr>
          <w:p w:rsidR="00000000" w:rsidRDefault="00805971">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29</w:t>
            </w:r>
            <w:r>
              <w:rPr>
                <w:rFonts w:ascii="宋体" w:hAnsi="宋体" w:hint="eastAsia"/>
                <w:szCs w:val="21"/>
              </w:rPr>
              <w:t>日</w:t>
            </w:r>
          </w:p>
        </w:tc>
      </w:tr>
      <w:tr w:rsidR="00000000">
        <w:trPr>
          <w:trHeight w:val="257"/>
        </w:trPr>
        <w:tc>
          <w:tcPr>
            <w:tcW w:w="1559" w:type="dxa"/>
            <w:vMerge/>
            <w:tcBorders>
              <w:left w:val="single" w:sz="4" w:space="0" w:color="auto"/>
              <w:right w:val="single" w:sz="4" w:space="0" w:color="auto"/>
            </w:tcBorders>
            <w:vAlign w:val="center"/>
          </w:tcPr>
          <w:p w:rsidR="00000000" w:rsidRDefault="00805971">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r>
              <w:rPr>
                <w:rFonts w:ascii="宋体" w:hAnsi="宋体" w:hint="eastAsia"/>
                <w:szCs w:val="21"/>
              </w:rPr>
              <w:t>暂停转换转入起始日</w:t>
            </w:r>
          </w:p>
        </w:tc>
        <w:tc>
          <w:tcPr>
            <w:tcW w:w="4674" w:type="dxa"/>
            <w:tcBorders>
              <w:top w:val="single" w:sz="4" w:space="0" w:color="auto"/>
              <w:left w:val="single" w:sz="4" w:space="0" w:color="auto"/>
              <w:bottom w:val="single" w:sz="4" w:space="0" w:color="auto"/>
              <w:right w:val="single" w:sz="4" w:space="0" w:color="auto"/>
            </w:tcBorders>
          </w:tcPr>
          <w:p w:rsidR="00000000" w:rsidRDefault="00805971">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29</w:t>
            </w:r>
            <w:r>
              <w:rPr>
                <w:rFonts w:ascii="宋体" w:hAnsi="宋体" w:hint="eastAsia"/>
                <w:szCs w:val="21"/>
              </w:rPr>
              <w:t>日</w:t>
            </w:r>
          </w:p>
        </w:tc>
      </w:tr>
      <w:tr w:rsidR="00000000">
        <w:trPr>
          <w:trHeight w:val="257"/>
        </w:trPr>
        <w:tc>
          <w:tcPr>
            <w:tcW w:w="1559" w:type="dxa"/>
            <w:vMerge/>
            <w:tcBorders>
              <w:left w:val="single" w:sz="4" w:space="0" w:color="auto"/>
              <w:right w:val="single" w:sz="4" w:space="0" w:color="auto"/>
            </w:tcBorders>
            <w:vAlign w:val="center"/>
          </w:tcPr>
          <w:p w:rsidR="00000000" w:rsidRDefault="00805971">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r>
              <w:rPr>
                <w:rFonts w:ascii="宋体" w:hAnsi="宋体" w:hint="eastAsia"/>
                <w:szCs w:val="21"/>
              </w:rPr>
              <w:t>暂停转换转出起始日</w:t>
            </w:r>
          </w:p>
        </w:tc>
        <w:tc>
          <w:tcPr>
            <w:tcW w:w="4674" w:type="dxa"/>
            <w:tcBorders>
              <w:top w:val="single" w:sz="4" w:space="0" w:color="auto"/>
              <w:left w:val="single" w:sz="4" w:space="0" w:color="auto"/>
              <w:bottom w:val="single" w:sz="4" w:space="0" w:color="auto"/>
              <w:right w:val="single" w:sz="4" w:space="0" w:color="auto"/>
            </w:tcBorders>
          </w:tcPr>
          <w:p w:rsidR="00000000" w:rsidRDefault="00805971">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29</w:t>
            </w:r>
            <w:r>
              <w:rPr>
                <w:rFonts w:ascii="宋体" w:hAnsi="宋体" w:hint="eastAsia"/>
                <w:szCs w:val="21"/>
              </w:rPr>
              <w:t>日</w:t>
            </w:r>
          </w:p>
        </w:tc>
      </w:tr>
      <w:tr w:rsidR="00000000">
        <w:trPr>
          <w:trHeight w:val="257"/>
        </w:trPr>
        <w:tc>
          <w:tcPr>
            <w:tcW w:w="1559" w:type="dxa"/>
            <w:vMerge/>
            <w:tcBorders>
              <w:left w:val="single" w:sz="4" w:space="0" w:color="auto"/>
              <w:bottom w:val="single" w:sz="4" w:space="0" w:color="auto"/>
              <w:right w:val="single" w:sz="4" w:space="0" w:color="auto"/>
            </w:tcBorders>
            <w:vAlign w:val="center"/>
          </w:tcPr>
          <w:p w:rsidR="00000000" w:rsidRDefault="00805971">
            <w:pPr>
              <w:rPr>
                <w:rFonts w:ascii="宋体" w:hAnsi="宋体"/>
                <w:szCs w:val="21"/>
              </w:rPr>
            </w:pPr>
          </w:p>
        </w:tc>
        <w:tc>
          <w:tcPr>
            <w:tcW w:w="2181"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hint="eastAsia"/>
                <w:szCs w:val="21"/>
              </w:rPr>
            </w:pPr>
            <w:r>
              <w:rPr>
                <w:rFonts w:ascii="宋体" w:hAnsi="宋体" w:hint="eastAsia"/>
                <w:szCs w:val="21"/>
              </w:rPr>
              <w:t>暂停申购、赎回及转换业务的原因说明</w:t>
            </w:r>
          </w:p>
        </w:tc>
        <w:tc>
          <w:tcPr>
            <w:tcW w:w="4674" w:type="dxa"/>
            <w:tcBorders>
              <w:top w:val="single" w:sz="4" w:space="0" w:color="auto"/>
              <w:left w:val="single" w:sz="4" w:space="0" w:color="auto"/>
              <w:bottom w:val="single" w:sz="4" w:space="0" w:color="auto"/>
              <w:right w:val="single" w:sz="4" w:space="0" w:color="auto"/>
            </w:tcBorders>
          </w:tcPr>
          <w:p w:rsidR="00000000" w:rsidRDefault="00805971">
            <w:pPr>
              <w:rPr>
                <w:rFonts w:ascii="宋体" w:hAnsi="宋体"/>
                <w:szCs w:val="21"/>
              </w:rPr>
            </w:pPr>
            <w:r>
              <w:rPr>
                <w:rFonts w:ascii="宋体" w:hAnsi="宋体" w:hint="eastAsia"/>
                <w:szCs w:val="21"/>
              </w:rPr>
              <w:t>根据本基金《基金合同》和《招募说明书》的相关规定，本基金自本次开放期</w:t>
            </w:r>
            <w:r>
              <w:rPr>
                <w:rFonts w:ascii="宋体" w:hAnsi="宋体" w:hint="eastAsia"/>
                <w:szCs w:val="21"/>
              </w:rPr>
              <w:t>结束之日次日</w:t>
            </w:r>
            <w:r>
              <w:rPr>
                <w:rFonts w:ascii="宋体" w:hAnsi="宋体" w:hint="eastAsia"/>
                <w:szCs w:val="21"/>
              </w:rPr>
              <w:t>（即</w:t>
            </w:r>
            <w:r>
              <w:rPr>
                <w:rFonts w:ascii="宋体" w:hAnsi="宋体" w:hint="eastAsia"/>
                <w:szCs w:val="21"/>
              </w:rPr>
              <w:t>2023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）起暂停办理申购、赎回及转换业务直至下一个开放期</w:t>
            </w:r>
          </w:p>
        </w:tc>
      </w:tr>
    </w:tbl>
    <w:p w:rsidR="00000000" w:rsidRDefault="00805971">
      <w:pPr>
        <w:rPr>
          <w:rFonts w:ascii="宋体" w:hAnsi="宋体" w:hint="eastAsia"/>
          <w:color w:val="0000FF"/>
          <w:kern w:val="0"/>
          <w:sz w:val="18"/>
          <w:szCs w:val="22"/>
        </w:rPr>
      </w:pPr>
    </w:p>
    <w:p w:rsidR="00000000" w:rsidRDefault="00805971">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2 </w:t>
      </w:r>
      <w:r>
        <w:rPr>
          <w:rFonts w:ascii="宋体" w:eastAsia="宋体" w:hAnsi="宋体" w:hint="eastAsia"/>
          <w:bCs/>
          <w:sz w:val="24"/>
          <w:szCs w:val="24"/>
        </w:rPr>
        <w:t>其他需要提示的事项</w:t>
      </w:r>
    </w:p>
    <w:p w:rsidR="00000000" w:rsidRDefault="00805971">
      <w:pPr>
        <w:spacing w:line="360" w:lineRule="auto"/>
        <w:ind w:firstLineChars="200" w:firstLine="420"/>
        <w:jc w:val="left"/>
        <w:rPr>
          <w:rFonts w:ascii="宋体" w:hAnsi="宋体" w:hint="eastAsia"/>
          <w:szCs w:val="21"/>
        </w:rPr>
      </w:pPr>
      <w:bookmarkStart w:id="13" w:name="t_2_9_2646_a1_fm1"/>
      <w:bookmarkEnd w:id="13"/>
      <w:r>
        <w:rPr>
          <w:rFonts w:ascii="宋体" w:hAnsi="宋体" w:hint="eastAsia"/>
          <w:szCs w:val="21"/>
        </w:rPr>
        <w:t>1</w:t>
      </w:r>
      <w:r>
        <w:rPr>
          <w:rFonts w:ascii="宋体" w:hAnsi="宋体" w:hint="eastAsia"/>
          <w:szCs w:val="21"/>
        </w:rPr>
        <w:t>、本公告仅对本基金本次开放期即</w:t>
      </w:r>
      <w:r>
        <w:rPr>
          <w:rFonts w:ascii="宋体" w:hAnsi="宋体" w:hint="eastAsia"/>
          <w:szCs w:val="21"/>
        </w:rPr>
        <w:t>20</w:t>
      </w:r>
      <w:r>
        <w:rPr>
          <w:rFonts w:ascii="宋体" w:hAnsi="宋体" w:hint="eastAsia"/>
          <w:szCs w:val="21"/>
        </w:rPr>
        <w:t>23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22</w:t>
      </w:r>
      <w:r>
        <w:rPr>
          <w:rFonts w:ascii="宋体" w:hAnsi="宋体" w:hint="eastAsia"/>
          <w:szCs w:val="21"/>
        </w:rPr>
        <w:t>日起（含）至</w:t>
      </w:r>
      <w:r>
        <w:rPr>
          <w:rFonts w:ascii="宋体" w:hAnsi="宋体" w:hint="eastAsia"/>
          <w:szCs w:val="21"/>
        </w:rPr>
        <w:t>20</w:t>
      </w:r>
      <w:r>
        <w:rPr>
          <w:rFonts w:ascii="宋体" w:hAnsi="宋体"/>
          <w:szCs w:val="21"/>
        </w:rPr>
        <w:t>2</w:t>
      </w:r>
      <w:r>
        <w:rPr>
          <w:rFonts w:ascii="宋体" w:hAnsi="宋体" w:hint="eastAsia"/>
          <w:szCs w:val="21"/>
        </w:rPr>
        <w:t>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28</w:t>
      </w:r>
      <w:r>
        <w:rPr>
          <w:rFonts w:ascii="宋体" w:hAnsi="宋体" w:hint="eastAsia"/>
          <w:szCs w:val="21"/>
        </w:rPr>
        <w:t>日（含）期间的工作日办理其申购、</w:t>
      </w:r>
      <w:r>
        <w:rPr>
          <w:rFonts w:ascii="宋体" w:hAnsi="宋体" w:hint="eastAsia"/>
          <w:szCs w:val="21"/>
        </w:rPr>
        <w:t>赎回及转换业务事项予以说明。本基金本次开放期不开通定期定</w:t>
      </w:r>
      <w:r>
        <w:rPr>
          <w:rFonts w:ascii="宋体" w:hAnsi="宋体" w:hint="eastAsia"/>
          <w:szCs w:val="21"/>
        </w:rPr>
        <w:lastRenderedPageBreak/>
        <w:t>额投资业务。</w:t>
      </w:r>
      <w:r>
        <w:rPr>
          <w:rFonts w:ascii="宋体" w:hAnsi="宋体" w:hint="eastAsia"/>
          <w:szCs w:val="21"/>
        </w:rPr>
        <w:t>20</w:t>
      </w:r>
      <w:r>
        <w:rPr>
          <w:rFonts w:ascii="宋体" w:hAnsi="宋体"/>
          <w:szCs w:val="21"/>
        </w:rPr>
        <w:t>2</w:t>
      </w:r>
      <w:r>
        <w:rPr>
          <w:rFonts w:ascii="宋体" w:hAnsi="宋体" w:hint="eastAsia"/>
          <w:szCs w:val="21"/>
        </w:rPr>
        <w:t>3</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28</w:t>
      </w:r>
      <w:r>
        <w:rPr>
          <w:rFonts w:ascii="宋体" w:hAnsi="宋体" w:hint="eastAsia"/>
          <w:szCs w:val="21"/>
        </w:rPr>
        <w:t>日</w:t>
      </w:r>
      <w:r>
        <w:rPr>
          <w:rFonts w:ascii="宋体" w:hAnsi="宋体" w:hint="eastAsia"/>
          <w:szCs w:val="21"/>
        </w:rPr>
        <w:t>15</w:t>
      </w:r>
      <w:r>
        <w:rPr>
          <w:rFonts w:ascii="宋体" w:hAnsi="宋体" w:hint="eastAsia"/>
          <w:szCs w:val="21"/>
        </w:rPr>
        <w:t>点之后提交的申购、赎回及转换业务申请将做失败处理，请投资者妥善安排业务办理时间。投资者欲了解本基金详细情况，请认真阅读本公司网站上刊登的《招募说明书》，亦可登陆本公司网站（</w:t>
      </w:r>
      <w:r>
        <w:rPr>
          <w:rFonts w:ascii="宋体" w:hAnsi="宋体" w:hint="eastAsia"/>
          <w:szCs w:val="21"/>
        </w:rPr>
        <w:t>www.yhfund.com.cn</w:t>
      </w:r>
      <w:r>
        <w:rPr>
          <w:rFonts w:ascii="宋体" w:hAnsi="宋体" w:hint="eastAsia"/>
          <w:szCs w:val="21"/>
        </w:rPr>
        <w:t>）查询或者拨打本公司的客户服务电话（</w:t>
      </w:r>
      <w:r>
        <w:rPr>
          <w:rFonts w:ascii="宋体" w:hAnsi="宋体" w:hint="eastAsia"/>
          <w:szCs w:val="21"/>
        </w:rPr>
        <w:t>400 678 3333</w:t>
      </w:r>
      <w:r>
        <w:rPr>
          <w:rFonts w:ascii="宋体" w:hAnsi="宋体" w:hint="eastAsia"/>
          <w:szCs w:val="21"/>
        </w:rPr>
        <w:t>）垂询相关事宜。</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、投资者应当在销售机构办理基金销售业务的营业场所或按销售机构提供的其他方式办理基金份额的申购、赎回、转换业务。</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、投资者</w:t>
      </w:r>
      <w:r>
        <w:rPr>
          <w:rFonts w:ascii="宋体" w:hAnsi="宋体" w:hint="eastAsia"/>
          <w:szCs w:val="21"/>
        </w:rPr>
        <w:t>T</w:t>
      </w:r>
      <w:r>
        <w:rPr>
          <w:rFonts w:ascii="宋体" w:hAnsi="宋体" w:hint="eastAsia"/>
          <w:szCs w:val="21"/>
        </w:rPr>
        <w:t>日交易时间</w:t>
      </w:r>
      <w:r>
        <w:rPr>
          <w:rFonts w:ascii="宋体" w:hAnsi="宋体" w:hint="eastAsia"/>
          <w:szCs w:val="21"/>
        </w:rPr>
        <w:t>内受理的申请，正常情况下，本基金登记机构在</w:t>
      </w:r>
      <w:r>
        <w:rPr>
          <w:rFonts w:ascii="宋体" w:hAnsi="宋体" w:hint="eastAsia"/>
          <w:szCs w:val="21"/>
        </w:rPr>
        <w:t>T+1</w:t>
      </w:r>
      <w:r>
        <w:rPr>
          <w:rFonts w:ascii="宋体" w:hAnsi="宋体" w:hint="eastAsia"/>
          <w:szCs w:val="21"/>
        </w:rPr>
        <w:t>日对该交易的有效性进行确认，投资者应在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或无效，投资人已缴付的申购款项将退回投资人账户。销售机构对申购与赎回申请的受理并不代表申请一定成功，而仅代表销售机构已经接收到申购、赎回申请。申购与赎回的确认以基金注册登记机构的确认结果为准。对于申请的确认情况，投资者应及时查询。如因申请未得到登记机构的确认而造成的损失，由投资者自行承担。</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在法律法规允许的范围内，基金管理人可</w:t>
      </w:r>
      <w:r>
        <w:rPr>
          <w:rFonts w:ascii="宋体" w:hAnsi="宋体" w:hint="eastAsia"/>
          <w:szCs w:val="21"/>
        </w:rPr>
        <w:t>根据业务规则，对上述业务办理时间进行调整并按照有关规定公告。</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、申购与赎回的原则</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）“未知价”原则，即申购、赎回价格以申请当日收市后计算的基金份额净值为基准进行计算；</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）“金额申购、份额赎回”原则，即申购以金额申请，赎回以份额申请；</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）当日的申购与赎回申请可以在基金管理人规定的时间以内撤销，在当日业务时间办理结束后不得撤销；</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）赎回遵循“先进先出”原则，即按照投资人持有份额登记日期的先后次序进行顺序赎回；</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）投资人申购基金份额时，必须全额交付申购款项，投资人交付款项后，申购申请方为有效</w:t>
      </w:r>
      <w:r>
        <w:rPr>
          <w:rFonts w:ascii="宋体" w:hAnsi="宋体" w:hint="eastAsia"/>
          <w:szCs w:val="21"/>
        </w:rPr>
        <w:t>。</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基金管理人可在法律法规允许的情况下，对上述原则进行调整。基金管理人必须在新规则开始实施前依照《信息披露办法》的有关规定在规定媒介上公告。</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、风险提示：本基金管理人承诺以恪尽职守、诚实信用、谨慎勤勉的原则管理和运用基金资产，但不保证本基金一定盈利，也不保证最低收益。投资者应当认真阅读基金合同、</w:t>
      </w:r>
      <w:r>
        <w:rPr>
          <w:rFonts w:ascii="宋体" w:hAnsi="宋体" w:hint="eastAsia"/>
          <w:szCs w:val="21"/>
        </w:rPr>
        <w:lastRenderedPageBreak/>
        <w:t>基金招募说明书等信息披露文件，自主判断基金的投资价值，自主做出投资决策，自行承担投资风险。本基金的过往业绩及其净值高低并不预示其未来业绩表现。本基金管理人所管理的其他基金的业绩并不构成对本基金业绩表现的保证。本基金</w:t>
      </w:r>
      <w:r>
        <w:rPr>
          <w:rFonts w:ascii="宋体" w:hAnsi="宋体" w:hint="eastAsia"/>
          <w:szCs w:val="21"/>
        </w:rPr>
        <w:t>管理人提醒投资人基金投资的“买者自负”原则，在做出投资决策后，基金运营状况与基金净值变化引致的投资风险，由投资人自行负担。</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根据本基金《基金合同》、《招募说明书》的规定，本基金每三个月开放一次，每个开放期所在月份为《基金合同》生效日所在月份在后续每三个日历月中最后一个日历月，每个开放期为当月最后</w:t>
      </w:r>
      <w:r>
        <w:rPr>
          <w:rFonts w:ascii="宋体" w:hAnsi="宋体" w:hint="eastAsia"/>
          <w:szCs w:val="21"/>
        </w:rPr>
        <w:t>5</w:t>
      </w:r>
      <w:r>
        <w:rPr>
          <w:rFonts w:ascii="宋体" w:hAnsi="宋体" w:hint="eastAsia"/>
          <w:szCs w:val="21"/>
        </w:rPr>
        <w:t>个工作日。本基金在开放期内办理申购、赎回及转换业务。本基金在封闭期内不办理申购、赎回及转换业务，并且每个开放期的起始日和终止日所对应的日历日期并不相同，因此，投资人需关注本基金的相关公告，避免因错过开放期而无法申购</w:t>
      </w:r>
      <w:r>
        <w:rPr>
          <w:rFonts w:ascii="宋体" w:hAnsi="宋体" w:hint="eastAsia"/>
          <w:szCs w:val="21"/>
        </w:rPr>
        <w:t>或赎回基金份额。</w:t>
      </w:r>
    </w:p>
    <w:p w:rsidR="00000000" w:rsidRDefault="00805971">
      <w:pPr>
        <w:spacing w:line="360" w:lineRule="auto"/>
        <w:ind w:firstLineChars="200" w:firstLine="420"/>
        <w:jc w:val="left"/>
        <w:rPr>
          <w:rFonts w:hint="eastAsia"/>
        </w:rPr>
      </w:pPr>
      <w:r>
        <w:rPr>
          <w:rFonts w:hAnsi="宋体"/>
          <w:szCs w:val="21"/>
        </w:rPr>
        <w:t>本基金为发起式基金，</w:t>
      </w:r>
      <w:r>
        <w:t>基金管理人对本基金的发起认购，并不代表对</w:t>
      </w:r>
      <w:r>
        <w:rPr>
          <w:rFonts w:hint="eastAsia"/>
        </w:rPr>
        <w:t>本基金的</w:t>
      </w:r>
      <w:r>
        <w:rPr>
          <w:rFonts w:ascii="宋体" w:hAnsi="宋体"/>
          <w:szCs w:val="21"/>
        </w:rPr>
        <w:t>风险或收益的任何判断、预测、推荐和保证</w:t>
      </w:r>
      <w:r>
        <w:rPr>
          <w:rFonts w:hint="eastAsia"/>
        </w:rPr>
        <w:t>，</w:t>
      </w:r>
      <w:r>
        <w:t>发起资金也不会用于弥补投资者的投资亏损</w:t>
      </w:r>
      <w:r>
        <w:rPr>
          <w:rFonts w:hint="eastAsia"/>
        </w:rPr>
        <w:t>，</w:t>
      </w:r>
      <w:r>
        <w:t>发起资金持有期限届满后，</w:t>
      </w:r>
      <w:r>
        <w:rPr>
          <w:rFonts w:hint="eastAsia"/>
        </w:rPr>
        <w:t>基金</w:t>
      </w:r>
      <w:r>
        <w:t>管理人可根据自身情况选择是否继续持有本基金</w:t>
      </w:r>
      <w:r>
        <w:rPr>
          <w:rFonts w:hint="eastAsia"/>
        </w:rPr>
        <w:t>。</w:t>
      </w:r>
    </w:p>
    <w:p w:rsidR="00000000" w:rsidRDefault="00805971">
      <w:pPr>
        <w:spacing w:line="360" w:lineRule="auto"/>
        <w:ind w:firstLineChars="200" w:firstLine="420"/>
        <w:jc w:val="left"/>
        <w:rPr>
          <w:rFonts w:hint="eastAsia"/>
        </w:rPr>
      </w:pPr>
      <w:r>
        <w:rPr>
          <w:rFonts w:hint="eastAsia"/>
        </w:rPr>
        <w:t>本基金自基金合同生效之日起满</w:t>
      </w:r>
      <w:r>
        <w:rPr>
          <w:rFonts w:hint="eastAsia"/>
        </w:rPr>
        <w:t>3</w:t>
      </w:r>
      <w:r>
        <w:rPr>
          <w:rFonts w:hint="eastAsia"/>
        </w:rPr>
        <w:t>年后，在任一开放期的最后一个开放日日终，有下列情形之一的，基金管理人与基金托管人协商一致后，应当终止基金合同：</w:t>
      </w:r>
    </w:p>
    <w:p w:rsidR="00000000" w:rsidRDefault="00805971">
      <w:pPr>
        <w:spacing w:line="360" w:lineRule="auto"/>
        <w:ind w:firstLineChars="200" w:firstLine="420"/>
        <w:jc w:val="left"/>
        <w:rPr>
          <w:rFonts w:hint="eastAsia"/>
        </w:rPr>
      </w:pPr>
      <w:r>
        <w:rPr>
          <w:rFonts w:hint="eastAsia"/>
        </w:rPr>
        <w:t>1</w:t>
      </w:r>
      <w:r>
        <w:rPr>
          <w:rFonts w:hint="eastAsia"/>
        </w:rPr>
        <w:t>、基金份额持有人数量不满</w:t>
      </w:r>
      <w:r>
        <w:rPr>
          <w:rFonts w:hint="eastAsia"/>
        </w:rPr>
        <w:t xml:space="preserve">200 </w:t>
      </w:r>
      <w:r>
        <w:rPr>
          <w:rFonts w:hint="eastAsia"/>
        </w:rPr>
        <w:t>人的；</w:t>
      </w:r>
    </w:p>
    <w:p w:rsidR="00000000" w:rsidRDefault="00805971">
      <w:pPr>
        <w:spacing w:line="360" w:lineRule="auto"/>
        <w:ind w:firstLineChars="200" w:firstLine="420"/>
        <w:jc w:val="left"/>
        <w:rPr>
          <w:rFonts w:hint="eastAsia"/>
        </w:rPr>
      </w:pPr>
      <w:r>
        <w:rPr>
          <w:rFonts w:hint="eastAsia"/>
        </w:rPr>
        <w:t>2</w:t>
      </w:r>
      <w:r>
        <w:rPr>
          <w:rFonts w:hint="eastAsia"/>
        </w:rPr>
        <w:t>、基金资产净值低于</w:t>
      </w:r>
      <w:r>
        <w:rPr>
          <w:rFonts w:hint="eastAsia"/>
        </w:rPr>
        <w:t xml:space="preserve">5000 </w:t>
      </w:r>
      <w:r>
        <w:rPr>
          <w:rFonts w:hint="eastAsia"/>
        </w:rPr>
        <w:t>万元的。</w:t>
      </w:r>
    </w:p>
    <w:p w:rsidR="00000000" w:rsidRDefault="00805971">
      <w:pPr>
        <w:spacing w:line="360" w:lineRule="auto"/>
        <w:ind w:firstLineChars="200" w:firstLine="420"/>
        <w:jc w:val="left"/>
        <w:rPr>
          <w:rFonts w:ascii="宋体" w:hAnsi="宋体" w:hint="eastAsia"/>
          <w:szCs w:val="21"/>
        </w:rPr>
      </w:pPr>
      <w:r>
        <w:rPr>
          <w:rFonts w:hint="eastAsia"/>
        </w:rPr>
        <w:t>由上述情形导致基金合同终止，不需召开基金份额持有</w:t>
      </w:r>
      <w:r>
        <w:rPr>
          <w:rFonts w:hint="eastAsia"/>
        </w:rPr>
        <w:t>人大会。</w:t>
      </w:r>
      <w:r>
        <w:rPr>
          <w:rFonts w:ascii="宋体" w:hAnsi="宋体"/>
          <w:szCs w:val="21"/>
        </w:rPr>
        <w:t>因此，投资者将面临基金合同可能终止的不确定性风险。</w:t>
      </w:r>
    </w:p>
    <w:p w:rsidR="00000000" w:rsidRDefault="00805971">
      <w:pPr>
        <w:spacing w:line="360" w:lineRule="auto"/>
        <w:ind w:firstLineChars="200" w:firstLine="420"/>
        <w:jc w:val="left"/>
        <w:rPr>
          <w:rFonts w:ascii="宋体" w:hAnsi="宋体" w:hint="eastAsia"/>
          <w:szCs w:val="21"/>
        </w:rPr>
      </w:pPr>
      <w:r>
        <w:rPr>
          <w:rFonts w:ascii="宋体" w:hAnsi="宋体" w:hint="eastAsia"/>
          <w:szCs w:val="21"/>
        </w:rPr>
        <w:t>特此公告。</w:t>
      </w:r>
    </w:p>
    <w:p w:rsidR="00000000" w:rsidRDefault="00805971">
      <w:pPr>
        <w:spacing w:line="360" w:lineRule="auto"/>
        <w:ind w:firstLineChars="200" w:firstLine="420"/>
        <w:jc w:val="left"/>
        <w:rPr>
          <w:rFonts w:ascii="宋体" w:hAnsi="宋体" w:hint="eastAsia"/>
          <w:szCs w:val="21"/>
        </w:rPr>
      </w:pPr>
    </w:p>
    <w:p w:rsidR="00000000" w:rsidRDefault="00805971">
      <w:pPr>
        <w:spacing w:line="360" w:lineRule="auto"/>
        <w:jc w:val="right"/>
        <w:rPr>
          <w:rFonts w:ascii="宋体" w:hAnsi="宋体" w:hint="eastAsia"/>
          <w:sz w:val="24"/>
          <w:szCs w:val="30"/>
        </w:rPr>
      </w:pPr>
      <w:r>
        <w:rPr>
          <w:rFonts w:ascii="宋体" w:hAnsi="宋体" w:hint="eastAsia"/>
          <w:sz w:val="24"/>
          <w:szCs w:val="30"/>
        </w:rPr>
        <w:t>银华基金管理股份有限公司</w:t>
      </w:r>
    </w:p>
    <w:p w:rsidR="00000000" w:rsidRDefault="00805971">
      <w:pPr>
        <w:spacing w:line="360" w:lineRule="auto"/>
        <w:jc w:val="right"/>
        <w:rPr>
          <w:rFonts w:ascii="宋体" w:hAnsi="宋体"/>
          <w:szCs w:val="21"/>
        </w:rPr>
      </w:pPr>
      <w:r>
        <w:rPr>
          <w:rFonts w:ascii="宋体" w:hAnsi="宋体" w:hint="eastAsia"/>
          <w:sz w:val="24"/>
          <w:szCs w:val="30"/>
        </w:rPr>
        <w:t>2023</w:t>
      </w:r>
      <w:r>
        <w:rPr>
          <w:rFonts w:ascii="宋体" w:hAnsi="宋体" w:hint="eastAsia"/>
          <w:sz w:val="24"/>
          <w:szCs w:val="30"/>
        </w:rPr>
        <w:t>年</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20</w:t>
      </w:r>
      <w:r>
        <w:rPr>
          <w:rFonts w:ascii="宋体" w:hAnsi="宋体" w:hint="eastAsia"/>
          <w:sz w:val="24"/>
          <w:szCs w:val="30"/>
        </w:rPr>
        <w:t>日</w:t>
      </w:r>
    </w:p>
    <w:sectPr w:rsidR="00000000">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05971">
      <w:r>
        <w:separator/>
      </w:r>
    </w:p>
  </w:endnote>
  <w:endnote w:type="continuationSeparator" w:id="0">
    <w:p w:rsidR="00000000" w:rsidRDefault="00805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5971">
    <w:pPr>
      <w:pStyle w:val="a6"/>
      <w:jc w:val="center"/>
    </w:pPr>
    <w:r>
      <w:fldChar w:fldCharType="begin"/>
    </w:r>
    <w:r>
      <w:instrText xml:space="preserve"> PAGE   \* MERGEFORMAT </w:instrText>
    </w:r>
    <w:r>
      <w:fldChar w:fldCharType="separate"/>
    </w:r>
    <w:r w:rsidRPr="00805971">
      <w:rPr>
        <w:noProof/>
        <w:lang w:val="zh-CN" w:eastAsia="zh-CN"/>
      </w:rPr>
      <w:t>1</w:t>
    </w:r>
    <w:r>
      <w:fldChar w:fldCharType="end"/>
    </w:r>
  </w:p>
  <w:p w:rsidR="00000000" w:rsidRDefault="0080597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05971">
      <w:r>
        <w:separator/>
      </w:r>
    </w:p>
  </w:footnote>
  <w:footnote w:type="continuationSeparator" w:id="0">
    <w:p w:rsidR="00000000" w:rsidRDefault="008059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5971">
    <w:pPr>
      <w:pStyle w:val="a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9.25pt;height:32.25pt;mso-wrap-style:square;mso-position-horizontal-relative:page;mso-position-vertical-relative:page">
          <v:imagedata r:id="rId1" o:title="公司logo"/>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072"/>
    <w:rsid w:val="000128D8"/>
    <w:rsid w:val="000130D9"/>
    <w:rsid w:val="00015CD3"/>
    <w:rsid w:val="00041063"/>
    <w:rsid w:val="00051433"/>
    <w:rsid w:val="000705B9"/>
    <w:rsid w:val="00070A67"/>
    <w:rsid w:val="000822D4"/>
    <w:rsid w:val="00090010"/>
    <w:rsid w:val="00094C3A"/>
    <w:rsid w:val="000A1C4E"/>
    <w:rsid w:val="000C3EC9"/>
    <w:rsid w:val="000D242A"/>
    <w:rsid w:val="000E14D7"/>
    <w:rsid w:val="000E592B"/>
    <w:rsid w:val="000E7CDF"/>
    <w:rsid w:val="0010172F"/>
    <w:rsid w:val="00103262"/>
    <w:rsid w:val="00110B6C"/>
    <w:rsid w:val="001433E7"/>
    <w:rsid w:val="00152FA6"/>
    <w:rsid w:val="00155DE4"/>
    <w:rsid w:val="00176425"/>
    <w:rsid w:val="001A0B5E"/>
    <w:rsid w:val="001D2179"/>
    <w:rsid w:val="001F1276"/>
    <w:rsid w:val="001F15BD"/>
    <w:rsid w:val="00205387"/>
    <w:rsid w:val="002120B3"/>
    <w:rsid w:val="0021287C"/>
    <w:rsid w:val="00213E3E"/>
    <w:rsid w:val="00236DB1"/>
    <w:rsid w:val="00241A00"/>
    <w:rsid w:val="0027246D"/>
    <w:rsid w:val="00275F9F"/>
    <w:rsid w:val="002946C2"/>
    <w:rsid w:val="00296096"/>
    <w:rsid w:val="002E182D"/>
    <w:rsid w:val="003155AF"/>
    <w:rsid w:val="00317580"/>
    <w:rsid w:val="00337830"/>
    <w:rsid w:val="00345CE1"/>
    <w:rsid w:val="0038269D"/>
    <w:rsid w:val="003978E3"/>
    <w:rsid w:val="003A3F62"/>
    <w:rsid w:val="003A621A"/>
    <w:rsid w:val="003B3BA3"/>
    <w:rsid w:val="003B6FE9"/>
    <w:rsid w:val="003C4BD2"/>
    <w:rsid w:val="003C7FA2"/>
    <w:rsid w:val="003F01F8"/>
    <w:rsid w:val="003F2598"/>
    <w:rsid w:val="00403A5C"/>
    <w:rsid w:val="004140DC"/>
    <w:rsid w:val="0042631E"/>
    <w:rsid w:val="0042679E"/>
    <w:rsid w:val="004348C1"/>
    <w:rsid w:val="004440F9"/>
    <w:rsid w:val="00447E5E"/>
    <w:rsid w:val="0045572C"/>
    <w:rsid w:val="00457F83"/>
    <w:rsid w:val="0046312B"/>
    <w:rsid w:val="004641BD"/>
    <w:rsid w:val="00471EA2"/>
    <w:rsid w:val="004C684E"/>
    <w:rsid w:val="004D3621"/>
    <w:rsid w:val="004D3F0D"/>
    <w:rsid w:val="004F0481"/>
    <w:rsid w:val="004F511D"/>
    <w:rsid w:val="004F6D65"/>
    <w:rsid w:val="005244CD"/>
    <w:rsid w:val="00535F5E"/>
    <w:rsid w:val="005363A1"/>
    <w:rsid w:val="00546663"/>
    <w:rsid w:val="00560410"/>
    <w:rsid w:val="005649A6"/>
    <w:rsid w:val="005948E2"/>
    <w:rsid w:val="005B04CF"/>
    <w:rsid w:val="005B48B1"/>
    <w:rsid w:val="005B575E"/>
    <w:rsid w:val="005C6ADF"/>
    <w:rsid w:val="005E0DFE"/>
    <w:rsid w:val="005E3A00"/>
    <w:rsid w:val="00603F24"/>
    <w:rsid w:val="006073D7"/>
    <w:rsid w:val="00613125"/>
    <w:rsid w:val="00615BEA"/>
    <w:rsid w:val="00616438"/>
    <w:rsid w:val="0061737C"/>
    <w:rsid w:val="00622C91"/>
    <w:rsid w:val="00624631"/>
    <w:rsid w:val="00647A86"/>
    <w:rsid w:val="00651F28"/>
    <w:rsid w:val="0066322E"/>
    <w:rsid w:val="00666659"/>
    <w:rsid w:val="00667A5E"/>
    <w:rsid w:val="00674134"/>
    <w:rsid w:val="00677B7B"/>
    <w:rsid w:val="0068117F"/>
    <w:rsid w:val="0068202E"/>
    <w:rsid w:val="0068213E"/>
    <w:rsid w:val="0068243C"/>
    <w:rsid w:val="006937AE"/>
    <w:rsid w:val="006A5CF7"/>
    <w:rsid w:val="006C20BC"/>
    <w:rsid w:val="006C5B46"/>
    <w:rsid w:val="006D0781"/>
    <w:rsid w:val="006D3774"/>
    <w:rsid w:val="006D5BFA"/>
    <w:rsid w:val="006D7442"/>
    <w:rsid w:val="006E5376"/>
    <w:rsid w:val="006E5493"/>
    <w:rsid w:val="00703F7B"/>
    <w:rsid w:val="00712B44"/>
    <w:rsid w:val="007235B0"/>
    <w:rsid w:val="00735F6F"/>
    <w:rsid w:val="00756E1D"/>
    <w:rsid w:val="0077121E"/>
    <w:rsid w:val="00774F0F"/>
    <w:rsid w:val="00786E22"/>
    <w:rsid w:val="007961D1"/>
    <w:rsid w:val="007A0BB8"/>
    <w:rsid w:val="007A53E1"/>
    <w:rsid w:val="007B6DA6"/>
    <w:rsid w:val="007C3977"/>
    <w:rsid w:val="007D42F4"/>
    <w:rsid w:val="007F4D7D"/>
    <w:rsid w:val="00800505"/>
    <w:rsid w:val="00804C65"/>
    <w:rsid w:val="00805971"/>
    <w:rsid w:val="00817C65"/>
    <w:rsid w:val="008366EC"/>
    <w:rsid w:val="00856FC8"/>
    <w:rsid w:val="00875F7B"/>
    <w:rsid w:val="00885D47"/>
    <w:rsid w:val="008904BB"/>
    <w:rsid w:val="00895BE7"/>
    <w:rsid w:val="008A5610"/>
    <w:rsid w:val="008A7DCE"/>
    <w:rsid w:val="008C0669"/>
    <w:rsid w:val="008E543F"/>
    <w:rsid w:val="008E5909"/>
    <w:rsid w:val="008E6E01"/>
    <w:rsid w:val="009013A9"/>
    <w:rsid w:val="0091423E"/>
    <w:rsid w:val="0091566F"/>
    <w:rsid w:val="009336CF"/>
    <w:rsid w:val="00936D89"/>
    <w:rsid w:val="00942EB3"/>
    <w:rsid w:val="00944237"/>
    <w:rsid w:val="00954C2F"/>
    <w:rsid w:val="00970388"/>
    <w:rsid w:val="0098117B"/>
    <w:rsid w:val="00985014"/>
    <w:rsid w:val="00985EFF"/>
    <w:rsid w:val="00986D31"/>
    <w:rsid w:val="00994AD0"/>
    <w:rsid w:val="009D41EF"/>
    <w:rsid w:val="009D63E3"/>
    <w:rsid w:val="009E6AEA"/>
    <w:rsid w:val="009F0100"/>
    <w:rsid w:val="009F682E"/>
    <w:rsid w:val="00A0174F"/>
    <w:rsid w:val="00A138EA"/>
    <w:rsid w:val="00A2054C"/>
    <w:rsid w:val="00A20F78"/>
    <w:rsid w:val="00A258C7"/>
    <w:rsid w:val="00A2613F"/>
    <w:rsid w:val="00A40707"/>
    <w:rsid w:val="00A74288"/>
    <w:rsid w:val="00A80CE4"/>
    <w:rsid w:val="00A84FDB"/>
    <w:rsid w:val="00A9079B"/>
    <w:rsid w:val="00AD043F"/>
    <w:rsid w:val="00AE0C66"/>
    <w:rsid w:val="00AF7FBA"/>
    <w:rsid w:val="00B021AC"/>
    <w:rsid w:val="00B10E40"/>
    <w:rsid w:val="00B10F0A"/>
    <w:rsid w:val="00B15414"/>
    <w:rsid w:val="00B21352"/>
    <w:rsid w:val="00B32AE9"/>
    <w:rsid w:val="00B43467"/>
    <w:rsid w:val="00B460CE"/>
    <w:rsid w:val="00B46DEB"/>
    <w:rsid w:val="00B540F6"/>
    <w:rsid w:val="00B67F94"/>
    <w:rsid w:val="00B8389C"/>
    <w:rsid w:val="00BA5B08"/>
    <w:rsid w:val="00BA7D49"/>
    <w:rsid w:val="00BB0A7C"/>
    <w:rsid w:val="00BB27B1"/>
    <w:rsid w:val="00BB773A"/>
    <w:rsid w:val="00BC0608"/>
    <w:rsid w:val="00BC1B1A"/>
    <w:rsid w:val="00BC551E"/>
    <w:rsid w:val="00BD2A06"/>
    <w:rsid w:val="00C0469E"/>
    <w:rsid w:val="00C046E9"/>
    <w:rsid w:val="00C23E49"/>
    <w:rsid w:val="00C34A37"/>
    <w:rsid w:val="00C3799E"/>
    <w:rsid w:val="00C407E5"/>
    <w:rsid w:val="00C57156"/>
    <w:rsid w:val="00C66435"/>
    <w:rsid w:val="00C80AA4"/>
    <w:rsid w:val="00C91922"/>
    <w:rsid w:val="00C92A58"/>
    <w:rsid w:val="00C9333F"/>
    <w:rsid w:val="00C95FD1"/>
    <w:rsid w:val="00CA4E5E"/>
    <w:rsid w:val="00CA6D45"/>
    <w:rsid w:val="00CA7216"/>
    <w:rsid w:val="00CC64CD"/>
    <w:rsid w:val="00CC7B14"/>
    <w:rsid w:val="00CD65E6"/>
    <w:rsid w:val="00CE1A56"/>
    <w:rsid w:val="00CE2430"/>
    <w:rsid w:val="00CE4821"/>
    <w:rsid w:val="00CE5689"/>
    <w:rsid w:val="00CF347C"/>
    <w:rsid w:val="00CF5D23"/>
    <w:rsid w:val="00D0558B"/>
    <w:rsid w:val="00D277FD"/>
    <w:rsid w:val="00D56070"/>
    <w:rsid w:val="00D62829"/>
    <w:rsid w:val="00D84C36"/>
    <w:rsid w:val="00D86303"/>
    <w:rsid w:val="00D86FC5"/>
    <w:rsid w:val="00D94AA3"/>
    <w:rsid w:val="00DA5CEA"/>
    <w:rsid w:val="00DB081A"/>
    <w:rsid w:val="00DC00B3"/>
    <w:rsid w:val="00DD1BAB"/>
    <w:rsid w:val="00DE45C4"/>
    <w:rsid w:val="00DF2FBB"/>
    <w:rsid w:val="00DF42E9"/>
    <w:rsid w:val="00E027EB"/>
    <w:rsid w:val="00E122AE"/>
    <w:rsid w:val="00E30BB9"/>
    <w:rsid w:val="00E43781"/>
    <w:rsid w:val="00E45CD4"/>
    <w:rsid w:val="00E51235"/>
    <w:rsid w:val="00E559A7"/>
    <w:rsid w:val="00E6241C"/>
    <w:rsid w:val="00E64053"/>
    <w:rsid w:val="00E702F2"/>
    <w:rsid w:val="00E70B1E"/>
    <w:rsid w:val="00E866D1"/>
    <w:rsid w:val="00EB4623"/>
    <w:rsid w:val="00EC0CE2"/>
    <w:rsid w:val="00ED55DF"/>
    <w:rsid w:val="00ED5C58"/>
    <w:rsid w:val="00F03ECE"/>
    <w:rsid w:val="00F12CCA"/>
    <w:rsid w:val="00F15A67"/>
    <w:rsid w:val="00F259F2"/>
    <w:rsid w:val="00F42D4F"/>
    <w:rsid w:val="00F45372"/>
    <w:rsid w:val="00F51992"/>
    <w:rsid w:val="00F61772"/>
    <w:rsid w:val="00F62396"/>
    <w:rsid w:val="00F74246"/>
    <w:rsid w:val="00F7707D"/>
    <w:rsid w:val="00F812AC"/>
    <w:rsid w:val="00F95CD7"/>
    <w:rsid w:val="00F970F4"/>
    <w:rsid w:val="00FA6E02"/>
    <w:rsid w:val="00FB5205"/>
    <w:rsid w:val="00FC194B"/>
    <w:rsid w:val="00FD03F1"/>
    <w:rsid w:val="00FD0ED5"/>
    <w:rsid w:val="00FD401F"/>
    <w:rsid w:val="00FD5D2F"/>
    <w:rsid w:val="00FE7C3A"/>
    <w:rsid w:val="182E7C2A"/>
    <w:rsid w:val="1E87644C"/>
    <w:rsid w:val="1F3F17A0"/>
    <w:rsid w:val="23737326"/>
    <w:rsid w:val="32811525"/>
    <w:rsid w:val="3CC70709"/>
    <w:rsid w:val="4FC820B3"/>
    <w:rsid w:val="56167292"/>
    <w:rsid w:val="5FFD7F49"/>
    <w:rsid w:val="60DB57B8"/>
    <w:rsid w:val="6BE911EA"/>
    <w:rsid w:val="6DA219C5"/>
    <w:rsid w:val="71F22369"/>
    <w:rsid w:val="79ED0602"/>
    <w:rsid w:val="7F7F99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b/>
      <w:bCs/>
      <w:kern w:val="2"/>
      <w:sz w:val="21"/>
    </w:rPr>
  </w:style>
  <w:style w:type="character" w:customStyle="1" w:styleId="Char0">
    <w:name w:val="批注文字 Char"/>
    <w:link w:val="a4"/>
    <w:rPr>
      <w:kern w:val="2"/>
      <w:sz w:val="21"/>
    </w:rPr>
  </w:style>
  <w:style w:type="character" w:styleId="a5">
    <w:name w:val="annotation reference"/>
    <w:rPr>
      <w:sz w:val="21"/>
      <w:szCs w:val="21"/>
    </w:rPr>
  </w:style>
  <w:style w:type="character" w:customStyle="1" w:styleId="2Char">
    <w:name w:val="标题 2 Char"/>
    <w:link w:val="2"/>
    <w:rPr>
      <w:rFonts w:ascii="Arial" w:eastAsia="黑体" w:hAnsi="Arial"/>
      <w:b/>
      <w:kern w:val="2"/>
      <w:sz w:val="32"/>
      <w:szCs w:val="22"/>
    </w:rPr>
  </w:style>
  <w:style w:type="character" w:customStyle="1" w:styleId="Char1">
    <w:name w:val="页脚 Char"/>
    <w:link w:val="a6"/>
    <w:uiPriority w:val="99"/>
    <w:rPr>
      <w:kern w:val="2"/>
      <w:sz w:val="18"/>
      <w:szCs w:val="18"/>
    </w:rPr>
  </w:style>
  <w:style w:type="character" w:styleId="a7">
    <w:name w:val="Hyperlink"/>
    <w:rPr>
      <w:color w:val="0000FF"/>
      <w:u w:val="single"/>
    </w:rPr>
  </w:style>
  <w:style w:type="character" w:customStyle="1" w:styleId="Char2">
    <w:name w:val="批注框文本 Char"/>
    <w:link w:val="a8"/>
    <w:rPr>
      <w:kern w:val="2"/>
      <w:sz w:val="18"/>
      <w:szCs w:val="18"/>
    </w:rPr>
  </w:style>
  <w:style w:type="paragraph" w:styleId="a3">
    <w:name w:val="annotation subject"/>
    <w:basedOn w:val="a4"/>
    <w:next w:val="a4"/>
    <w:link w:val="Char"/>
    <w:rPr>
      <w:b/>
      <w:bCs/>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customStyle="1" w:styleId="p0">
    <w:name w:val="p0"/>
    <w:basedOn w:val="a"/>
    <w:pPr>
      <w:widowControl/>
    </w:pPr>
    <w:rPr>
      <w:kern w:val="0"/>
    </w:rPr>
  </w:style>
  <w:style w:type="paragraph" w:styleId="a6">
    <w:name w:val="footer"/>
    <w:basedOn w:val="a"/>
    <w:link w:val="Char1"/>
    <w:uiPriority w:val="99"/>
    <w:pPr>
      <w:tabs>
        <w:tab w:val="center" w:pos="4153"/>
        <w:tab w:val="right" w:pos="8306"/>
      </w:tabs>
      <w:snapToGrid w:val="0"/>
      <w:jc w:val="left"/>
    </w:pPr>
    <w:rPr>
      <w:sz w:val="18"/>
      <w:szCs w:val="18"/>
    </w:rPr>
  </w:style>
  <w:style w:type="paragraph" w:customStyle="1" w:styleId="aa">
    <w:name w:val="产品二级小标题"/>
    <w:basedOn w:val="080318"/>
    <w:pPr>
      <w:ind w:firstLine="422"/>
    </w:pPr>
    <w:rPr>
      <w:b/>
      <w:bCs/>
    </w:rPr>
  </w:style>
  <w:style w:type="paragraph" w:styleId="a8">
    <w:name w:val="Balloon Text"/>
    <w:basedOn w:val="a"/>
    <w:link w:val="Char2"/>
    <w:rPr>
      <w:sz w:val="18"/>
      <w:szCs w:val="18"/>
    </w:rPr>
  </w:style>
  <w:style w:type="paragraph" w:customStyle="1" w:styleId="20">
    <w:name w:val="产品小标题2"/>
    <w:basedOn w:val="a"/>
    <w:next w:val="a"/>
    <w:pPr>
      <w:spacing w:before="120" w:line="415" w:lineRule="auto"/>
      <w:ind w:firstLineChars="200" w:firstLine="562"/>
      <w:jc w:val="left"/>
      <w:outlineLvl w:val="0"/>
    </w:pPr>
    <w:rPr>
      <w:rFonts w:ascii="仿宋_GB2312" w:eastAsia="仿宋_GB2312"/>
      <w:b/>
      <w:kern w:val="0"/>
      <w:sz w:val="28"/>
      <w:szCs w:val="24"/>
    </w:rPr>
  </w:style>
  <w:style w:type="paragraph" w:customStyle="1" w:styleId="080318">
    <w:name w:val="产品方案正文080318"/>
    <w:basedOn w:val="a"/>
    <w:pPr>
      <w:autoSpaceDE w:val="0"/>
      <w:autoSpaceDN w:val="0"/>
      <w:adjustRightInd w:val="0"/>
      <w:snapToGrid w:val="0"/>
      <w:spacing w:line="360" w:lineRule="auto"/>
      <w:ind w:firstLineChars="200" w:firstLine="200"/>
    </w:pPr>
    <w:rPr>
      <w:rFonts w:ascii="宋体" w:cs="宋体"/>
      <w:lang w:val="zh-CN"/>
    </w:rPr>
  </w:style>
  <w:style w:type="paragraph" w:styleId="a4">
    <w:name w:val="annotation text"/>
    <w:basedOn w:val="a"/>
    <w:link w:val="Char0"/>
    <w:pPr>
      <w:jc w:val="left"/>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2013</Characters>
  <Application>Microsoft Office Word</Application>
  <DocSecurity>4</DocSecurity>
  <PresentationFormat/>
  <Lines>16</Lines>
  <Paragraphs>4</Paragraphs>
  <Slides>0</Slides>
  <Notes>0</Notes>
  <HiddenSlides>0</HiddenSlides>
  <MMClips>0</MMClips>
  <ScaleCrop>false</ScaleCrop>
  <Company>YHFund</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cp:lastModifiedBy>ZHONGM</cp:lastModifiedBy>
  <cp:revision>2</cp:revision>
  <cp:lastPrinted>2015-06-10T14:44:00Z</cp:lastPrinted>
  <dcterms:created xsi:type="dcterms:W3CDTF">2023-09-19T16:02:00Z</dcterms:created>
  <dcterms:modified xsi:type="dcterms:W3CDTF">2023-09-19T16:02:00Z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7B9365691CE2493EB4F7B9B1634ABE3D</vt:lpwstr>
  </property>
</Properties>
</file>