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1819" w:rsidRDefault="00701819" w:rsidP="008C3C14">
      <w:pPr>
        <w:spacing w:line="360" w:lineRule="auto"/>
        <w:jc w:val="center"/>
        <w:rPr>
          <w:b/>
          <w:sz w:val="24"/>
        </w:rPr>
      </w:pPr>
      <w:bookmarkStart w:id="0" w:name="_GoBack"/>
      <w:bookmarkEnd w:id="0"/>
    </w:p>
    <w:p w:rsidR="00CE4FE5" w:rsidRDefault="006541C9" w:rsidP="006450BE">
      <w:pPr>
        <w:spacing w:line="360" w:lineRule="auto"/>
        <w:jc w:val="center"/>
        <w:rPr>
          <w:b/>
          <w:sz w:val="24"/>
        </w:rPr>
      </w:pPr>
      <w:r>
        <w:rPr>
          <w:b/>
          <w:sz w:val="24"/>
        </w:rPr>
        <w:t>招商</w:t>
      </w:r>
      <w:r w:rsidR="00CE4FE5">
        <w:rPr>
          <w:rFonts w:hint="eastAsia"/>
          <w:b/>
          <w:sz w:val="24"/>
        </w:rPr>
        <w:t>基金管理有限公司</w:t>
      </w:r>
      <w:r w:rsidR="00CE4FE5" w:rsidRPr="00701819">
        <w:rPr>
          <w:rFonts w:hint="eastAsia"/>
          <w:b/>
          <w:sz w:val="24"/>
        </w:rPr>
        <w:t>关于</w:t>
      </w:r>
      <w:r w:rsidR="00CE4FE5">
        <w:rPr>
          <w:rFonts w:hint="eastAsia"/>
          <w:b/>
          <w:sz w:val="24"/>
        </w:rPr>
        <w:t>提高旗下部分</w:t>
      </w:r>
      <w:r>
        <w:rPr>
          <w:b/>
          <w:sz w:val="24"/>
        </w:rPr>
        <w:t>基金</w:t>
      </w:r>
      <w:r w:rsidR="00CE4FE5">
        <w:rPr>
          <w:rFonts w:hint="eastAsia"/>
          <w:b/>
          <w:sz w:val="24"/>
        </w:rPr>
        <w:t>估值精度并</w:t>
      </w:r>
      <w:r w:rsidR="00154133" w:rsidRPr="00154133">
        <w:rPr>
          <w:rFonts w:hint="eastAsia"/>
          <w:b/>
          <w:sz w:val="24"/>
        </w:rPr>
        <w:t>修订</w:t>
      </w:r>
    </w:p>
    <w:p w:rsidR="00E2531A" w:rsidRPr="00701819" w:rsidRDefault="00154133" w:rsidP="006450BE">
      <w:pPr>
        <w:spacing w:line="360" w:lineRule="auto"/>
        <w:jc w:val="center"/>
        <w:rPr>
          <w:b/>
          <w:sz w:val="24"/>
        </w:rPr>
      </w:pPr>
      <w:r w:rsidRPr="00154133">
        <w:rPr>
          <w:rFonts w:hint="eastAsia"/>
          <w:b/>
          <w:sz w:val="24"/>
        </w:rPr>
        <w:t>基金合同</w:t>
      </w:r>
      <w:r w:rsidR="006450BE" w:rsidRPr="006450BE">
        <w:rPr>
          <w:rFonts w:hint="eastAsia"/>
          <w:b/>
          <w:sz w:val="24"/>
        </w:rPr>
        <w:t>及托管协议</w:t>
      </w:r>
      <w:r w:rsidRPr="00154133">
        <w:rPr>
          <w:rFonts w:hint="eastAsia"/>
          <w:b/>
          <w:sz w:val="24"/>
        </w:rPr>
        <w:t>的公告</w:t>
      </w:r>
    </w:p>
    <w:p w:rsidR="00701819" w:rsidRPr="00DB6E54" w:rsidRDefault="00701819" w:rsidP="008C3C14">
      <w:pPr>
        <w:spacing w:line="360" w:lineRule="auto"/>
        <w:jc w:val="center"/>
        <w:rPr>
          <w:b/>
          <w:sz w:val="24"/>
        </w:rPr>
      </w:pPr>
    </w:p>
    <w:p w:rsidR="006450BE" w:rsidRPr="002E4A05" w:rsidRDefault="00B94D6B" w:rsidP="006450BE">
      <w:pPr>
        <w:spacing w:line="360" w:lineRule="auto"/>
        <w:ind w:firstLineChars="257" w:firstLine="540"/>
      </w:pPr>
      <w:r w:rsidRPr="00B94D6B">
        <w:rPr>
          <w:rFonts w:hint="eastAsia"/>
        </w:rPr>
        <w:t>为更好地满足广大投资者的投资理财需求，</w:t>
      </w:r>
      <w:r w:rsidR="006450BE">
        <w:rPr>
          <w:rFonts w:hint="eastAsia"/>
        </w:rPr>
        <w:t>根据《中华人民共和国证券投资基金法》、《公开募集证券投资基金运作管理办法》、《公开募集证券投资基金信息披露管理办法》等法律法规</w:t>
      </w:r>
      <w:r w:rsidR="00CD1661" w:rsidRPr="00CD1661">
        <w:rPr>
          <w:rFonts w:hint="eastAsia"/>
        </w:rPr>
        <w:t>和各基金基金合同的约定</w:t>
      </w:r>
      <w:r w:rsidR="006450BE">
        <w:rPr>
          <w:rFonts w:hint="eastAsia"/>
        </w:rPr>
        <w:t>，经与</w:t>
      </w:r>
      <w:r w:rsidR="00CD1661">
        <w:rPr>
          <w:rFonts w:hint="eastAsia"/>
        </w:rPr>
        <w:t>各</w:t>
      </w:r>
      <w:r w:rsidR="006450BE">
        <w:rPr>
          <w:rFonts w:hint="eastAsia"/>
        </w:rPr>
        <w:t>基金托管人协商一致，</w:t>
      </w:r>
      <w:r w:rsidR="00CD1661" w:rsidRPr="00CD1661">
        <w:rPr>
          <w:rFonts w:hint="eastAsia"/>
        </w:rPr>
        <w:t>招商基金管理有限公司（以下简称“基金管理人”</w:t>
      </w:r>
      <w:r w:rsidR="00CD0DCB">
        <w:rPr>
          <w:rFonts w:hint="eastAsia"/>
        </w:rPr>
        <w:t>或“本公司”</w:t>
      </w:r>
      <w:r w:rsidR="00CD1661" w:rsidRPr="00CD1661">
        <w:rPr>
          <w:rFonts w:hint="eastAsia"/>
        </w:rPr>
        <w:t>）</w:t>
      </w:r>
      <w:r w:rsidR="006450BE">
        <w:rPr>
          <w:rFonts w:hint="eastAsia"/>
        </w:rPr>
        <w:t>决定</w:t>
      </w:r>
      <w:r w:rsidR="009340E1">
        <w:rPr>
          <w:rFonts w:hint="eastAsia"/>
        </w:rPr>
        <w:t>自</w:t>
      </w:r>
      <w:r w:rsidR="00A36E0A">
        <w:rPr>
          <w:rFonts w:hint="eastAsia"/>
        </w:rPr>
        <w:t>202</w:t>
      </w:r>
      <w:r w:rsidR="00A36E0A">
        <w:t>3</w:t>
      </w:r>
      <w:r w:rsidR="009340E1">
        <w:rPr>
          <w:rFonts w:hint="eastAsia"/>
        </w:rPr>
        <w:t>年</w:t>
      </w:r>
      <w:r w:rsidR="00A36E0A">
        <w:t>9</w:t>
      </w:r>
      <w:r w:rsidR="009340E1">
        <w:rPr>
          <w:rFonts w:hint="eastAsia"/>
        </w:rPr>
        <w:t>月</w:t>
      </w:r>
      <w:r w:rsidR="00A36E0A">
        <w:t>20</w:t>
      </w:r>
      <w:r w:rsidR="009340E1">
        <w:rPr>
          <w:rFonts w:hint="eastAsia"/>
        </w:rPr>
        <w:t>日起</w:t>
      </w:r>
      <w:r w:rsidRPr="00B94D6B">
        <w:rPr>
          <w:rFonts w:hint="eastAsia"/>
        </w:rPr>
        <w:t>提高</w:t>
      </w:r>
      <w:r w:rsidR="00CD1661" w:rsidRPr="00DB6E54">
        <w:rPr>
          <w:rFonts w:hint="eastAsia"/>
        </w:rPr>
        <w:t>旗下部分基金</w:t>
      </w:r>
      <w:r w:rsidR="00823F15" w:rsidRPr="00DB6E54">
        <w:rPr>
          <w:rFonts w:hint="eastAsia"/>
        </w:rPr>
        <w:t>的估值精度，将</w:t>
      </w:r>
      <w:r w:rsidRPr="00B94D6B">
        <w:rPr>
          <w:rFonts w:hint="eastAsia"/>
        </w:rPr>
        <w:t>基金份额净值</w:t>
      </w:r>
      <w:r w:rsidR="00823F15">
        <w:rPr>
          <w:rFonts w:hint="eastAsia"/>
        </w:rPr>
        <w:t>保留</w:t>
      </w:r>
      <w:r w:rsidRPr="00B94D6B">
        <w:rPr>
          <w:rFonts w:hint="eastAsia"/>
        </w:rPr>
        <w:t>至小数点后</w:t>
      </w:r>
      <w:r w:rsidRPr="00B94D6B">
        <w:rPr>
          <w:rFonts w:hint="eastAsia"/>
        </w:rPr>
        <w:t>4</w:t>
      </w:r>
      <w:r w:rsidRPr="00B94D6B">
        <w:rPr>
          <w:rFonts w:hint="eastAsia"/>
        </w:rPr>
        <w:t>位，小数点后第</w:t>
      </w:r>
      <w:r w:rsidRPr="00B94D6B">
        <w:rPr>
          <w:rFonts w:hint="eastAsia"/>
        </w:rPr>
        <w:t>5</w:t>
      </w:r>
      <w:r w:rsidRPr="00B94D6B">
        <w:rPr>
          <w:rFonts w:hint="eastAsia"/>
        </w:rPr>
        <w:t>位四舍五入，</w:t>
      </w:r>
      <w:r w:rsidR="00433E1A" w:rsidRPr="002E4A05">
        <w:rPr>
          <w:rFonts w:hint="eastAsia"/>
        </w:rPr>
        <w:t>同时对基金管理人信息</w:t>
      </w:r>
      <w:r w:rsidR="002E4A05" w:rsidRPr="00DB6E54">
        <w:rPr>
          <w:rFonts w:hint="eastAsia"/>
        </w:rPr>
        <w:t>和基金托管人信息</w:t>
      </w:r>
      <w:r w:rsidR="00433E1A" w:rsidRPr="002E4A05">
        <w:rPr>
          <w:rFonts w:hint="eastAsia"/>
        </w:rPr>
        <w:t>进行更新，</w:t>
      </w:r>
      <w:r w:rsidRPr="002E4A05">
        <w:rPr>
          <w:rFonts w:hint="eastAsia"/>
        </w:rPr>
        <w:t>并对</w:t>
      </w:r>
      <w:r w:rsidR="00823F15" w:rsidRPr="002E4A05">
        <w:rPr>
          <w:rFonts w:hint="eastAsia"/>
        </w:rPr>
        <w:t>各</w:t>
      </w:r>
      <w:r w:rsidRPr="002E4A05">
        <w:rPr>
          <w:rFonts w:hint="eastAsia"/>
        </w:rPr>
        <w:t>基金</w:t>
      </w:r>
      <w:r w:rsidR="002D30E5">
        <w:rPr>
          <w:rFonts w:hint="eastAsia"/>
        </w:rPr>
        <w:t>基金</w:t>
      </w:r>
      <w:r w:rsidRPr="002E4A05">
        <w:rPr>
          <w:rFonts w:hint="eastAsia"/>
        </w:rPr>
        <w:t>合同</w:t>
      </w:r>
      <w:r w:rsidR="009340E1" w:rsidRPr="002E4A05">
        <w:rPr>
          <w:rFonts w:hint="eastAsia"/>
        </w:rPr>
        <w:t>和</w:t>
      </w:r>
      <w:r w:rsidRPr="002E4A05">
        <w:rPr>
          <w:rFonts w:hint="eastAsia"/>
        </w:rPr>
        <w:t>托管协议的相应条款进行修订。</w:t>
      </w:r>
    </w:p>
    <w:p w:rsidR="00502F71" w:rsidRPr="002E4A05" w:rsidRDefault="00502F71" w:rsidP="006450BE">
      <w:pPr>
        <w:spacing w:line="360" w:lineRule="auto"/>
        <w:ind w:firstLineChars="257" w:firstLine="540"/>
      </w:pPr>
      <w:r w:rsidRPr="002E4A05">
        <w:rPr>
          <w:rFonts w:hint="eastAsia"/>
        </w:rPr>
        <w:t>一、本次提高基金估值精度的基金</w:t>
      </w:r>
    </w:p>
    <w:tbl>
      <w:tblPr>
        <w:tblStyle w:val="ac"/>
        <w:tblW w:w="0" w:type="auto"/>
        <w:tblInd w:w="704" w:type="dxa"/>
        <w:tblLook w:val="04A0"/>
      </w:tblPr>
      <w:tblGrid>
        <w:gridCol w:w="1276"/>
        <w:gridCol w:w="4961"/>
      </w:tblGrid>
      <w:tr w:rsidR="00502F71" w:rsidRPr="002E4A05" w:rsidTr="00DB6E54">
        <w:tc>
          <w:tcPr>
            <w:tcW w:w="1276" w:type="dxa"/>
          </w:tcPr>
          <w:p w:rsidR="00502F71" w:rsidRPr="002E4A05" w:rsidRDefault="00502F71" w:rsidP="00DB6E54">
            <w:pPr>
              <w:spacing w:line="360" w:lineRule="auto"/>
              <w:jc w:val="center"/>
            </w:pPr>
            <w:r w:rsidRPr="002E4A05">
              <w:rPr>
                <w:rFonts w:hint="eastAsia"/>
              </w:rPr>
              <w:t>序号</w:t>
            </w:r>
          </w:p>
        </w:tc>
        <w:tc>
          <w:tcPr>
            <w:tcW w:w="4961" w:type="dxa"/>
          </w:tcPr>
          <w:p w:rsidR="00502F71" w:rsidRPr="002E4A05" w:rsidRDefault="00502F71" w:rsidP="00DB6E54">
            <w:pPr>
              <w:spacing w:line="360" w:lineRule="auto"/>
              <w:jc w:val="center"/>
            </w:pPr>
            <w:r w:rsidRPr="002E4A05">
              <w:rPr>
                <w:rFonts w:hint="eastAsia"/>
              </w:rPr>
              <w:t>基金名称</w:t>
            </w:r>
          </w:p>
        </w:tc>
      </w:tr>
      <w:tr w:rsidR="00502F71" w:rsidRPr="002E4A05" w:rsidTr="00DB6E54">
        <w:tc>
          <w:tcPr>
            <w:tcW w:w="1276" w:type="dxa"/>
          </w:tcPr>
          <w:p w:rsidR="00502F71" w:rsidRPr="002E4A05" w:rsidRDefault="00502F71" w:rsidP="00DB6E54">
            <w:pPr>
              <w:spacing w:line="360" w:lineRule="auto"/>
              <w:jc w:val="center"/>
            </w:pPr>
            <w:r w:rsidRPr="002E4A05">
              <w:t>1</w:t>
            </w:r>
          </w:p>
        </w:tc>
        <w:tc>
          <w:tcPr>
            <w:tcW w:w="4961" w:type="dxa"/>
          </w:tcPr>
          <w:p w:rsidR="00502F71" w:rsidRPr="002E4A05" w:rsidRDefault="00502F71" w:rsidP="006450BE">
            <w:pPr>
              <w:spacing w:line="360" w:lineRule="auto"/>
            </w:pPr>
            <w:r w:rsidRPr="002E4A05">
              <w:rPr>
                <w:rFonts w:hint="eastAsia"/>
              </w:rPr>
              <w:t>招商招恒纯债债券型证券投资基金</w:t>
            </w:r>
          </w:p>
        </w:tc>
      </w:tr>
      <w:tr w:rsidR="00502F71" w:rsidRPr="002E4A05" w:rsidTr="00DB6E54">
        <w:tc>
          <w:tcPr>
            <w:tcW w:w="1276" w:type="dxa"/>
          </w:tcPr>
          <w:p w:rsidR="00502F71" w:rsidRPr="002E4A05" w:rsidRDefault="00502F71" w:rsidP="00DB6E54">
            <w:pPr>
              <w:spacing w:line="360" w:lineRule="auto"/>
              <w:jc w:val="center"/>
            </w:pPr>
            <w:r w:rsidRPr="002E4A05">
              <w:t>2</w:t>
            </w:r>
          </w:p>
        </w:tc>
        <w:tc>
          <w:tcPr>
            <w:tcW w:w="4961" w:type="dxa"/>
          </w:tcPr>
          <w:p w:rsidR="00502F71" w:rsidRPr="002E4A05" w:rsidRDefault="00502F71" w:rsidP="006450BE">
            <w:pPr>
              <w:spacing w:line="360" w:lineRule="auto"/>
            </w:pPr>
            <w:r w:rsidRPr="002E4A05">
              <w:rPr>
                <w:rFonts w:hint="eastAsia"/>
              </w:rPr>
              <w:t>招商双债增强债券型证券投资基金（</w:t>
            </w:r>
            <w:r w:rsidRPr="002E4A05">
              <w:t>LOF</w:t>
            </w:r>
            <w:r w:rsidRPr="002E4A05">
              <w:rPr>
                <w:rFonts w:hint="eastAsia"/>
              </w:rPr>
              <w:t>）</w:t>
            </w:r>
          </w:p>
        </w:tc>
      </w:tr>
      <w:tr w:rsidR="00502F71" w:rsidRPr="002E4A05" w:rsidTr="00DB6E54">
        <w:tc>
          <w:tcPr>
            <w:tcW w:w="1276" w:type="dxa"/>
          </w:tcPr>
          <w:p w:rsidR="00502F71" w:rsidRPr="002E4A05" w:rsidRDefault="00502F71" w:rsidP="00DB6E54">
            <w:pPr>
              <w:spacing w:line="360" w:lineRule="auto"/>
              <w:jc w:val="center"/>
            </w:pPr>
            <w:r w:rsidRPr="002E4A05">
              <w:t>3</w:t>
            </w:r>
          </w:p>
        </w:tc>
        <w:tc>
          <w:tcPr>
            <w:tcW w:w="4961" w:type="dxa"/>
          </w:tcPr>
          <w:p w:rsidR="00502F71" w:rsidRPr="002E4A05" w:rsidRDefault="00502F71" w:rsidP="006450BE">
            <w:pPr>
              <w:spacing w:line="360" w:lineRule="auto"/>
            </w:pPr>
            <w:r w:rsidRPr="002E4A05">
              <w:rPr>
                <w:rFonts w:hint="eastAsia"/>
              </w:rPr>
              <w:t>招商产业债券型证券投资基金</w:t>
            </w:r>
          </w:p>
        </w:tc>
      </w:tr>
      <w:tr w:rsidR="00502F71" w:rsidRPr="002E4A05" w:rsidTr="00DB6E54">
        <w:tc>
          <w:tcPr>
            <w:tcW w:w="1276" w:type="dxa"/>
          </w:tcPr>
          <w:p w:rsidR="00502F71" w:rsidRPr="002E4A05" w:rsidRDefault="00502F71" w:rsidP="00DB6E54">
            <w:pPr>
              <w:spacing w:line="360" w:lineRule="auto"/>
              <w:jc w:val="center"/>
            </w:pPr>
            <w:r w:rsidRPr="002E4A05">
              <w:t>4</w:t>
            </w:r>
          </w:p>
        </w:tc>
        <w:tc>
          <w:tcPr>
            <w:tcW w:w="4961" w:type="dxa"/>
          </w:tcPr>
          <w:p w:rsidR="00502F71" w:rsidRPr="002E4A05" w:rsidRDefault="00502F71" w:rsidP="006450BE">
            <w:pPr>
              <w:spacing w:line="360" w:lineRule="auto"/>
            </w:pPr>
            <w:r w:rsidRPr="002E4A05">
              <w:rPr>
                <w:rFonts w:hint="eastAsia"/>
              </w:rPr>
              <w:t>招商安瑞进取债券型证券投资基金</w:t>
            </w:r>
          </w:p>
        </w:tc>
      </w:tr>
    </w:tbl>
    <w:p w:rsidR="00502F71" w:rsidRPr="002E4A05" w:rsidRDefault="008F3A94" w:rsidP="006450BE">
      <w:pPr>
        <w:spacing w:line="360" w:lineRule="auto"/>
        <w:ind w:firstLineChars="257" w:firstLine="540"/>
      </w:pPr>
      <w:r w:rsidRPr="002E4A05">
        <w:rPr>
          <w:rFonts w:hint="eastAsia"/>
        </w:rPr>
        <w:t>二、各基金合同修订内容</w:t>
      </w:r>
    </w:p>
    <w:p w:rsidR="008F3A94" w:rsidRDefault="009340E1" w:rsidP="00154133">
      <w:pPr>
        <w:spacing w:line="360" w:lineRule="auto"/>
        <w:ind w:firstLineChars="257" w:firstLine="540"/>
      </w:pPr>
      <w:r w:rsidRPr="00DB6E54">
        <w:rPr>
          <w:rFonts w:hint="eastAsia"/>
        </w:rPr>
        <w:t>本次</w:t>
      </w:r>
      <w:r w:rsidR="008F3A94" w:rsidRPr="002E4A05">
        <w:rPr>
          <w:rFonts w:hint="eastAsia"/>
        </w:rPr>
        <w:t>对各</w:t>
      </w:r>
      <w:r w:rsidR="002D30E5">
        <w:rPr>
          <w:rFonts w:hint="eastAsia"/>
        </w:rPr>
        <w:t>基金</w:t>
      </w:r>
      <w:r w:rsidR="008F3A94" w:rsidRPr="002E4A05">
        <w:rPr>
          <w:rFonts w:hint="eastAsia"/>
        </w:rPr>
        <w:t>基金合同中涉及基金估值精度的相关内容进行了修订，同时对基金管理人信息</w:t>
      </w:r>
      <w:r w:rsidR="002E4A05" w:rsidRPr="00DB6E54">
        <w:rPr>
          <w:rFonts w:hint="eastAsia"/>
        </w:rPr>
        <w:t>和</w:t>
      </w:r>
      <w:r w:rsidR="008F3A94" w:rsidRPr="002E4A05">
        <w:rPr>
          <w:rFonts w:hint="eastAsia"/>
        </w:rPr>
        <w:t>基金托管人信息进行更新。本次修订对基金份额持有人利益无实质性不利影响，各</w:t>
      </w:r>
      <w:r w:rsidR="002D30E5">
        <w:rPr>
          <w:rFonts w:hint="eastAsia"/>
        </w:rPr>
        <w:t>基金</w:t>
      </w:r>
      <w:r w:rsidR="008F3A94" w:rsidRPr="002E4A05">
        <w:rPr>
          <w:rFonts w:hint="eastAsia"/>
        </w:rPr>
        <w:t>基金</w:t>
      </w:r>
      <w:r w:rsidR="008F3A94" w:rsidRPr="003330E7">
        <w:rPr>
          <w:rFonts w:hint="eastAsia"/>
        </w:rPr>
        <w:t>合同当事人权利义务关系也不发生重大变化，</w:t>
      </w:r>
      <w:r w:rsidR="008F3A94">
        <w:rPr>
          <w:rFonts w:hint="eastAsia"/>
        </w:rPr>
        <w:t>无需召开基金份额持有人大会。</w:t>
      </w:r>
      <w:r w:rsidR="00CD0DCB">
        <w:rPr>
          <w:rFonts w:hint="eastAsia"/>
        </w:rPr>
        <w:t>本</w:t>
      </w:r>
      <w:r w:rsidR="008F3A94" w:rsidRPr="008F3A94">
        <w:rPr>
          <w:rFonts w:hint="eastAsia"/>
        </w:rPr>
        <w:t>公司已就修订内容与</w:t>
      </w:r>
      <w:r w:rsidR="008F3A94">
        <w:rPr>
          <w:rFonts w:hint="eastAsia"/>
        </w:rPr>
        <w:t>各</w:t>
      </w:r>
      <w:r w:rsidR="008F3A94" w:rsidRPr="008F3A94">
        <w:rPr>
          <w:rFonts w:hint="eastAsia"/>
        </w:rPr>
        <w:t>基金托管人协商一致，并已履行适当程序。</w:t>
      </w:r>
      <w:r w:rsidR="008F3A94">
        <w:rPr>
          <w:rFonts w:hint="eastAsia"/>
        </w:rPr>
        <w:t>各基金</w:t>
      </w:r>
      <w:r w:rsidR="002D30E5">
        <w:rPr>
          <w:rFonts w:hint="eastAsia"/>
        </w:rPr>
        <w:t>基金</w:t>
      </w:r>
      <w:r w:rsidR="008F3A94">
        <w:rPr>
          <w:rFonts w:hint="eastAsia"/>
        </w:rPr>
        <w:t>合同的具体修订内容详见附件。</w:t>
      </w:r>
    </w:p>
    <w:p w:rsidR="008F3A94" w:rsidRDefault="008F3A94" w:rsidP="00154133">
      <w:pPr>
        <w:spacing w:line="360" w:lineRule="auto"/>
        <w:ind w:firstLineChars="257" w:firstLine="540"/>
      </w:pPr>
      <w:r w:rsidRPr="008F3A94">
        <w:rPr>
          <w:rFonts w:hint="eastAsia"/>
        </w:rPr>
        <w:t>根据修订的</w:t>
      </w:r>
      <w:r>
        <w:rPr>
          <w:rFonts w:hint="eastAsia"/>
        </w:rPr>
        <w:t>各</w:t>
      </w:r>
      <w:r w:rsidR="002D30E5">
        <w:rPr>
          <w:rFonts w:hint="eastAsia"/>
        </w:rPr>
        <w:t>基金</w:t>
      </w:r>
      <w:r w:rsidRPr="008F3A94">
        <w:rPr>
          <w:rFonts w:hint="eastAsia"/>
        </w:rPr>
        <w:t>基金合同，相应修订</w:t>
      </w:r>
      <w:r>
        <w:rPr>
          <w:rFonts w:hint="eastAsia"/>
        </w:rPr>
        <w:t>各基金托管协议</w:t>
      </w:r>
      <w:r w:rsidRPr="008F3A94">
        <w:rPr>
          <w:rFonts w:hint="eastAsia"/>
        </w:rPr>
        <w:t>。</w:t>
      </w:r>
    </w:p>
    <w:p w:rsidR="008F3A94" w:rsidRDefault="008F3A94" w:rsidP="00154133">
      <w:pPr>
        <w:spacing w:line="360" w:lineRule="auto"/>
        <w:ind w:firstLineChars="257" w:firstLine="540"/>
      </w:pPr>
      <w:r>
        <w:rPr>
          <w:rFonts w:hint="eastAsia"/>
        </w:rPr>
        <w:t>三、各基金的招募说明书和</w:t>
      </w:r>
      <w:r w:rsidRPr="008F3A94">
        <w:rPr>
          <w:rFonts w:hint="eastAsia"/>
        </w:rPr>
        <w:t>基金产品资料概要将</w:t>
      </w:r>
      <w:r>
        <w:rPr>
          <w:rFonts w:hint="eastAsia"/>
        </w:rPr>
        <w:t>根据各</w:t>
      </w:r>
      <w:r w:rsidR="002D30E5">
        <w:rPr>
          <w:rFonts w:hint="eastAsia"/>
        </w:rPr>
        <w:t>基金</w:t>
      </w:r>
      <w:r>
        <w:rPr>
          <w:rFonts w:hint="eastAsia"/>
        </w:rPr>
        <w:t>基金合同和托管协议的内容进行相应修改，并按规定更新。</w:t>
      </w:r>
    </w:p>
    <w:p w:rsidR="008F3A94" w:rsidRDefault="008F3A94" w:rsidP="00154133">
      <w:pPr>
        <w:spacing w:line="360" w:lineRule="auto"/>
        <w:ind w:firstLineChars="257" w:firstLine="540"/>
      </w:pPr>
      <w:r>
        <w:rPr>
          <w:rFonts w:hint="eastAsia"/>
        </w:rPr>
        <w:t>四、重要提示</w:t>
      </w:r>
    </w:p>
    <w:p w:rsidR="00154133" w:rsidRDefault="00265677" w:rsidP="00154133">
      <w:pPr>
        <w:spacing w:line="360" w:lineRule="auto"/>
        <w:ind w:firstLineChars="257" w:firstLine="540"/>
      </w:pPr>
      <w:r>
        <w:rPr>
          <w:rFonts w:hint="eastAsia"/>
        </w:rPr>
        <w:t>本次</w:t>
      </w:r>
      <w:r w:rsidR="009340E1" w:rsidRPr="00DB6E54">
        <w:rPr>
          <w:rFonts w:hint="eastAsia"/>
        </w:rPr>
        <w:t>提高各基金的估值精度及</w:t>
      </w:r>
      <w:r w:rsidR="009340E1">
        <w:rPr>
          <w:rFonts w:hint="eastAsia"/>
        </w:rPr>
        <w:t>各</w:t>
      </w:r>
      <w:r w:rsidR="002D30E5">
        <w:rPr>
          <w:rFonts w:hint="eastAsia"/>
        </w:rPr>
        <w:t>基金</w:t>
      </w:r>
      <w:r w:rsidR="009340E1" w:rsidRPr="00DB6E54">
        <w:rPr>
          <w:rFonts w:hint="eastAsia"/>
        </w:rPr>
        <w:t>基金合同和托管协议的修改，已履行了适当程序，符合相关法律法规及各基金合同的规定</w:t>
      </w:r>
      <w:r>
        <w:rPr>
          <w:rFonts w:hint="eastAsia"/>
        </w:rPr>
        <w:t>。</w:t>
      </w:r>
      <w:r w:rsidR="009340E1" w:rsidRPr="009340E1">
        <w:rPr>
          <w:rFonts w:hint="eastAsia"/>
        </w:rPr>
        <w:t>投资者可访问本公司网站（</w:t>
      </w:r>
      <w:r w:rsidR="009340E1" w:rsidRPr="009340E1">
        <w:rPr>
          <w:rFonts w:hint="eastAsia"/>
        </w:rPr>
        <w:t>www.cmfchina.com</w:t>
      </w:r>
      <w:r w:rsidR="009340E1" w:rsidRPr="009340E1">
        <w:rPr>
          <w:rFonts w:hint="eastAsia"/>
        </w:rPr>
        <w:t>）查阅修订后的</w:t>
      </w:r>
      <w:r w:rsidR="009340E1">
        <w:rPr>
          <w:rFonts w:hint="eastAsia"/>
        </w:rPr>
        <w:t>各</w:t>
      </w:r>
      <w:r w:rsidR="002D30E5">
        <w:rPr>
          <w:rFonts w:hint="eastAsia"/>
        </w:rPr>
        <w:t>基金</w:t>
      </w:r>
      <w:r w:rsidR="009340E1" w:rsidRPr="00B94D6B">
        <w:rPr>
          <w:rFonts w:hint="eastAsia"/>
        </w:rPr>
        <w:t>基金合同</w:t>
      </w:r>
      <w:r w:rsidR="009340E1">
        <w:rPr>
          <w:rFonts w:hint="eastAsia"/>
        </w:rPr>
        <w:t>和</w:t>
      </w:r>
      <w:r w:rsidR="009340E1" w:rsidRPr="00B94D6B">
        <w:rPr>
          <w:rFonts w:hint="eastAsia"/>
        </w:rPr>
        <w:t>托管协议</w:t>
      </w:r>
      <w:r w:rsidR="009340E1">
        <w:rPr>
          <w:rFonts w:hint="eastAsia"/>
        </w:rPr>
        <w:t>全文。</w:t>
      </w:r>
      <w:r w:rsidRPr="00265677">
        <w:rPr>
          <w:rFonts w:hint="eastAsia"/>
        </w:rPr>
        <w:t>本次修订后的</w:t>
      </w:r>
      <w:r>
        <w:rPr>
          <w:rFonts w:hint="eastAsia"/>
        </w:rPr>
        <w:t>各</w:t>
      </w:r>
      <w:r w:rsidR="002D30E5">
        <w:rPr>
          <w:rFonts w:hint="eastAsia"/>
        </w:rPr>
        <w:t>基金</w:t>
      </w:r>
      <w:r>
        <w:rPr>
          <w:rFonts w:hint="eastAsia"/>
        </w:rPr>
        <w:t>基金合同和托管协议</w:t>
      </w:r>
      <w:r w:rsidRPr="00265677">
        <w:rPr>
          <w:rFonts w:hint="eastAsia"/>
        </w:rPr>
        <w:t>将自</w:t>
      </w:r>
      <w:r w:rsidR="00A36E0A">
        <w:rPr>
          <w:rFonts w:hint="eastAsia"/>
        </w:rPr>
        <w:lastRenderedPageBreak/>
        <w:t>202</w:t>
      </w:r>
      <w:r w:rsidR="00A36E0A">
        <w:t>3</w:t>
      </w:r>
      <w:r>
        <w:rPr>
          <w:rFonts w:hint="eastAsia"/>
        </w:rPr>
        <w:t>年</w:t>
      </w:r>
      <w:r w:rsidR="00A36E0A">
        <w:t>9</w:t>
      </w:r>
      <w:r>
        <w:rPr>
          <w:rFonts w:hint="eastAsia"/>
        </w:rPr>
        <w:t>月</w:t>
      </w:r>
      <w:r w:rsidR="00A36E0A">
        <w:t>20</w:t>
      </w:r>
      <w:r>
        <w:rPr>
          <w:rFonts w:hint="eastAsia"/>
        </w:rPr>
        <w:t>日</w:t>
      </w:r>
      <w:r w:rsidRPr="00265677">
        <w:rPr>
          <w:rFonts w:hint="eastAsia"/>
        </w:rPr>
        <w:t>起生效。</w:t>
      </w:r>
    </w:p>
    <w:p w:rsidR="008C3C14" w:rsidRDefault="008C3C14" w:rsidP="008C3C14">
      <w:pPr>
        <w:spacing w:line="360" w:lineRule="auto"/>
        <w:ind w:firstLineChars="257" w:firstLine="540"/>
      </w:pPr>
      <w:r>
        <w:t>投资者可通过以下途径咨询有关详情：</w:t>
      </w:r>
    </w:p>
    <w:p w:rsidR="008C3C14" w:rsidRDefault="008C3C14" w:rsidP="008C3C14">
      <w:pPr>
        <w:spacing w:line="360" w:lineRule="auto"/>
        <w:ind w:firstLineChars="257" w:firstLine="540"/>
      </w:pPr>
      <w:r w:rsidRPr="00F5292F">
        <w:rPr>
          <w:rFonts w:hint="eastAsia"/>
        </w:rPr>
        <w:t>招商基金全国统一客户服务热线</w:t>
      </w:r>
      <w:r w:rsidR="00096F94">
        <w:t>：</w:t>
      </w:r>
      <w:r w:rsidRPr="00F5292F">
        <w:rPr>
          <w:rFonts w:hint="eastAsia"/>
        </w:rPr>
        <w:t>400-887-9555</w:t>
      </w:r>
      <w:r w:rsidRPr="00F5292F">
        <w:rPr>
          <w:rFonts w:hint="eastAsia"/>
        </w:rPr>
        <w:t>（免长途</w:t>
      </w:r>
      <w:r>
        <w:rPr>
          <w:rFonts w:hint="eastAsia"/>
        </w:rPr>
        <w:t>话</w:t>
      </w:r>
      <w:r w:rsidRPr="00F5292F">
        <w:rPr>
          <w:rFonts w:hint="eastAsia"/>
        </w:rPr>
        <w:t>费）</w:t>
      </w:r>
    </w:p>
    <w:p w:rsidR="008C3C14" w:rsidRDefault="008C3C14" w:rsidP="008C3C14">
      <w:pPr>
        <w:spacing w:line="360" w:lineRule="auto"/>
        <w:ind w:firstLineChars="257" w:firstLine="540"/>
      </w:pPr>
      <w:r>
        <w:t>网址：</w:t>
      </w:r>
      <w:r w:rsidRPr="00F5292F">
        <w:rPr>
          <w:rFonts w:hint="eastAsia"/>
        </w:rPr>
        <w:t>www.cmfchina.com</w:t>
      </w:r>
    </w:p>
    <w:p w:rsidR="008C3C14" w:rsidRDefault="008C3C14" w:rsidP="008C3C14">
      <w:pPr>
        <w:spacing w:line="360" w:lineRule="auto"/>
        <w:ind w:firstLineChars="257" w:firstLine="540"/>
      </w:pPr>
      <w: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w:t>
      </w:r>
      <w:r w:rsidR="00E369AE">
        <w:rPr>
          <w:rFonts w:hint="eastAsia"/>
        </w:rPr>
        <w:t>、</w:t>
      </w:r>
      <w:r>
        <w:t>《招募说明书》</w:t>
      </w:r>
      <w:r w:rsidR="00E369AE">
        <w:rPr>
          <w:rFonts w:hint="eastAsia"/>
        </w:rPr>
        <w:t>和</w:t>
      </w:r>
      <w:r w:rsidR="00E369AE">
        <w:t>基金产品资料概要</w:t>
      </w:r>
      <w:r>
        <w:t>等基金法律文件，全面认识基金产品的风险收益特征，在了解产品情况及听取销售机构适当性意见的基础上，根据自身的风险承受能力、投资期限和投资目标，对基金投资作出独立决策，选择合适的基金产品。</w:t>
      </w:r>
    </w:p>
    <w:p w:rsidR="00265677" w:rsidRDefault="00265677" w:rsidP="008C3C14">
      <w:pPr>
        <w:spacing w:line="360" w:lineRule="auto"/>
        <w:ind w:firstLineChars="257" w:firstLine="540"/>
      </w:pPr>
    </w:p>
    <w:p w:rsidR="00080BD5" w:rsidRDefault="008C3C14" w:rsidP="008C3C14">
      <w:pPr>
        <w:spacing w:line="360" w:lineRule="auto"/>
        <w:ind w:firstLineChars="257" w:firstLine="540"/>
      </w:pPr>
      <w:r>
        <w:t>特此公告。</w:t>
      </w:r>
    </w:p>
    <w:p w:rsidR="00265677" w:rsidRDefault="00265677" w:rsidP="008C3C14">
      <w:pPr>
        <w:spacing w:line="360" w:lineRule="auto"/>
        <w:ind w:firstLineChars="257" w:firstLine="540"/>
      </w:pPr>
    </w:p>
    <w:p w:rsidR="00D5080C" w:rsidRDefault="00D5080C" w:rsidP="008C3C14">
      <w:pPr>
        <w:spacing w:line="360" w:lineRule="auto"/>
        <w:ind w:firstLineChars="257" w:firstLine="540"/>
      </w:pPr>
    </w:p>
    <w:p w:rsidR="00080BD5" w:rsidRDefault="000B6A0F" w:rsidP="000B6A0F">
      <w:pPr>
        <w:spacing w:line="360" w:lineRule="auto"/>
        <w:ind w:firstLineChars="257" w:firstLine="540"/>
        <w:jc w:val="right"/>
      </w:pPr>
      <w:r>
        <w:rPr>
          <w:rFonts w:hint="eastAsia"/>
        </w:rPr>
        <w:t>招商基金管理有限公司</w:t>
      </w:r>
    </w:p>
    <w:p w:rsidR="00080BD5" w:rsidRDefault="00A36E0A" w:rsidP="008C3C14">
      <w:pPr>
        <w:spacing w:line="360" w:lineRule="auto"/>
        <w:ind w:firstLineChars="257" w:firstLine="540"/>
        <w:jc w:val="right"/>
      </w:pPr>
      <w:r w:rsidRPr="0034404F">
        <w:t>20</w:t>
      </w:r>
      <w:r>
        <w:t>23</w:t>
      </w:r>
      <w:r w:rsidR="00F13500" w:rsidRPr="0034404F">
        <w:rPr>
          <w:rFonts w:hint="eastAsia"/>
        </w:rPr>
        <w:t>年</w:t>
      </w:r>
      <w:r>
        <w:t>9</w:t>
      </w:r>
      <w:r w:rsidR="000B6A0F" w:rsidRPr="002E0FAE">
        <w:rPr>
          <w:rFonts w:hint="eastAsia"/>
        </w:rPr>
        <w:t>月</w:t>
      </w:r>
      <w:r>
        <w:t>20</w:t>
      </w:r>
      <w:r w:rsidR="000B6A0F" w:rsidRPr="002E0FAE">
        <w:rPr>
          <w:rFonts w:hint="eastAsia"/>
        </w:rPr>
        <w:t>日</w:t>
      </w:r>
    </w:p>
    <w:p w:rsidR="00CA6B12" w:rsidRDefault="00CA6B12" w:rsidP="000E51FC">
      <w:pPr>
        <w:spacing w:line="360" w:lineRule="auto"/>
        <w:ind w:firstLineChars="257" w:firstLine="540"/>
        <w:jc w:val="left"/>
        <w:sectPr w:rsidR="00CA6B12">
          <w:footerReference w:type="default" r:id="rId8"/>
          <w:pgSz w:w="11906" w:h="16838"/>
          <w:pgMar w:top="1440" w:right="1800" w:bottom="1440" w:left="1800" w:header="851" w:footer="992" w:gutter="0"/>
          <w:cols w:space="425"/>
          <w:docGrid w:type="lines" w:linePitch="312"/>
        </w:sectPr>
      </w:pPr>
    </w:p>
    <w:p w:rsidR="004739C1" w:rsidRPr="00DB6E54" w:rsidRDefault="000E51FC" w:rsidP="000E51FC">
      <w:pPr>
        <w:spacing w:line="360" w:lineRule="auto"/>
        <w:ind w:firstLineChars="257" w:firstLine="542"/>
        <w:jc w:val="left"/>
        <w:rPr>
          <w:b/>
        </w:rPr>
      </w:pPr>
      <w:r w:rsidRPr="00DB6E54">
        <w:rPr>
          <w:rFonts w:hint="eastAsia"/>
          <w:b/>
        </w:rPr>
        <w:lastRenderedPageBreak/>
        <w:t>附件：</w:t>
      </w:r>
    </w:p>
    <w:p w:rsidR="000E51FC" w:rsidRPr="00DB6E54" w:rsidRDefault="004739C1" w:rsidP="000E51FC">
      <w:pPr>
        <w:spacing w:line="360" w:lineRule="auto"/>
        <w:ind w:firstLineChars="257" w:firstLine="542"/>
        <w:jc w:val="left"/>
        <w:rPr>
          <w:b/>
        </w:rPr>
      </w:pPr>
      <w:r w:rsidRPr="00DB6E54">
        <w:rPr>
          <w:rFonts w:hint="eastAsia"/>
          <w:b/>
        </w:rPr>
        <w:t>招商招恒纯债债券型证券投资基金</w:t>
      </w:r>
      <w:r w:rsidR="00893CBE" w:rsidRPr="00DB6E54">
        <w:rPr>
          <w:rFonts w:hint="eastAsia"/>
          <w:b/>
        </w:rPr>
        <w:t>基金合同修订</w:t>
      </w:r>
      <w:r w:rsidR="00265677" w:rsidRPr="00DB6E54">
        <w:rPr>
          <w:rFonts w:hint="eastAsia"/>
          <w:b/>
        </w:rPr>
        <w:t>前后文</w:t>
      </w:r>
      <w:r w:rsidR="00893CBE" w:rsidRPr="00DB6E54">
        <w:rPr>
          <w:rFonts w:hint="eastAsia"/>
          <w:b/>
        </w:rPr>
        <w:t>对照表</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6"/>
        <w:gridCol w:w="3851"/>
        <w:gridCol w:w="3851"/>
      </w:tblGrid>
      <w:tr w:rsidR="00CD0DCB" w:rsidRPr="000E51FC" w:rsidTr="007A6C8B">
        <w:trPr>
          <w:trHeight w:val="567"/>
          <w:jc w:val="center"/>
        </w:trPr>
        <w:tc>
          <w:tcPr>
            <w:tcW w:w="552" w:type="pct"/>
            <w:tcBorders>
              <w:top w:val="single" w:sz="4" w:space="0" w:color="000000"/>
              <w:left w:val="single" w:sz="4" w:space="0" w:color="000000"/>
              <w:bottom w:val="single" w:sz="4" w:space="0" w:color="000000"/>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b/>
                <w:bCs/>
                <w:szCs w:val="21"/>
              </w:rPr>
              <w:t>章节</w:t>
            </w:r>
          </w:p>
        </w:tc>
        <w:tc>
          <w:tcPr>
            <w:tcW w:w="2224" w:type="pct"/>
            <w:tcBorders>
              <w:top w:val="single" w:sz="4" w:space="0" w:color="000000"/>
              <w:left w:val="single" w:sz="4" w:space="0" w:color="auto"/>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原文条款内容</w:t>
            </w:r>
          </w:p>
        </w:tc>
        <w:tc>
          <w:tcPr>
            <w:tcW w:w="2224" w:type="pct"/>
            <w:tcBorders>
              <w:top w:val="single" w:sz="4" w:space="0" w:color="000000"/>
              <w:left w:val="single" w:sz="4" w:space="0" w:color="auto"/>
              <w:right w:val="single" w:sz="4" w:space="0" w:color="auto"/>
            </w:tcBorders>
            <w:vAlign w:val="center"/>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修订后条款内容</w:t>
            </w:r>
          </w:p>
        </w:tc>
      </w:tr>
      <w:tr w:rsidR="00CD0DCB" w:rsidRPr="000E51FC" w:rsidTr="007A6C8B">
        <w:trPr>
          <w:jc w:val="center"/>
        </w:trPr>
        <w:tc>
          <w:tcPr>
            <w:tcW w:w="552" w:type="pct"/>
            <w:tcBorders>
              <w:top w:val="single" w:sz="4" w:space="0" w:color="000000"/>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0E51FC">
              <w:rPr>
                <w:rFonts w:asciiTheme="minorEastAsia" w:eastAsiaTheme="minorEastAsia" w:hAnsiTheme="minorEastAsia" w:hint="eastAsia"/>
                <w:b/>
                <w:bCs/>
                <w:szCs w:val="21"/>
              </w:rPr>
              <w:t>第六部分  基金份额的申购与赎回</w:t>
            </w: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bCs/>
                <w:szCs w:val="21"/>
              </w:rPr>
            </w:pPr>
            <w:r w:rsidRPr="000E51FC">
              <w:rPr>
                <w:rFonts w:asciiTheme="minorEastAsia" w:eastAsiaTheme="minorEastAsia" w:hAnsiTheme="minorEastAsia" w:hint="eastAsia"/>
                <w:bCs/>
                <w:szCs w:val="21"/>
              </w:rPr>
              <w:t>六、申购和赎回的价格、费用及其用途</w:t>
            </w:r>
          </w:p>
          <w:p w:rsidR="00CD0DCB" w:rsidRPr="000E51FC" w:rsidRDefault="00CD0DCB" w:rsidP="007A6C8B">
            <w:pPr>
              <w:contextualSpacing/>
              <w:rPr>
                <w:rFonts w:asciiTheme="minorEastAsia" w:eastAsiaTheme="minorEastAsia" w:hAnsiTheme="minorEastAsia"/>
                <w:bCs/>
                <w:szCs w:val="21"/>
              </w:rPr>
            </w:pPr>
            <w:r w:rsidRPr="000E51FC">
              <w:rPr>
                <w:rFonts w:asciiTheme="minorEastAsia" w:eastAsiaTheme="minorEastAsia" w:hAnsiTheme="minorEastAsia" w:hint="eastAsia"/>
                <w:bCs/>
                <w:szCs w:val="21"/>
              </w:rPr>
              <w:t>1、</w:t>
            </w:r>
            <w:r w:rsidRPr="00202866">
              <w:rPr>
                <w:rFonts w:asciiTheme="minorEastAsia" w:eastAsiaTheme="minorEastAsia" w:hAnsiTheme="minorEastAsia" w:hint="eastAsia"/>
                <w:bCs/>
                <w:szCs w:val="21"/>
              </w:rPr>
              <w:t>本基金A类基金份额、C类基金份额和D类基金份额分别设置基金代码，并分别公布基金份额净值。本基金份额净值的计算，按四舍五入法保留到小数点后</w:t>
            </w:r>
            <w:r w:rsidRPr="007A6C8B">
              <w:rPr>
                <w:rFonts w:asciiTheme="minorEastAsia" w:eastAsiaTheme="minorEastAsia" w:hAnsiTheme="minorEastAsia"/>
                <w:b/>
                <w:strike/>
                <w:szCs w:val="21"/>
              </w:rPr>
              <w:t>3</w:t>
            </w:r>
            <w:r w:rsidRPr="00202866">
              <w:rPr>
                <w:rFonts w:asciiTheme="minorEastAsia" w:eastAsiaTheme="minorEastAsia" w:hAnsiTheme="minorEastAsia" w:hint="eastAsia"/>
                <w:bCs/>
                <w:szCs w:val="21"/>
              </w:rPr>
              <w:t>位，小数点后第</w:t>
            </w:r>
            <w:r w:rsidRPr="007A6C8B">
              <w:rPr>
                <w:rFonts w:asciiTheme="minorEastAsia" w:eastAsiaTheme="minorEastAsia" w:hAnsiTheme="minorEastAsia"/>
                <w:b/>
                <w:strike/>
                <w:szCs w:val="21"/>
              </w:rPr>
              <w:t>4</w:t>
            </w:r>
            <w:r w:rsidRPr="00202866">
              <w:rPr>
                <w:rFonts w:asciiTheme="minorEastAsia" w:eastAsiaTheme="minorEastAsia" w:hAnsiTheme="minorEastAsia" w:hint="eastAsia"/>
                <w:bCs/>
                <w:szCs w:val="21"/>
              </w:rPr>
              <w:t>位四舍五入，由此产生的收益或损失由基金财产承担。</w:t>
            </w:r>
            <w:r w:rsidRPr="000E51FC">
              <w:rPr>
                <w:rFonts w:asciiTheme="minorEastAsia" w:eastAsiaTheme="minorEastAsia" w:hAnsiTheme="minorEastAsia" w:hint="eastAsia"/>
                <w:szCs w:val="21"/>
              </w:rPr>
              <w:t>……</w:t>
            </w: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六、申购和赎回的价格、费用及其用途</w:t>
            </w:r>
          </w:p>
          <w:p w:rsidR="00CD0DCB" w:rsidRPr="000E51FC"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1、</w:t>
            </w:r>
            <w:r w:rsidRPr="00202866">
              <w:rPr>
                <w:rFonts w:asciiTheme="minorEastAsia" w:eastAsiaTheme="minorEastAsia" w:hAnsiTheme="minorEastAsia" w:hint="eastAsia"/>
                <w:szCs w:val="21"/>
              </w:rPr>
              <w:t>本基金A类基金份额、C类基金份额和D类基金份额分别设置基金代码，并分别公布基金份额净值。本基金份额净值的计算，按四舍五入法保留到小数点后</w:t>
            </w:r>
            <w:r w:rsidRPr="007A6C8B">
              <w:rPr>
                <w:rFonts w:asciiTheme="minorEastAsia" w:eastAsiaTheme="minorEastAsia" w:hAnsiTheme="minorEastAsia"/>
                <w:b/>
                <w:bCs/>
                <w:szCs w:val="21"/>
                <w:u w:val="single"/>
              </w:rPr>
              <w:t>4</w:t>
            </w:r>
            <w:r w:rsidRPr="00202866">
              <w:rPr>
                <w:rFonts w:asciiTheme="minorEastAsia" w:eastAsiaTheme="minorEastAsia" w:hAnsiTheme="minorEastAsia" w:hint="eastAsia"/>
                <w:szCs w:val="21"/>
              </w:rPr>
              <w:t>位，小数点后第</w:t>
            </w:r>
            <w:r w:rsidRPr="007A6C8B">
              <w:rPr>
                <w:rFonts w:asciiTheme="minorEastAsia" w:eastAsiaTheme="minorEastAsia" w:hAnsiTheme="minorEastAsia"/>
                <w:b/>
                <w:bCs/>
                <w:szCs w:val="21"/>
                <w:u w:val="single"/>
              </w:rPr>
              <w:t>5</w:t>
            </w:r>
            <w:r w:rsidRPr="00202866">
              <w:rPr>
                <w:rFonts w:asciiTheme="minorEastAsia" w:eastAsiaTheme="minorEastAsia" w:hAnsiTheme="minorEastAsia" w:hint="eastAsia"/>
                <w:szCs w:val="21"/>
              </w:rPr>
              <w:t>位四舍五入，由此产生的收益或损失由基金财产承担。</w:t>
            </w:r>
            <w:r w:rsidRPr="000E51FC">
              <w:rPr>
                <w:rFonts w:asciiTheme="minorEastAsia" w:eastAsiaTheme="minorEastAsia" w:hAnsiTheme="minorEastAsia" w:hint="eastAsia"/>
                <w:szCs w:val="21"/>
              </w:rPr>
              <w:t>……</w:t>
            </w:r>
            <w:r w:rsidRPr="007A6C8B">
              <w:rPr>
                <w:rFonts w:asciiTheme="minorEastAsia" w:eastAsiaTheme="minorEastAsia" w:hAnsiTheme="minorEastAsia" w:hint="eastAsia"/>
                <w:b/>
                <w:bCs/>
                <w:szCs w:val="21"/>
                <w:u w:val="single"/>
              </w:rPr>
              <w:t>为避免基金份额持有人利益因基金份额净值的小数点保留精度受到不利影响，基金管理人可提高基金份额净值精度。</w:t>
            </w:r>
            <w:r w:rsidRPr="000E51FC">
              <w:rPr>
                <w:rFonts w:asciiTheme="minorEastAsia" w:eastAsiaTheme="minorEastAsia" w:hAnsiTheme="minorEastAsia" w:hint="eastAsia"/>
                <w:szCs w:val="21"/>
              </w:rPr>
              <w:t>……</w:t>
            </w:r>
          </w:p>
        </w:tc>
      </w:tr>
      <w:tr w:rsidR="00CD0DCB" w:rsidRPr="000E51FC" w:rsidTr="007A6C8B">
        <w:trPr>
          <w:jc w:val="center"/>
        </w:trPr>
        <w:tc>
          <w:tcPr>
            <w:tcW w:w="552" w:type="pct"/>
            <w:tcBorders>
              <w:top w:val="single" w:sz="4" w:space="0" w:color="000000"/>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0E51FC">
              <w:rPr>
                <w:rFonts w:asciiTheme="minorEastAsia" w:eastAsiaTheme="minorEastAsia" w:hAnsiTheme="minorEastAsia" w:hint="eastAsia"/>
                <w:b/>
                <w:bCs/>
                <w:szCs w:val="21"/>
              </w:rPr>
              <w:t>第七部分  基金合同当事人及权利义务</w:t>
            </w:r>
          </w:p>
        </w:tc>
        <w:tc>
          <w:tcPr>
            <w:tcW w:w="2224" w:type="pct"/>
            <w:tcBorders>
              <w:top w:val="single" w:sz="4" w:space="0" w:color="000000"/>
              <w:left w:val="single" w:sz="4" w:space="0" w:color="auto"/>
              <w:bottom w:val="single" w:sz="4" w:space="0" w:color="000000"/>
              <w:right w:val="single" w:sz="4" w:space="0" w:color="auto"/>
            </w:tcBorders>
          </w:tcPr>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二、基金托管人</w:t>
            </w:r>
          </w:p>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（一）</w:t>
            </w:r>
            <w:r w:rsidRPr="00202866">
              <w:rPr>
                <w:rFonts w:asciiTheme="minorEastAsia" w:eastAsiaTheme="minorEastAsia" w:hAnsiTheme="minorEastAsia" w:hint="eastAsia"/>
                <w:bCs/>
                <w:szCs w:val="21"/>
              </w:rPr>
              <w:tab/>
              <w:t>基金托管人简况</w:t>
            </w:r>
          </w:p>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名称：兴业银行股份有限公司</w:t>
            </w:r>
          </w:p>
          <w:p w:rsidR="00CD0DCB" w:rsidRPr="000E51FC"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住所：</w:t>
            </w:r>
            <w:r w:rsidRPr="007A6C8B">
              <w:rPr>
                <w:rFonts w:asciiTheme="minorEastAsia" w:eastAsiaTheme="minorEastAsia" w:hAnsiTheme="minorEastAsia" w:hint="eastAsia"/>
                <w:b/>
                <w:strike/>
                <w:szCs w:val="21"/>
              </w:rPr>
              <w:t>福州市湖东路</w:t>
            </w:r>
            <w:r w:rsidRPr="007A6C8B">
              <w:rPr>
                <w:rFonts w:asciiTheme="minorEastAsia" w:eastAsiaTheme="minorEastAsia" w:hAnsiTheme="minorEastAsia"/>
                <w:b/>
                <w:strike/>
                <w:szCs w:val="21"/>
              </w:rPr>
              <w:t>154号</w:t>
            </w:r>
          </w:p>
        </w:tc>
        <w:tc>
          <w:tcPr>
            <w:tcW w:w="2224" w:type="pct"/>
            <w:tcBorders>
              <w:top w:val="single" w:sz="4" w:space="0" w:color="000000"/>
              <w:left w:val="single" w:sz="4" w:space="0" w:color="auto"/>
              <w:bottom w:val="single" w:sz="4" w:space="0" w:color="000000"/>
              <w:right w:val="single" w:sz="4" w:space="0" w:color="auto"/>
            </w:tcBorders>
          </w:tcPr>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二、基金托管人</w:t>
            </w:r>
          </w:p>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（一）</w:t>
            </w:r>
            <w:r w:rsidRPr="00202866">
              <w:rPr>
                <w:rFonts w:asciiTheme="minorEastAsia" w:eastAsiaTheme="minorEastAsia" w:hAnsiTheme="minorEastAsia" w:hint="eastAsia"/>
                <w:bCs/>
                <w:szCs w:val="21"/>
              </w:rPr>
              <w:tab/>
              <w:t>基金托管人简况</w:t>
            </w:r>
          </w:p>
          <w:p w:rsidR="00CD0DCB" w:rsidRPr="00202866"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名称：兴业银行股份有限公司</w:t>
            </w:r>
          </w:p>
          <w:p w:rsidR="00CD0DCB" w:rsidRPr="000E51FC"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bCs/>
                <w:szCs w:val="21"/>
              </w:rPr>
              <w:t>住所：</w:t>
            </w:r>
            <w:r w:rsidRPr="007A6C8B">
              <w:rPr>
                <w:rFonts w:asciiTheme="minorEastAsia" w:eastAsiaTheme="minorEastAsia" w:hAnsiTheme="minorEastAsia" w:hint="eastAsia"/>
                <w:b/>
                <w:szCs w:val="21"/>
                <w:u w:val="single"/>
              </w:rPr>
              <w:t>福建省福州市台江区江滨中大道</w:t>
            </w:r>
            <w:r w:rsidRPr="007A6C8B">
              <w:rPr>
                <w:rFonts w:asciiTheme="minorEastAsia" w:eastAsiaTheme="minorEastAsia" w:hAnsiTheme="minorEastAsia"/>
                <w:b/>
                <w:szCs w:val="21"/>
                <w:u w:val="single"/>
              </w:rPr>
              <w:t>398号兴业银行大厦</w:t>
            </w:r>
          </w:p>
        </w:tc>
      </w:tr>
      <w:tr w:rsidR="00CD0DCB" w:rsidRPr="000E51FC" w:rsidTr="007A6C8B">
        <w:trPr>
          <w:jc w:val="center"/>
        </w:trPr>
        <w:tc>
          <w:tcPr>
            <w:tcW w:w="552" w:type="pct"/>
            <w:vMerge w:val="restart"/>
            <w:tcBorders>
              <w:top w:val="single" w:sz="4" w:space="0" w:color="000000"/>
              <w:left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0E51FC">
              <w:rPr>
                <w:rFonts w:asciiTheme="minorEastAsia" w:eastAsiaTheme="minorEastAsia" w:hAnsiTheme="minorEastAsia" w:hint="eastAsia"/>
                <w:b/>
                <w:bCs/>
                <w:szCs w:val="21"/>
              </w:rPr>
              <w:t>第十四部分  基金资产估值</w:t>
            </w: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bCs/>
                <w:szCs w:val="21"/>
              </w:rPr>
            </w:pPr>
            <w:r w:rsidRPr="000E51FC">
              <w:rPr>
                <w:rFonts w:asciiTheme="minorEastAsia" w:eastAsiaTheme="minorEastAsia" w:hAnsiTheme="minorEastAsia" w:hint="eastAsia"/>
                <w:bCs/>
                <w:szCs w:val="21"/>
              </w:rPr>
              <w:t>五、估值程序</w:t>
            </w:r>
          </w:p>
          <w:p w:rsidR="00CD0DCB" w:rsidRPr="000E51FC"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szCs w:val="21"/>
              </w:rPr>
              <w:t>1、各类基金份额净值是按照每个工作日闭市后，各类基金资产净值除以当日本类基金份额的余额数量计算，精确到0.001元，小数点后第</w:t>
            </w:r>
            <w:r w:rsidRPr="007A6C8B">
              <w:rPr>
                <w:rFonts w:asciiTheme="minorEastAsia" w:eastAsiaTheme="minorEastAsia" w:hAnsiTheme="minorEastAsia"/>
                <w:b/>
                <w:bCs/>
                <w:strike/>
                <w:szCs w:val="21"/>
              </w:rPr>
              <w:t>4</w:t>
            </w:r>
            <w:r w:rsidRPr="00202866">
              <w:rPr>
                <w:rFonts w:asciiTheme="minorEastAsia" w:eastAsiaTheme="minorEastAsia" w:hAnsiTheme="minorEastAsia" w:hint="eastAsia"/>
                <w:szCs w:val="21"/>
              </w:rPr>
              <w:t>位四舍五入。国家另有规定的，从其规定。</w:t>
            </w: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五、估值程序</w:t>
            </w:r>
          </w:p>
          <w:p w:rsidR="00CD0DCB" w:rsidRPr="000E51FC" w:rsidRDefault="00CD0DCB" w:rsidP="007A6C8B">
            <w:pPr>
              <w:contextualSpacing/>
              <w:rPr>
                <w:rFonts w:asciiTheme="minorEastAsia" w:eastAsiaTheme="minorEastAsia" w:hAnsiTheme="minorEastAsia"/>
                <w:szCs w:val="21"/>
              </w:rPr>
            </w:pPr>
            <w:r w:rsidRPr="00202866">
              <w:rPr>
                <w:rFonts w:asciiTheme="minorEastAsia" w:eastAsiaTheme="minorEastAsia" w:hAnsiTheme="minorEastAsia" w:hint="eastAsia"/>
                <w:szCs w:val="21"/>
              </w:rPr>
              <w:t>1、各类基金份额净值是按照每个工作日闭市后，各类基金资产净值除以当日本类基金份额的余额数量计算，精确到0.00</w:t>
            </w:r>
            <w:r w:rsidRPr="007A6C8B">
              <w:rPr>
                <w:rFonts w:asciiTheme="minorEastAsia" w:eastAsiaTheme="minorEastAsia" w:hAnsiTheme="minorEastAsia"/>
                <w:b/>
                <w:bCs/>
                <w:szCs w:val="21"/>
                <w:u w:val="single"/>
              </w:rPr>
              <w:t>0</w:t>
            </w:r>
            <w:r w:rsidRPr="00202866">
              <w:rPr>
                <w:rFonts w:asciiTheme="minorEastAsia" w:eastAsiaTheme="minorEastAsia" w:hAnsiTheme="minorEastAsia" w:hint="eastAsia"/>
                <w:szCs w:val="21"/>
              </w:rPr>
              <w:t>1元，小数点后第</w:t>
            </w:r>
            <w:r w:rsidRPr="007A6C8B">
              <w:rPr>
                <w:rFonts w:asciiTheme="minorEastAsia" w:eastAsiaTheme="minorEastAsia" w:hAnsiTheme="minorEastAsia"/>
                <w:b/>
                <w:bCs/>
                <w:szCs w:val="21"/>
                <w:u w:val="single"/>
              </w:rPr>
              <w:t>5</w:t>
            </w:r>
            <w:r w:rsidRPr="00202866">
              <w:rPr>
                <w:rFonts w:asciiTheme="minorEastAsia" w:eastAsiaTheme="minorEastAsia" w:hAnsiTheme="minorEastAsia" w:hint="eastAsia"/>
                <w:szCs w:val="21"/>
              </w:rPr>
              <w:t>位四舍五入。国家另有规定的，从其规定。</w:t>
            </w:r>
          </w:p>
        </w:tc>
      </w:tr>
      <w:tr w:rsidR="00CD0DCB" w:rsidRPr="000E51FC" w:rsidTr="007A6C8B">
        <w:trPr>
          <w:trHeight w:val="2189"/>
          <w:jc w:val="center"/>
        </w:trPr>
        <w:tc>
          <w:tcPr>
            <w:tcW w:w="552" w:type="pct"/>
            <w:vMerge/>
            <w:tcBorders>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bCs/>
                <w:szCs w:val="21"/>
              </w:rPr>
            </w:pPr>
            <w:r w:rsidRPr="000E51FC">
              <w:rPr>
                <w:rFonts w:asciiTheme="minorEastAsia" w:eastAsiaTheme="minorEastAsia" w:hAnsiTheme="minorEastAsia" w:hint="eastAsia"/>
                <w:bCs/>
                <w:szCs w:val="21"/>
              </w:rPr>
              <w:t>六、估值错误的处理</w:t>
            </w:r>
          </w:p>
          <w:p w:rsidR="00CD0DCB" w:rsidRPr="000E51FC" w:rsidRDefault="00CD0DCB" w:rsidP="007A6C8B">
            <w:pPr>
              <w:contextualSpacing/>
              <w:rPr>
                <w:rFonts w:asciiTheme="minorEastAsia" w:eastAsiaTheme="minorEastAsia" w:hAnsiTheme="minorEastAsia"/>
                <w:bCs/>
                <w:szCs w:val="21"/>
              </w:rPr>
            </w:pPr>
            <w:r w:rsidRPr="00202866">
              <w:rPr>
                <w:rFonts w:asciiTheme="minorEastAsia" w:eastAsiaTheme="minorEastAsia" w:hAnsiTheme="minorEastAsia" w:hint="eastAsia"/>
                <w:szCs w:val="21"/>
              </w:rPr>
              <w:t>基金管理人和基金托管人将采取必要、适当、合理的措施确保基金资产估值的准确性、及时性。当任一类基金份额的基金份额净值小数点后</w:t>
            </w:r>
            <w:r w:rsidRPr="007A6C8B">
              <w:rPr>
                <w:rFonts w:asciiTheme="minorEastAsia" w:eastAsiaTheme="minorEastAsia" w:hAnsiTheme="minorEastAsia"/>
                <w:b/>
                <w:bCs/>
                <w:strike/>
                <w:szCs w:val="21"/>
              </w:rPr>
              <w:t>3</w:t>
            </w:r>
            <w:r w:rsidRPr="00202866">
              <w:rPr>
                <w:rFonts w:asciiTheme="minorEastAsia" w:eastAsiaTheme="minorEastAsia" w:hAnsiTheme="minorEastAsia" w:hint="eastAsia"/>
                <w:szCs w:val="21"/>
              </w:rPr>
              <w:t>位以内(含第</w:t>
            </w:r>
            <w:r w:rsidRPr="007A6C8B">
              <w:rPr>
                <w:rFonts w:asciiTheme="minorEastAsia" w:eastAsiaTheme="minorEastAsia" w:hAnsiTheme="minorEastAsia"/>
                <w:b/>
                <w:bCs/>
                <w:strike/>
                <w:szCs w:val="21"/>
              </w:rPr>
              <w:t>3</w:t>
            </w:r>
            <w:r w:rsidRPr="00202866">
              <w:rPr>
                <w:rFonts w:asciiTheme="minorEastAsia" w:eastAsiaTheme="minorEastAsia" w:hAnsiTheme="minorEastAsia" w:hint="eastAsia"/>
                <w:szCs w:val="21"/>
              </w:rPr>
              <w:t>位)发生估值错误时，视为该类基金份额净值错误。</w:t>
            </w:r>
          </w:p>
        </w:tc>
        <w:tc>
          <w:tcPr>
            <w:tcW w:w="2224" w:type="pct"/>
            <w:tcBorders>
              <w:top w:val="single" w:sz="4" w:space="0" w:color="000000"/>
              <w:left w:val="single" w:sz="4" w:space="0" w:color="auto"/>
              <w:bottom w:val="single" w:sz="4" w:space="0" w:color="000000"/>
              <w:right w:val="single" w:sz="4" w:space="0" w:color="auto"/>
            </w:tcBorders>
          </w:tcPr>
          <w:p w:rsidR="00CD0DCB" w:rsidRPr="000E51FC"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六、估值错误的处理</w:t>
            </w:r>
          </w:p>
          <w:p w:rsidR="00CD0DCB" w:rsidRPr="000E51FC" w:rsidRDefault="00CD0DCB" w:rsidP="007A6C8B">
            <w:pPr>
              <w:contextualSpacing/>
              <w:rPr>
                <w:rFonts w:asciiTheme="minorEastAsia" w:eastAsiaTheme="minorEastAsia" w:hAnsiTheme="minorEastAsia"/>
                <w:szCs w:val="21"/>
              </w:rPr>
            </w:pPr>
            <w:r w:rsidRPr="00202866">
              <w:rPr>
                <w:rFonts w:asciiTheme="minorEastAsia" w:eastAsiaTheme="minorEastAsia" w:hAnsiTheme="minorEastAsia" w:hint="eastAsia"/>
                <w:szCs w:val="21"/>
              </w:rPr>
              <w:t>基金管理人和基金托管人将采取必要、适当、合理的措施确保基金资产估值的准确性、及时性。当任一类基金份额的基金份额净值小数点后</w:t>
            </w:r>
            <w:r w:rsidRPr="007A6C8B">
              <w:rPr>
                <w:rFonts w:asciiTheme="minorEastAsia" w:eastAsiaTheme="minorEastAsia" w:hAnsiTheme="minorEastAsia"/>
                <w:b/>
                <w:bCs/>
                <w:szCs w:val="21"/>
                <w:u w:val="single"/>
              </w:rPr>
              <w:t>4</w:t>
            </w:r>
            <w:r w:rsidRPr="00202866">
              <w:rPr>
                <w:rFonts w:asciiTheme="minorEastAsia" w:eastAsiaTheme="minorEastAsia" w:hAnsiTheme="minorEastAsia" w:hint="eastAsia"/>
                <w:szCs w:val="21"/>
              </w:rPr>
              <w:t>位以内(含第</w:t>
            </w:r>
            <w:r w:rsidRPr="007A6C8B">
              <w:rPr>
                <w:rFonts w:asciiTheme="minorEastAsia" w:eastAsiaTheme="minorEastAsia" w:hAnsiTheme="minorEastAsia"/>
                <w:b/>
                <w:bCs/>
                <w:szCs w:val="21"/>
                <w:u w:val="single"/>
              </w:rPr>
              <w:t>4</w:t>
            </w:r>
            <w:r w:rsidRPr="00202866">
              <w:rPr>
                <w:rFonts w:asciiTheme="minorEastAsia" w:eastAsiaTheme="minorEastAsia" w:hAnsiTheme="minorEastAsia" w:hint="eastAsia"/>
                <w:szCs w:val="21"/>
              </w:rPr>
              <w:t>位)发生估值错误时，视为该类基金份额净值错误。</w:t>
            </w:r>
          </w:p>
        </w:tc>
      </w:tr>
    </w:tbl>
    <w:p w:rsidR="004739C1" w:rsidRDefault="004739C1" w:rsidP="000E51FC">
      <w:pPr>
        <w:spacing w:line="360" w:lineRule="auto"/>
        <w:ind w:firstLineChars="257" w:firstLine="540"/>
        <w:jc w:val="left"/>
      </w:pPr>
    </w:p>
    <w:p w:rsidR="000E51FC" w:rsidRPr="00DB6E54" w:rsidRDefault="004739C1" w:rsidP="000E51FC">
      <w:pPr>
        <w:spacing w:line="360" w:lineRule="auto"/>
        <w:ind w:firstLineChars="257" w:firstLine="542"/>
        <w:jc w:val="left"/>
        <w:rPr>
          <w:b/>
        </w:rPr>
      </w:pPr>
      <w:r w:rsidRPr="00DB6E54">
        <w:rPr>
          <w:rFonts w:hint="eastAsia"/>
          <w:b/>
        </w:rPr>
        <w:t>招商双债增强债券型证券投资基金（</w:t>
      </w:r>
      <w:r w:rsidRPr="00DB6E54">
        <w:rPr>
          <w:b/>
        </w:rPr>
        <w:t>LOF</w:t>
      </w:r>
      <w:r w:rsidRPr="00DB6E54">
        <w:rPr>
          <w:rFonts w:hint="eastAsia"/>
          <w:b/>
        </w:rPr>
        <w:t>）基金合同修订前后文对照表</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6"/>
        <w:gridCol w:w="3851"/>
        <w:gridCol w:w="3851"/>
      </w:tblGrid>
      <w:tr w:rsidR="00CD0DCB" w:rsidRPr="000E51FC" w:rsidTr="007A6C8B">
        <w:trPr>
          <w:trHeight w:val="567"/>
          <w:jc w:val="center"/>
        </w:trPr>
        <w:tc>
          <w:tcPr>
            <w:tcW w:w="552" w:type="pct"/>
            <w:tcBorders>
              <w:top w:val="single" w:sz="4" w:space="0" w:color="000000"/>
              <w:left w:val="single" w:sz="4" w:space="0" w:color="000000"/>
              <w:bottom w:val="single" w:sz="4" w:space="0" w:color="000000"/>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b/>
                <w:bCs/>
                <w:szCs w:val="21"/>
              </w:rPr>
              <w:t>章节</w:t>
            </w:r>
          </w:p>
        </w:tc>
        <w:tc>
          <w:tcPr>
            <w:tcW w:w="2224" w:type="pct"/>
            <w:tcBorders>
              <w:top w:val="single" w:sz="4" w:space="0" w:color="000000"/>
              <w:left w:val="single" w:sz="4" w:space="0" w:color="auto"/>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原文条款内容</w:t>
            </w:r>
          </w:p>
        </w:tc>
        <w:tc>
          <w:tcPr>
            <w:tcW w:w="2224" w:type="pct"/>
            <w:tcBorders>
              <w:top w:val="single" w:sz="4" w:space="0" w:color="000000"/>
              <w:left w:val="single" w:sz="4" w:space="0" w:color="auto"/>
              <w:right w:val="single" w:sz="4" w:space="0" w:color="auto"/>
            </w:tcBorders>
            <w:vAlign w:val="center"/>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修订后条款内容</w:t>
            </w:r>
          </w:p>
        </w:tc>
      </w:tr>
      <w:tr w:rsidR="00CD0DCB" w:rsidRPr="000E51FC" w:rsidTr="007A6C8B">
        <w:trPr>
          <w:jc w:val="center"/>
        </w:trPr>
        <w:tc>
          <w:tcPr>
            <w:tcW w:w="552" w:type="pct"/>
            <w:tcBorders>
              <w:top w:val="single" w:sz="4" w:space="0" w:color="000000"/>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846288">
              <w:rPr>
                <w:rFonts w:asciiTheme="minorEastAsia" w:eastAsiaTheme="minorEastAsia" w:hAnsiTheme="minorEastAsia" w:hint="eastAsia"/>
                <w:b/>
                <w:bCs/>
                <w:szCs w:val="21"/>
              </w:rPr>
              <w:t>第八部分  基金份额的申购与赎回</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二、基金合同生效后2年期届满并完成转换后的申购与赎回</w:t>
            </w:r>
          </w:p>
          <w:p w:rsidR="00CD0DCB"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（六）申购和赎回的价格、费用及其用途</w:t>
            </w:r>
          </w:p>
          <w:p w:rsidR="00CD0DCB" w:rsidRPr="000E51FC"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1、本基金各类基金份额分别设置代码，分别计算和公告各类基金份额净值和各类基金份额累计净值。本基金各类基金份额净值的计算，保留到小数点后</w:t>
            </w:r>
            <w:r w:rsidRPr="007A6C8B">
              <w:rPr>
                <w:rFonts w:asciiTheme="minorEastAsia" w:eastAsiaTheme="minorEastAsia" w:hAnsiTheme="minorEastAsia"/>
                <w:b/>
                <w:strike/>
                <w:szCs w:val="21"/>
              </w:rPr>
              <w:t>3</w:t>
            </w:r>
            <w:r w:rsidRPr="00846288">
              <w:rPr>
                <w:rFonts w:asciiTheme="minorEastAsia" w:eastAsiaTheme="minorEastAsia" w:hAnsiTheme="minorEastAsia" w:hint="eastAsia"/>
                <w:bCs/>
                <w:szCs w:val="21"/>
              </w:rPr>
              <w:t>位，小数点后第</w:t>
            </w:r>
            <w:r w:rsidRPr="007A6C8B">
              <w:rPr>
                <w:rFonts w:asciiTheme="minorEastAsia" w:eastAsiaTheme="minorEastAsia" w:hAnsiTheme="minorEastAsia"/>
                <w:b/>
                <w:strike/>
                <w:szCs w:val="21"/>
              </w:rPr>
              <w:t>4</w:t>
            </w:r>
            <w:r w:rsidRPr="00846288">
              <w:rPr>
                <w:rFonts w:asciiTheme="minorEastAsia" w:eastAsiaTheme="minorEastAsia" w:hAnsiTheme="minorEastAsia" w:hint="eastAsia"/>
                <w:bCs/>
                <w:szCs w:val="21"/>
              </w:rPr>
              <w:t>位四舍五入，由此产生的收益或损失由基金财产承担。</w:t>
            </w:r>
            <w:r w:rsidRPr="000E51FC">
              <w:rPr>
                <w:rFonts w:asciiTheme="minorEastAsia" w:eastAsiaTheme="minorEastAsia" w:hAnsiTheme="minorEastAsia" w:hint="eastAsia"/>
                <w:szCs w:val="21"/>
              </w:rPr>
              <w:t>……</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二、基金合同生效后2年期届满并完成转换后的申购与赎回</w:t>
            </w:r>
          </w:p>
          <w:p w:rsidR="00CD0DCB"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（六）申购和赎回的价格、费用及其用途</w:t>
            </w:r>
          </w:p>
          <w:p w:rsidR="00CD0DCB" w:rsidRPr="000E51FC"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bCs/>
                <w:szCs w:val="21"/>
              </w:rPr>
              <w:t>1、本基金各类基金份额分别设置代码，分别计算和公告各类基金份额净值和各类基金份额累计净值。本基金各类基金份额净值的计算，保留到小数点后</w:t>
            </w:r>
            <w:r w:rsidRPr="007A6C8B">
              <w:rPr>
                <w:rFonts w:asciiTheme="minorEastAsia" w:eastAsiaTheme="minorEastAsia" w:hAnsiTheme="minorEastAsia"/>
                <w:b/>
                <w:szCs w:val="21"/>
                <w:u w:val="single"/>
              </w:rPr>
              <w:t>4</w:t>
            </w:r>
            <w:r w:rsidRPr="00846288">
              <w:rPr>
                <w:rFonts w:asciiTheme="minorEastAsia" w:eastAsiaTheme="minorEastAsia" w:hAnsiTheme="minorEastAsia" w:hint="eastAsia"/>
                <w:bCs/>
                <w:szCs w:val="21"/>
              </w:rPr>
              <w:t>位，小数点后第</w:t>
            </w:r>
            <w:r w:rsidRPr="007A6C8B">
              <w:rPr>
                <w:rFonts w:asciiTheme="minorEastAsia" w:eastAsiaTheme="minorEastAsia" w:hAnsiTheme="minorEastAsia"/>
                <w:b/>
                <w:szCs w:val="21"/>
                <w:u w:val="single"/>
              </w:rPr>
              <w:t>5</w:t>
            </w:r>
            <w:r w:rsidRPr="00846288">
              <w:rPr>
                <w:rFonts w:asciiTheme="minorEastAsia" w:eastAsiaTheme="minorEastAsia" w:hAnsiTheme="minorEastAsia" w:hint="eastAsia"/>
                <w:bCs/>
                <w:szCs w:val="21"/>
              </w:rPr>
              <w:t>位四舍五入，由此产生的收益或损失由基金财产承担。</w:t>
            </w:r>
            <w:r w:rsidRPr="000E51FC">
              <w:rPr>
                <w:rFonts w:asciiTheme="minorEastAsia" w:eastAsiaTheme="minorEastAsia" w:hAnsiTheme="minorEastAsia" w:hint="eastAsia"/>
                <w:szCs w:val="21"/>
              </w:rPr>
              <w:t>……</w:t>
            </w:r>
            <w:r w:rsidRPr="007A6C8B">
              <w:rPr>
                <w:rFonts w:asciiTheme="minorEastAsia" w:eastAsiaTheme="minorEastAsia" w:hAnsiTheme="minorEastAsia" w:hint="eastAsia"/>
                <w:b/>
                <w:bCs/>
                <w:szCs w:val="21"/>
                <w:u w:val="single"/>
              </w:rPr>
              <w:t>为避免基金份额持有人利益因基金份额净值的小数点保留精度受到不利影响，基金管理人可提高基金份额净值精度。</w:t>
            </w:r>
          </w:p>
        </w:tc>
      </w:tr>
      <w:tr w:rsidR="00CD0DCB" w:rsidRPr="000E51FC" w:rsidTr="007A6C8B">
        <w:trPr>
          <w:jc w:val="center"/>
        </w:trPr>
        <w:tc>
          <w:tcPr>
            <w:tcW w:w="552" w:type="pct"/>
            <w:vMerge w:val="restart"/>
            <w:tcBorders>
              <w:top w:val="single" w:sz="4" w:space="0" w:color="000000"/>
              <w:left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846288">
              <w:rPr>
                <w:rFonts w:asciiTheme="minorEastAsia" w:eastAsiaTheme="minorEastAsia" w:hAnsiTheme="minorEastAsia" w:hint="eastAsia"/>
                <w:b/>
                <w:bCs/>
                <w:szCs w:val="21"/>
              </w:rPr>
              <w:t>第十八部分  基金资产估值</w:t>
            </w:r>
          </w:p>
        </w:tc>
        <w:tc>
          <w:tcPr>
            <w:tcW w:w="2224" w:type="pct"/>
            <w:tcBorders>
              <w:top w:val="single" w:sz="4" w:space="0" w:color="000000"/>
              <w:left w:val="single" w:sz="4" w:space="0" w:color="auto"/>
              <w:bottom w:val="single" w:sz="4" w:space="0" w:color="000000"/>
              <w:right w:val="single" w:sz="4" w:space="0" w:color="auto"/>
            </w:tcBorders>
          </w:tcPr>
          <w:p w:rsidR="00CD0DCB" w:rsidRPr="00846288"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四、估值程序</w:t>
            </w:r>
          </w:p>
          <w:p w:rsidR="00CD0DCB" w:rsidRPr="000E51FC"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1、各类基金份额净值是按照每个工作日闭市后，各类基金资产净值除以当日该类基金份额的余额数量计算，精确到0.001元，小数点后第</w:t>
            </w:r>
            <w:r w:rsidRPr="007A6C8B">
              <w:rPr>
                <w:rFonts w:asciiTheme="minorEastAsia" w:eastAsiaTheme="minorEastAsia" w:hAnsiTheme="minorEastAsia"/>
                <w:b/>
                <w:strike/>
                <w:szCs w:val="21"/>
              </w:rPr>
              <w:t>4</w:t>
            </w:r>
            <w:r w:rsidRPr="00846288">
              <w:rPr>
                <w:rFonts w:asciiTheme="minorEastAsia" w:eastAsiaTheme="minorEastAsia" w:hAnsiTheme="minorEastAsia" w:hint="eastAsia"/>
                <w:bCs/>
                <w:szCs w:val="21"/>
              </w:rPr>
              <w:t>位四舍五入。国家另有规定的，从其规定。</w:t>
            </w:r>
          </w:p>
        </w:tc>
        <w:tc>
          <w:tcPr>
            <w:tcW w:w="2224" w:type="pct"/>
            <w:tcBorders>
              <w:top w:val="single" w:sz="4" w:space="0" w:color="000000"/>
              <w:left w:val="single" w:sz="4" w:space="0" w:color="auto"/>
              <w:bottom w:val="single" w:sz="4" w:space="0" w:color="000000"/>
              <w:right w:val="single" w:sz="4" w:space="0" w:color="auto"/>
            </w:tcBorders>
          </w:tcPr>
          <w:p w:rsidR="00CD0DCB" w:rsidRPr="00846288"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四、估值程序</w:t>
            </w:r>
          </w:p>
          <w:p w:rsidR="00CD0DCB" w:rsidRPr="000E51FC"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1、各类基金份额净值是按照每个工作日闭市后，各类基金资产净值除以当日该类基金份额的余额数量计算，精确到0.00</w:t>
            </w:r>
            <w:r w:rsidRPr="007A6C8B">
              <w:rPr>
                <w:rFonts w:asciiTheme="minorEastAsia" w:eastAsiaTheme="minorEastAsia" w:hAnsiTheme="minorEastAsia"/>
                <w:b/>
                <w:bCs/>
                <w:szCs w:val="21"/>
                <w:u w:val="single"/>
              </w:rPr>
              <w:t>0</w:t>
            </w:r>
            <w:r w:rsidRPr="00846288">
              <w:rPr>
                <w:rFonts w:asciiTheme="minorEastAsia" w:eastAsiaTheme="minorEastAsia" w:hAnsiTheme="minorEastAsia" w:hint="eastAsia"/>
                <w:szCs w:val="21"/>
              </w:rPr>
              <w:t>1元，小数点后第</w:t>
            </w:r>
            <w:r w:rsidRPr="007A6C8B">
              <w:rPr>
                <w:rFonts w:asciiTheme="minorEastAsia" w:eastAsiaTheme="minorEastAsia" w:hAnsiTheme="minorEastAsia"/>
                <w:b/>
                <w:bCs/>
                <w:szCs w:val="21"/>
                <w:u w:val="single"/>
              </w:rPr>
              <w:t>5</w:t>
            </w:r>
            <w:r w:rsidRPr="00846288">
              <w:rPr>
                <w:rFonts w:asciiTheme="minorEastAsia" w:eastAsiaTheme="minorEastAsia" w:hAnsiTheme="minorEastAsia" w:hint="eastAsia"/>
                <w:szCs w:val="21"/>
              </w:rPr>
              <w:t>位四舍五入。国家另有规定的，从其规定。</w:t>
            </w:r>
          </w:p>
        </w:tc>
      </w:tr>
      <w:tr w:rsidR="00CD0DCB" w:rsidRPr="000E51FC" w:rsidTr="00DB6E54">
        <w:trPr>
          <w:trHeight w:val="1932"/>
          <w:jc w:val="center"/>
        </w:trPr>
        <w:tc>
          <w:tcPr>
            <w:tcW w:w="552" w:type="pct"/>
            <w:vMerge/>
            <w:tcBorders>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p>
        </w:tc>
        <w:tc>
          <w:tcPr>
            <w:tcW w:w="2224" w:type="pct"/>
            <w:tcBorders>
              <w:top w:val="single" w:sz="4" w:space="0" w:color="000000"/>
              <w:left w:val="single" w:sz="4" w:space="0" w:color="auto"/>
              <w:bottom w:val="single" w:sz="4" w:space="0" w:color="000000"/>
              <w:right w:val="single" w:sz="4" w:space="0" w:color="auto"/>
            </w:tcBorders>
          </w:tcPr>
          <w:p w:rsidR="00CD0DCB" w:rsidRPr="00846288"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五、估值错误的处理</w:t>
            </w:r>
          </w:p>
          <w:p w:rsidR="00CD0DCB" w:rsidRPr="000E51FC" w:rsidRDefault="00CD0DCB" w:rsidP="007A6C8B">
            <w:pPr>
              <w:contextualSpacing/>
              <w:rPr>
                <w:rFonts w:asciiTheme="minorEastAsia" w:eastAsiaTheme="minorEastAsia" w:hAnsiTheme="minorEastAsia"/>
                <w:bCs/>
                <w:szCs w:val="21"/>
              </w:rPr>
            </w:pPr>
            <w:r w:rsidRPr="00846288">
              <w:rPr>
                <w:rFonts w:asciiTheme="minorEastAsia" w:eastAsiaTheme="minorEastAsia" w:hAnsiTheme="minorEastAsia" w:hint="eastAsia"/>
                <w:bCs/>
                <w:szCs w:val="21"/>
              </w:rPr>
              <w:t>基金管理人和基金托管人将采取必要、适当、合理的措施确保基金资产估值的准确性、及时性。当任一类基金份额净值小数点后</w:t>
            </w:r>
            <w:r w:rsidRPr="007A6C8B">
              <w:rPr>
                <w:rFonts w:asciiTheme="minorEastAsia" w:eastAsiaTheme="minorEastAsia" w:hAnsiTheme="minorEastAsia"/>
                <w:b/>
                <w:strike/>
                <w:szCs w:val="21"/>
              </w:rPr>
              <w:t>3</w:t>
            </w:r>
            <w:r w:rsidRPr="00846288">
              <w:rPr>
                <w:rFonts w:asciiTheme="minorEastAsia" w:eastAsiaTheme="minorEastAsia" w:hAnsiTheme="minorEastAsia" w:hint="eastAsia"/>
                <w:bCs/>
                <w:szCs w:val="21"/>
              </w:rPr>
              <w:t>位以内（含第</w:t>
            </w:r>
            <w:r w:rsidRPr="007A6C8B">
              <w:rPr>
                <w:rFonts w:asciiTheme="minorEastAsia" w:eastAsiaTheme="minorEastAsia" w:hAnsiTheme="minorEastAsia"/>
                <w:b/>
                <w:strike/>
                <w:szCs w:val="21"/>
              </w:rPr>
              <w:t>3</w:t>
            </w:r>
            <w:r w:rsidRPr="00846288">
              <w:rPr>
                <w:rFonts w:asciiTheme="minorEastAsia" w:eastAsiaTheme="minorEastAsia" w:hAnsiTheme="minorEastAsia" w:hint="eastAsia"/>
                <w:bCs/>
                <w:szCs w:val="21"/>
              </w:rPr>
              <w:t>位）发生估值错误时，视为基金份额净值错误。</w:t>
            </w:r>
          </w:p>
        </w:tc>
        <w:tc>
          <w:tcPr>
            <w:tcW w:w="2224" w:type="pct"/>
            <w:tcBorders>
              <w:top w:val="single" w:sz="4" w:space="0" w:color="000000"/>
              <w:left w:val="single" w:sz="4" w:space="0" w:color="auto"/>
              <w:bottom w:val="single" w:sz="4" w:space="0" w:color="000000"/>
              <w:right w:val="single" w:sz="4" w:space="0" w:color="auto"/>
            </w:tcBorders>
          </w:tcPr>
          <w:p w:rsidR="00CD0DCB" w:rsidRPr="00846288"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五、估值错误的处理</w:t>
            </w:r>
          </w:p>
          <w:p w:rsidR="00CD0DCB" w:rsidRPr="000E51FC"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基金管理人和基金托管人将采取必要、适当、合理的措施确保基金资产估值的准确性、及时性。当任一类基金份额净值小数点后</w:t>
            </w:r>
            <w:r w:rsidRPr="007A6C8B">
              <w:rPr>
                <w:rFonts w:asciiTheme="minorEastAsia" w:eastAsiaTheme="minorEastAsia" w:hAnsiTheme="minorEastAsia"/>
                <w:b/>
                <w:bCs/>
                <w:szCs w:val="21"/>
                <w:u w:val="single"/>
              </w:rPr>
              <w:t>4</w:t>
            </w:r>
            <w:r w:rsidRPr="00846288">
              <w:rPr>
                <w:rFonts w:asciiTheme="minorEastAsia" w:eastAsiaTheme="minorEastAsia" w:hAnsiTheme="minorEastAsia" w:hint="eastAsia"/>
                <w:szCs w:val="21"/>
              </w:rPr>
              <w:t>位以内（含第</w:t>
            </w:r>
            <w:r w:rsidRPr="007A6C8B">
              <w:rPr>
                <w:rFonts w:asciiTheme="minorEastAsia" w:eastAsiaTheme="minorEastAsia" w:hAnsiTheme="minorEastAsia"/>
                <w:b/>
                <w:bCs/>
                <w:szCs w:val="21"/>
                <w:u w:val="single"/>
              </w:rPr>
              <w:t>4</w:t>
            </w:r>
            <w:r w:rsidRPr="00846288">
              <w:rPr>
                <w:rFonts w:asciiTheme="minorEastAsia" w:eastAsiaTheme="minorEastAsia" w:hAnsiTheme="minorEastAsia" w:hint="eastAsia"/>
                <w:szCs w:val="21"/>
              </w:rPr>
              <w:t>位）发生估值错误时，视为基金份额净值错误。</w:t>
            </w:r>
          </w:p>
        </w:tc>
      </w:tr>
    </w:tbl>
    <w:p w:rsidR="004739C1" w:rsidRPr="00CD0DCB" w:rsidRDefault="004739C1" w:rsidP="00DB6E54">
      <w:pPr>
        <w:spacing w:line="360" w:lineRule="auto"/>
        <w:jc w:val="left"/>
      </w:pPr>
    </w:p>
    <w:p w:rsidR="004739C1" w:rsidRPr="00DB6E54" w:rsidRDefault="004739C1" w:rsidP="000E51FC">
      <w:pPr>
        <w:spacing w:line="360" w:lineRule="auto"/>
        <w:ind w:firstLineChars="257" w:firstLine="542"/>
        <w:jc w:val="left"/>
        <w:rPr>
          <w:b/>
        </w:rPr>
      </w:pPr>
      <w:r w:rsidRPr="00DB6E54">
        <w:rPr>
          <w:rFonts w:hint="eastAsia"/>
          <w:b/>
        </w:rPr>
        <w:t>招商产业债券型证券投资基金基金合同修订前后文对照表</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6"/>
        <w:gridCol w:w="3851"/>
        <w:gridCol w:w="3851"/>
      </w:tblGrid>
      <w:tr w:rsidR="00CD0DCB" w:rsidRPr="000E51FC" w:rsidTr="007A6C8B">
        <w:trPr>
          <w:trHeight w:val="567"/>
          <w:jc w:val="center"/>
        </w:trPr>
        <w:tc>
          <w:tcPr>
            <w:tcW w:w="552" w:type="pct"/>
            <w:tcBorders>
              <w:top w:val="single" w:sz="4" w:space="0" w:color="000000"/>
              <w:left w:val="single" w:sz="4" w:space="0" w:color="000000"/>
              <w:bottom w:val="single" w:sz="4" w:space="0" w:color="000000"/>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b/>
                <w:bCs/>
                <w:szCs w:val="21"/>
              </w:rPr>
              <w:t>章节</w:t>
            </w:r>
          </w:p>
        </w:tc>
        <w:tc>
          <w:tcPr>
            <w:tcW w:w="2224" w:type="pct"/>
            <w:tcBorders>
              <w:top w:val="single" w:sz="4" w:space="0" w:color="000000"/>
              <w:left w:val="single" w:sz="4" w:space="0" w:color="auto"/>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原文条款内容</w:t>
            </w:r>
          </w:p>
        </w:tc>
        <w:tc>
          <w:tcPr>
            <w:tcW w:w="2224" w:type="pct"/>
            <w:tcBorders>
              <w:top w:val="single" w:sz="4" w:space="0" w:color="000000"/>
              <w:left w:val="single" w:sz="4" w:space="0" w:color="auto"/>
              <w:right w:val="single" w:sz="4" w:space="0" w:color="auto"/>
            </w:tcBorders>
            <w:vAlign w:val="center"/>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修订后条款内容</w:t>
            </w:r>
          </w:p>
        </w:tc>
      </w:tr>
      <w:tr w:rsidR="00CD0DCB" w:rsidRPr="000E51FC" w:rsidTr="007A6C8B">
        <w:trPr>
          <w:jc w:val="center"/>
        </w:trPr>
        <w:tc>
          <w:tcPr>
            <w:tcW w:w="552" w:type="pct"/>
            <w:tcBorders>
              <w:top w:val="single" w:sz="4" w:space="0" w:color="000000"/>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846288">
              <w:rPr>
                <w:rFonts w:asciiTheme="minorEastAsia" w:eastAsiaTheme="minorEastAsia" w:hAnsiTheme="minorEastAsia" w:hint="eastAsia"/>
                <w:b/>
                <w:bCs/>
                <w:szCs w:val="21"/>
              </w:rPr>
              <w:t>第五部分  基金份额的申购与赎回</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七、申购份额与赎回金额的计算</w:t>
            </w:r>
          </w:p>
          <w:p w:rsidR="00CD0DCB" w:rsidRDefault="00CD0DCB" w:rsidP="007A6C8B">
            <w:pPr>
              <w:contextualSpacing/>
              <w:rPr>
                <w:rFonts w:asciiTheme="minorEastAsia" w:eastAsiaTheme="minorEastAsia" w:hAnsiTheme="minorEastAsia"/>
                <w:szCs w:val="21"/>
              </w:rPr>
            </w:pPr>
            <w:r w:rsidRPr="00C54D5C">
              <w:rPr>
                <w:rFonts w:asciiTheme="minorEastAsia" w:eastAsiaTheme="minorEastAsia" w:hAnsiTheme="minorEastAsia" w:hint="eastAsia"/>
                <w:szCs w:val="21"/>
              </w:rPr>
              <w:t>3、本基金基金份额净值的计算：</w:t>
            </w:r>
          </w:p>
          <w:p w:rsidR="00CD0DCB" w:rsidRPr="000E51FC" w:rsidRDefault="00CD0DCB" w:rsidP="007A6C8B">
            <w:pPr>
              <w:contextualSpacing/>
              <w:rPr>
                <w:rFonts w:asciiTheme="minorEastAsia" w:eastAsiaTheme="minorEastAsia" w:hAnsiTheme="minorEastAsia"/>
                <w:bCs/>
                <w:szCs w:val="21"/>
              </w:rPr>
            </w:pPr>
            <w:r w:rsidRPr="000E51FC">
              <w:rPr>
                <w:rFonts w:asciiTheme="minorEastAsia" w:eastAsiaTheme="minorEastAsia" w:hAnsiTheme="minorEastAsia" w:hint="eastAsia"/>
                <w:szCs w:val="21"/>
              </w:rPr>
              <w:t>……</w:t>
            </w:r>
            <w:r w:rsidRPr="00846288">
              <w:rPr>
                <w:rFonts w:asciiTheme="minorEastAsia" w:eastAsiaTheme="minorEastAsia" w:hAnsiTheme="minorEastAsia" w:hint="eastAsia"/>
                <w:szCs w:val="21"/>
              </w:rPr>
              <w:t>本基金各类基金份额净值的计算，均保留到小数点后</w:t>
            </w:r>
            <w:r w:rsidRPr="007A6C8B">
              <w:rPr>
                <w:rFonts w:asciiTheme="minorEastAsia" w:eastAsiaTheme="minorEastAsia" w:hAnsiTheme="minorEastAsia"/>
                <w:b/>
                <w:bCs/>
                <w:strike/>
                <w:szCs w:val="21"/>
              </w:rPr>
              <w:t>3</w:t>
            </w:r>
            <w:r w:rsidRPr="00846288">
              <w:rPr>
                <w:rFonts w:asciiTheme="minorEastAsia" w:eastAsiaTheme="minorEastAsia" w:hAnsiTheme="minorEastAsia" w:hint="eastAsia"/>
                <w:szCs w:val="21"/>
              </w:rPr>
              <w:t>位，小数点后第</w:t>
            </w:r>
            <w:r w:rsidRPr="007A6C8B">
              <w:rPr>
                <w:rFonts w:asciiTheme="minorEastAsia" w:eastAsiaTheme="minorEastAsia" w:hAnsiTheme="minorEastAsia"/>
                <w:b/>
                <w:bCs/>
                <w:strike/>
                <w:szCs w:val="21"/>
              </w:rPr>
              <w:t>4</w:t>
            </w:r>
            <w:r w:rsidRPr="00846288">
              <w:rPr>
                <w:rFonts w:asciiTheme="minorEastAsia" w:eastAsiaTheme="minorEastAsia" w:hAnsiTheme="minorEastAsia" w:hint="eastAsia"/>
                <w:szCs w:val="21"/>
              </w:rPr>
              <w:t>位四舍五入，由此产生的误差计入基金财产。</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szCs w:val="21"/>
              </w:rPr>
            </w:pPr>
            <w:r w:rsidRPr="00846288">
              <w:rPr>
                <w:rFonts w:asciiTheme="minorEastAsia" w:eastAsiaTheme="minorEastAsia" w:hAnsiTheme="minorEastAsia" w:hint="eastAsia"/>
                <w:szCs w:val="21"/>
              </w:rPr>
              <w:t>七、申购份额与赎回金额的计算</w:t>
            </w:r>
          </w:p>
          <w:p w:rsidR="00CD0DCB" w:rsidRDefault="00CD0DCB" w:rsidP="007A6C8B">
            <w:pPr>
              <w:contextualSpacing/>
              <w:rPr>
                <w:rFonts w:asciiTheme="minorEastAsia" w:eastAsiaTheme="minorEastAsia" w:hAnsiTheme="minorEastAsia"/>
                <w:szCs w:val="21"/>
              </w:rPr>
            </w:pPr>
            <w:r w:rsidRPr="00C54D5C">
              <w:rPr>
                <w:rFonts w:asciiTheme="minorEastAsia" w:eastAsiaTheme="minorEastAsia" w:hAnsiTheme="minorEastAsia" w:hint="eastAsia"/>
                <w:szCs w:val="21"/>
              </w:rPr>
              <w:t>3、本基金基金份额净值的计算：</w:t>
            </w:r>
          </w:p>
          <w:p w:rsidR="00CD0DCB" w:rsidRPr="000E51FC"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w:t>
            </w:r>
            <w:r w:rsidRPr="00846288">
              <w:rPr>
                <w:rFonts w:asciiTheme="minorEastAsia" w:eastAsiaTheme="minorEastAsia" w:hAnsiTheme="minorEastAsia" w:hint="eastAsia"/>
                <w:szCs w:val="21"/>
              </w:rPr>
              <w:t>本基金各类基金份额净值的计算，均保留到小数点后</w:t>
            </w:r>
            <w:r w:rsidRPr="007A6C8B">
              <w:rPr>
                <w:rFonts w:asciiTheme="minorEastAsia" w:eastAsiaTheme="minorEastAsia" w:hAnsiTheme="minorEastAsia"/>
                <w:b/>
                <w:bCs/>
                <w:szCs w:val="21"/>
                <w:u w:val="single"/>
              </w:rPr>
              <w:t>4</w:t>
            </w:r>
            <w:r w:rsidRPr="00846288">
              <w:rPr>
                <w:rFonts w:asciiTheme="minorEastAsia" w:eastAsiaTheme="minorEastAsia" w:hAnsiTheme="minorEastAsia" w:hint="eastAsia"/>
                <w:szCs w:val="21"/>
              </w:rPr>
              <w:t>位，小数点后第</w:t>
            </w:r>
            <w:r w:rsidRPr="007A6C8B">
              <w:rPr>
                <w:rFonts w:asciiTheme="minorEastAsia" w:eastAsiaTheme="minorEastAsia" w:hAnsiTheme="minorEastAsia"/>
                <w:b/>
                <w:bCs/>
                <w:szCs w:val="21"/>
                <w:u w:val="single"/>
              </w:rPr>
              <w:t>5</w:t>
            </w:r>
            <w:r w:rsidRPr="00846288">
              <w:rPr>
                <w:rFonts w:asciiTheme="minorEastAsia" w:eastAsiaTheme="minorEastAsia" w:hAnsiTheme="minorEastAsia" w:hint="eastAsia"/>
                <w:szCs w:val="21"/>
              </w:rPr>
              <w:t>位四舍五入，由此产生的误差计入基金财产。</w:t>
            </w:r>
            <w:r w:rsidRPr="007A6C8B">
              <w:rPr>
                <w:rFonts w:asciiTheme="minorEastAsia" w:eastAsiaTheme="minorEastAsia" w:hAnsiTheme="minorEastAsia" w:hint="eastAsia"/>
                <w:b/>
                <w:bCs/>
                <w:szCs w:val="21"/>
                <w:u w:val="single"/>
              </w:rPr>
              <w:t>为避免基金份额持有人利益因基金份额净值的小数点保留精度受到不利影响，基金管理人可提高基金份额净值精度。</w:t>
            </w:r>
          </w:p>
        </w:tc>
      </w:tr>
      <w:tr w:rsidR="00CD0DCB" w:rsidRPr="000E51FC" w:rsidTr="007A6C8B">
        <w:trPr>
          <w:jc w:val="center"/>
        </w:trPr>
        <w:tc>
          <w:tcPr>
            <w:tcW w:w="552" w:type="pct"/>
            <w:vMerge w:val="restart"/>
            <w:tcBorders>
              <w:top w:val="single" w:sz="4" w:space="0" w:color="000000"/>
              <w:left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846288">
              <w:rPr>
                <w:rFonts w:asciiTheme="minorEastAsia" w:eastAsiaTheme="minorEastAsia" w:hAnsiTheme="minorEastAsia" w:hint="eastAsia"/>
                <w:b/>
                <w:bCs/>
                <w:szCs w:val="21"/>
              </w:rPr>
              <w:t>第六部分  基金合同当事人及权利义务</w:t>
            </w: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一、基金管理人</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（一）基金管理人简况</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名称：招商基金管理有限公司</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住所：深圳市福田区深南大道7088号</w:t>
            </w:r>
          </w:p>
          <w:p w:rsidR="00CD0DCB" w:rsidRPr="000E51FC"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法定代表人：</w:t>
            </w:r>
            <w:r w:rsidRPr="007A6C8B">
              <w:rPr>
                <w:rFonts w:asciiTheme="minorEastAsia" w:eastAsiaTheme="minorEastAsia" w:hAnsiTheme="minorEastAsia" w:hint="eastAsia"/>
                <w:b/>
                <w:strike/>
                <w:szCs w:val="21"/>
              </w:rPr>
              <w:t>刘辉</w:t>
            </w: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一、基金管理人</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（一）基金管理人简况</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名称：招商基金管理有限公司</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住所：深圳市福田区深南大道7088号</w:t>
            </w:r>
          </w:p>
          <w:p w:rsidR="00CD0DCB" w:rsidRPr="000E51FC"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法定代表人：</w:t>
            </w:r>
            <w:r w:rsidRPr="007A6C8B">
              <w:rPr>
                <w:rFonts w:asciiTheme="minorEastAsia" w:eastAsiaTheme="minorEastAsia" w:hAnsiTheme="minorEastAsia" w:hint="eastAsia"/>
                <w:b/>
                <w:szCs w:val="21"/>
                <w:u w:val="single"/>
              </w:rPr>
              <w:t>王小青</w:t>
            </w:r>
          </w:p>
        </w:tc>
      </w:tr>
      <w:tr w:rsidR="00CD0DCB" w:rsidRPr="000E51FC" w:rsidTr="007A6C8B">
        <w:trPr>
          <w:jc w:val="center"/>
        </w:trPr>
        <w:tc>
          <w:tcPr>
            <w:tcW w:w="552" w:type="pct"/>
            <w:vMerge/>
            <w:tcBorders>
              <w:left w:val="single" w:sz="4" w:space="0" w:color="000000"/>
              <w:bottom w:val="single" w:sz="4" w:space="0" w:color="000000"/>
              <w:right w:val="single" w:sz="4" w:space="0" w:color="auto"/>
            </w:tcBorders>
            <w:vAlign w:val="center"/>
          </w:tcPr>
          <w:p w:rsidR="00CD0DCB" w:rsidRPr="00846288" w:rsidRDefault="00CD0DCB" w:rsidP="007A6C8B">
            <w:pPr>
              <w:contextualSpacing/>
              <w:rPr>
                <w:rFonts w:asciiTheme="minorEastAsia" w:eastAsiaTheme="minorEastAsia" w:hAnsiTheme="minorEastAsia"/>
                <w:b/>
                <w:bCs/>
                <w:szCs w:val="21"/>
              </w:rPr>
            </w:pP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二、基金托管人</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（一）基金托管人简况</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名称：中信银行股份有限公司（简称“中信银行”）</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住所：北京市朝阳区光华路10号院1号楼6-30层、32-42层</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办公地址：北京市朝阳区光华路10号院1号楼6-30层、32-42层</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法定代表人：</w:t>
            </w:r>
            <w:r w:rsidRPr="007A6C8B">
              <w:rPr>
                <w:rFonts w:asciiTheme="minorEastAsia" w:eastAsiaTheme="minorEastAsia" w:hAnsiTheme="minorEastAsia" w:hint="eastAsia"/>
                <w:b/>
                <w:strike/>
                <w:szCs w:val="21"/>
              </w:rPr>
              <w:t>李庆萍</w:t>
            </w: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二、基金托管人</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（一）基金托管人简况</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名称：中信银行股份有限公司（简称“中信银行”）</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住所：北京市朝阳区光华路10号院1号楼6-30层、32-42层</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办公地址：北京市朝阳区光华路10号院1号楼6-30层、32-42层</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法定代表人：</w:t>
            </w:r>
            <w:r w:rsidRPr="007A6C8B">
              <w:rPr>
                <w:rFonts w:asciiTheme="minorEastAsia" w:eastAsiaTheme="minorEastAsia" w:hAnsiTheme="minorEastAsia" w:hint="eastAsia"/>
                <w:b/>
                <w:szCs w:val="21"/>
                <w:u w:val="single"/>
              </w:rPr>
              <w:t>方合英</w:t>
            </w:r>
          </w:p>
        </w:tc>
      </w:tr>
      <w:tr w:rsidR="00CD0DCB" w:rsidRPr="000E51FC" w:rsidTr="007A6C8B">
        <w:trPr>
          <w:jc w:val="center"/>
        </w:trPr>
        <w:tc>
          <w:tcPr>
            <w:tcW w:w="552" w:type="pct"/>
            <w:tcBorders>
              <w:top w:val="single" w:sz="4" w:space="0" w:color="000000"/>
              <w:left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F314A4">
              <w:rPr>
                <w:rFonts w:asciiTheme="minorEastAsia" w:eastAsiaTheme="minorEastAsia" w:hAnsiTheme="minorEastAsia" w:hint="eastAsia"/>
                <w:b/>
                <w:bCs/>
                <w:szCs w:val="21"/>
              </w:rPr>
              <w:t>第十三部分  基金资产估值</w:t>
            </w: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六、基金份额净值的确认和估值错误的处理</w:t>
            </w:r>
          </w:p>
          <w:p w:rsidR="00CD0DCB" w:rsidRPr="000E51FC"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A类和C类基金份额净值的计算均保留到小数点后</w:t>
            </w:r>
            <w:r w:rsidRPr="007A6C8B">
              <w:rPr>
                <w:rFonts w:asciiTheme="minorEastAsia" w:eastAsiaTheme="minorEastAsia" w:hAnsiTheme="minorEastAsia"/>
                <w:b/>
                <w:strike/>
                <w:szCs w:val="21"/>
              </w:rPr>
              <w:t>3</w:t>
            </w:r>
            <w:r w:rsidRPr="00F314A4">
              <w:rPr>
                <w:rFonts w:asciiTheme="minorEastAsia" w:eastAsiaTheme="minorEastAsia" w:hAnsiTheme="minorEastAsia" w:hint="eastAsia"/>
                <w:bCs/>
                <w:szCs w:val="21"/>
              </w:rPr>
              <w:t>位，小数点后第</w:t>
            </w:r>
            <w:r w:rsidRPr="007A6C8B">
              <w:rPr>
                <w:rFonts w:asciiTheme="minorEastAsia" w:eastAsiaTheme="minorEastAsia" w:hAnsiTheme="minorEastAsia"/>
                <w:b/>
                <w:strike/>
                <w:szCs w:val="21"/>
              </w:rPr>
              <w:t>4</w:t>
            </w:r>
            <w:r w:rsidRPr="00F314A4">
              <w:rPr>
                <w:rFonts w:asciiTheme="minorEastAsia" w:eastAsiaTheme="minorEastAsia" w:hAnsiTheme="minorEastAsia" w:hint="eastAsia"/>
                <w:bCs/>
                <w:szCs w:val="21"/>
              </w:rPr>
              <w:t>位四舍五入。</w:t>
            </w:r>
            <w:r>
              <w:rPr>
                <w:rFonts w:asciiTheme="minorEastAsia" w:eastAsiaTheme="minorEastAsia" w:hAnsiTheme="minorEastAsia" w:hint="eastAsia"/>
                <w:bCs/>
                <w:szCs w:val="21"/>
              </w:rPr>
              <w:t>……</w:t>
            </w:r>
          </w:p>
        </w:tc>
        <w:tc>
          <w:tcPr>
            <w:tcW w:w="2224" w:type="pct"/>
            <w:tcBorders>
              <w:top w:val="single" w:sz="4" w:space="0" w:color="000000"/>
              <w:left w:val="single" w:sz="4" w:space="0" w:color="auto"/>
              <w:bottom w:val="single" w:sz="4" w:space="0" w:color="000000"/>
              <w:right w:val="single" w:sz="4" w:space="0" w:color="auto"/>
            </w:tcBorders>
          </w:tcPr>
          <w:p w:rsidR="00CD0DCB" w:rsidRPr="00F314A4"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szCs w:val="21"/>
              </w:rPr>
              <w:t>六、基金份额净值的确认和估值错误的处理</w:t>
            </w:r>
          </w:p>
          <w:p w:rsidR="00CD0DCB" w:rsidRPr="000E51FC"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szCs w:val="21"/>
              </w:rPr>
              <w:t>A类和C类基金份额净值的计算均保留到小数点后</w:t>
            </w:r>
            <w:r w:rsidRPr="007A6C8B">
              <w:rPr>
                <w:rFonts w:asciiTheme="minorEastAsia" w:eastAsiaTheme="minorEastAsia" w:hAnsiTheme="minorEastAsia"/>
                <w:b/>
                <w:bCs/>
                <w:szCs w:val="21"/>
                <w:u w:val="single"/>
              </w:rPr>
              <w:t>4</w:t>
            </w:r>
            <w:r w:rsidRPr="00F314A4">
              <w:rPr>
                <w:rFonts w:asciiTheme="minorEastAsia" w:eastAsiaTheme="minorEastAsia" w:hAnsiTheme="minorEastAsia" w:hint="eastAsia"/>
                <w:szCs w:val="21"/>
              </w:rPr>
              <w:t>位，小数点后第</w:t>
            </w:r>
            <w:r w:rsidRPr="007A6C8B">
              <w:rPr>
                <w:rFonts w:asciiTheme="minorEastAsia" w:eastAsiaTheme="minorEastAsia" w:hAnsiTheme="minorEastAsia"/>
                <w:b/>
                <w:bCs/>
                <w:szCs w:val="21"/>
                <w:u w:val="single"/>
              </w:rPr>
              <w:t>5</w:t>
            </w:r>
            <w:r w:rsidRPr="00F314A4">
              <w:rPr>
                <w:rFonts w:asciiTheme="minorEastAsia" w:eastAsiaTheme="minorEastAsia" w:hAnsiTheme="minorEastAsia" w:hint="eastAsia"/>
                <w:szCs w:val="21"/>
              </w:rPr>
              <w:t>位四舍五入。</w:t>
            </w:r>
            <w:r>
              <w:rPr>
                <w:rFonts w:asciiTheme="minorEastAsia" w:eastAsiaTheme="minorEastAsia" w:hAnsiTheme="minorEastAsia" w:hint="eastAsia"/>
                <w:szCs w:val="21"/>
              </w:rPr>
              <w:t>……</w:t>
            </w:r>
          </w:p>
        </w:tc>
      </w:tr>
    </w:tbl>
    <w:p w:rsidR="004739C1" w:rsidRDefault="004739C1" w:rsidP="000E51FC">
      <w:pPr>
        <w:spacing w:line="360" w:lineRule="auto"/>
        <w:ind w:firstLineChars="257" w:firstLine="540"/>
        <w:jc w:val="left"/>
      </w:pPr>
    </w:p>
    <w:p w:rsidR="004739C1" w:rsidRDefault="004739C1" w:rsidP="000E51FC">
      <w:pPr>
        <w:spacing w:line="360" w:lineRule="auto"/>
        <w:ind w:firstLineChars="257" w:firstLine="542"/>
        <w:jc w:val="left"/>
        <w:rPr>
          <w:b/>
        </w:rPr>
      </w:pPr>
      <w:r w:rsidRPr="00DB6E54">
        <w:rPr>
          <w:rFonts w:hint="eastAsia"/>
          <w:b/>
        </w:rPr>
        <w:t>招商安瑞进取债券型证券投资基金基金合同修订前后文对照表</w:t>
      </w:r>
    </w:p>
    <w:tbl>
      <w:tblPr>
        <w:tblW w:w="5080" w:type="pct"/>
        <w:jc w:val="center"/>
        <w:tblBorders>
          <w:top w:val="single" w:sz="4" w:space="0" w:color="000000"/>
          <w:left w:val="single" w:sz="4" w:space="0" w:color="000000"/>
          <w:bottom w:val="single" w:sz="4" w:space="0" w:color="000000"/>
          <w:right w:val="single" w:sz="4" w:space="0" w:color="000000"/>
          <w:insideH w:val="single" w:sz="4" w:space="0" w:color="auto"/>
          <w:insideV w:val="single" w:sz="4" w:space="0" w:color="auto"/>
        </w:tblBorders>
        <w:tblLayout w:type="fixed"/>
        <w:tblLook w:val="04A0"/>
      </w:tblPr>
      <w:tblGrid>
        <w:gridCol w:w="956"/>
        <w:gridCol w:w="3851"/>
        <w:gridCol w:w="3851"/>
      </w:tblGrid>
      <w:tr w:rsidR="00CD0DCB" w:rsidRPr="000E51FC" w:rsidTr="007A6C8B">
        <w:trPr>
          <w:trHeight w:val="567"/>
          <w:jc w:val="center"/>
        </w:trPr>
        <w:tc>
          <w:tcPr>
            <w:tcW w:w="552" w:type="pct"/>
            <w:tcBorders>
              <w:top w:val="single" w:sz="4" w:space="0" w:color="000000"/>
              <w:left w:val="single" w:sz="4" w:space="0" w:color="000000"/>
              <w:bottom w:val="single" w:sz="4" w:space="0" w:color="000000"/>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b/>
                <w:bCs/>
                <w:szCs w:val="21"/>
              </w:rPr>
              <w:t>章节</w:t>
            </w:r>
          </w:p>
        </w:tc>
        <w:tc>
          <w:tcPr>
            <w:tcW w:w="2224" w:type="pct"/>
            <w:tcBorders>
              <w:top w:val="single" w:sz="4" w:space="0" w:color="000000"/>
              <w:left w:val="single" w:sz="4" w:space="0" w:color="auto"/>
              <w:right w:val="single" w:sz="4" w:space="0" w:color="auto"/>
            </w:tcBorders>
            <w:vAlign w:val="center"/>
            <w:hideMark/>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原文条款内容</w:t>
            </w:r>
          </w:p>
        </w:tc>
        <w:tc>
          <w:tcPr>
            <w:tcW w:w="2224" w:type="pct"/>
            <w:tcBorders>
              <w:top w:val="single" w:sz="4" w:space="0" w:color="000000"/>
              <w:left w:val="single" w:sz="4" w:space="0" w:color="auto"/>
              <w:right w:val="single" w:sz="4" w:space="0" w:color="auto"/>
            </w:tcBorders>
            <w:vAlign w:val="center"/>
          </w:tcPr>
          <w:p w:rsidR="00CD0DCB" w:rsidRPr="000E51FC" w:rsidRDefault="00CD0DCB" w:rsidP="007A6C8B">
            <w:pPr>
              <w:jc w:val="center"/>
              <w:rPr>
                <w:rFonts w:asciiTheme="minorEastAsia" w:eastAsiaTheme="minorEastAsia" w:hAnsiTheme="minorEastAsia"/>
                <w:b/>
                <w:bCs/>
                <w:szCs w:val="21"/>
              </w:rPr>
            </w:pPr>
            <w:r w:rsidRPr="000E51FC">
              <w:rPr>
                <w:rFonts w:asciiTheme="minorEastAsia" w:eastAsiaTheme="minorEastAsia" w:hAnsiTheme="minorEastAsia" w:hint="eastAsia"/>
                <w:b/>
                <w:bCs/>
                <w:szCs w:val="21"/>
              </w:rPr>
              <w:t>修订后条款内容</w:t>
            </w:r>
          </w:p>
        </w:tc>
      </w:tr>
      <w:tr w:rsidR="00CD0DCB" w:rsidRPr="000E51FC" w:rsidTr="007A6C8B">
        <w:trPr>
          <w:jc w:val="center"/>
        </w:trPr>
        <w:tc>
          <w:tcPr>
            <w:tcW w:w="552" w:type="pct"/>
            <w:tcBorders>
              <w:top w:val="single" w:sz="4" w:space="0" w:color="000000"/>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F314A4">
              <w:rPr>
                <w:rFonts w:asciiTheme="minorEastAsia" w:eastAsiaTheme="minorEastAsia" w:hAnsiTheme="minorEastAsia" w:hint="eastAsia"/>
                <w:b/>
                <w:bCs/>
                <w:szCs w:val="21"/>
              </w:rPr>
              <w:t>六、基金份额的申购与赎回</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szCs w:val="21"/>
              </w:rPr>
              <w:t>（六）申购和赎回的价格、费用及其用途</w:t>
            </w:r>
          </w:p>
          <w:p w:rsidR="00CD0DCB" w:rsidRPr="000E51FC"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szCs w:val="21"/>
              </w:rPr>
              <w:t>4、</w:t>
            </w:r>
            <w:r w:rsidRPr="000E51FC">
              <w:rPr>
                <w:rFonts w:asciiTheme="minorEastAsia" w:eastAsiaTheme="minorEastAsia" w:hAnsiTheme="minorEastAsia" w:hint="eastAsia"/>
                <w:szCs w:val="21"/>
              </w:rPr>
              <w:t>……</w:t>
            </w:r>
            <w:r w:rsidRPr="00F314A4">
              <w:rPr>
                <w:rFonts w:asciiTheme="minorEastAsia" w:eastAsiaTheme="minorEastAsia" w:hAnsiTheme="minorEastAsia" w:hint="eastAsia"/>
                <w:szCs w:val="21"/>
              </w:rPr>
              <w:t>本基金各类基金份额净值的计算，均保留到小数点后</w:t>
            </w:r>
            <w:r w:rsidRPr="007A6C8B">
              <w:rPr>
                <w:rFonts w:asciiTheme="minorEastAsia" w:eastAsiaTheme="minorEastAsia" w:hAnsiTheme="minorEastAsia"/>
                <w:b/>
                <w:bCs/>
                <w:strike/>
                <w:szCs w:val="21"/>
              </w:rPr>
              <w:t>3</w:t>
            </w:r>
            <w:r w:rsidRPr="00F314A4">
              <w:rPr>
                <w:rFonts w:asciiTheme="minorEastAsia" w:eastAsiaTheme="minorEastAsia" w:hAnsiTheme="minorEastAsia" w:hint="eastAsia"/>
                <w:szCs w:val="21"/>
              </w:rPr>
              <w:t>位，小数点后第</w:t>
            </w:r>
            <w:r w:rsidRPr="007A6C8B">
              <w:rPr>
                <w:rFonts w:asciiTheme="minorEastAsia" w:eastAsiaTheme="minorEastAsia" w:hAnsiTheme="minorEastAsia"/>
                <w:b/>
                <w:bCs/>
                <w:strike/>
                <w:szCs w:val="21"/>
              </w:rPr>
              <w:t>4</w:t>
            </w:r>
            <w:r w:rsidRPr="00F314A4">
              <w:rPr>
                <w:rFonts w:asciiTheme="minorEastAsia" w:eastAsiaTheme="minorEastAsia" w:hAnsiTheme="minorEastAsia" w:hint="eastAsia"/>
                <w:szCs w:val="21"/>
              </w:rPr>
              <w:t>位四舍五入，由此误差产生的损失由基金财产承担，产生的收益归基金财产所有。</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szCs w:val="21"/>
              </w:rPr>
              <w:t>（六）申购和赎回的价格、费用及其用途</w:t>
            </w:r>
          </w:p>
          <w:p w:rsidR="00CD0DCB" w:rsidRPr="000E51FC"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szCs w:val="21"/>
              </w:rPr>
              <w:t>4、</w:t>
            </w:r>
            <w:r w:rsidRPr="000E51FC">
              <w:rPr>
                <w:rFonts w:asciiTheme="minorEastAsia" w:eastAsiaTheme="minorEastAsia" w:hAnsiTheme="minorEastAsia" w:hint="eastAsia"/>
                <w:szCs w:val="21"/>
              </w:rPr>
              <w:t>……</w:t>
            </w:r>
            <w:r w:rsidRPr="00F314A4">
              <w:rPr>
                <w:rFonts w:asciiTheme="minorEastAsia" w:eastAsiaTheme="minorEastAsia" w:hAnsiTheme="minorEastAsia" w:hint="eastAsia"/>
                <w:szCs w:val="21"/>
              </w:rPr>
              <w:t>本基金各类基金份额净值的计算，均保留到小数点后</w:t>
            </w:r>
            <w:r w:rsidRPr="007A6C8B">
              <w:rPr>
                <w:rFonts w:asciiTheme="minorEastAsia" w:eastAsiaTheme="minorEastAsia" w:hAnsiTheme="minorEastAsia"/>
                <w:b/>
                <w:bCs/>
                <w:szCs w:val="21"/>
                <w:u w:val="single"/>
              </w:rPr>
              <w:t>4</w:t>
            </w:r>
            <w:r w:rsidRPr="00F314A4">
              <w:rPr>
                <w:rFonts w:asciiTheme="minorEastAsia" w:eastAsiaTheme="minorEastAsia" w:hAnsiTheme="minorEastAsia" w:hint="eastAsia"/>
                <w:szCs w:val="21"/>
              </w:rPr>
              <w:t>位，小数点后第</w:t>
            </w:r>
            <w:r w:rsidRPr="007A6C8B">
              <w:rPr>
                <w:rFonts w:asciiTheme="minorEastAsia" w:eastAsiaTheme="minorEastAsia" w:hAnsiTheme="minorEastAsia"/>
                <w:b/>
                <w:bCs/>
                <w:szCs w:val="21"/>
                <w:u w:val="single"/>
              </w:rPr>
              <w:t>5</w:t>
            </w:r>
            <w:r w:rsidRPr="00F314A4">
              <w:rPr>
                <w:rFonts w:asciiTheme="minorEastAsia" w:eastAsiaTheme="minorEastAsia" w:hAnsiTheme="minorEastAsia" w:hint="eastAsia"/>
                <w:szCs w:val="21"/>
              </w:rPr>
              <w:t>位四舍五入，由此误差产生的损失由基金财产承担，产生的收益归基金财产所有。</w:t>
            </w:r>
            <w:r w:rsidRPr="007A6C8B">
              <w:rPr>
                <w:rFonts w:asciiTheme="minorEastAsia" w:eastAsiaTheme="minorEastAsia" w:hAnsiTheme="minorEastAsia" w:hint="eastAsia"/>
                <w:b/>
                <w:bCs/>
                <w:szCs w:val="21"/>
                <w:u w:val="single"/>
              </w:rPr>
              <w:t>为避免基金份额持有人利益因基金份额净值的小数点保留精度受到不利影响，基金管理人可提高基金份额净值精度。</w:t>
            </w:r>
          </w:p>
        </w:tc>
      </w:tr>
      <w:tr w:rsidR="00CD0DCB" w:rsidRPr="000E51FC" w:rsidTr="007A6C8B">
        <w:trPr>
          <w:jc w:val="center"/>
        </w:trPr>
        <w:tc>
          <w:tcPr>
            <w:tcW w:w="552" w:type="pct"/>
            <w:vMerge w:val="restart"/>
            <w:tcBorders>
              <w:top w:val="single" w:sz="4" w:space="0" w:color="000000"/>
              <w:left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r w:rsidRPr="00F314A4">
              <w:rPr>
                <w:rFonts w:asciiTheme="minorEastAsia" w:eastAsiaTheme="minorEastAsia" w:hAnsiTheme="minorEastAsia" w:hint="eastAsia"/>
                <w:b/>
                <w:bCs/>
                <w:szCs w:val="21"/>
              </w:rPr>
              <w:t>十四、基金资产的估值</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（六）估值错误的处理</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4、基金份额净值差错处理的原则和方法</w:t>
            </w:r>
          </w:p>
          <w:p w:rsidR="00CD0DCB" w:rsidRPr="000E51FC"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（1）当任一类基金份额的基金份额净值小数点后</w:t>
            </w:r>
            <w:r w:rsidRPr="007A6C8B">
              <w:rPr>
                <w:rFonts w:asciiTheme="minorEastAsia" w:eastAsiaTheme="minorEastAsia" w:hAnsiTheme="minorEastAsia"/>
                <w:b/>
                <w:strike/>
                <w:szCs w:val="21"/>
              </w:rPr>
              <w:t>3</w:t>
            </w:r>
            <w:r w:rsidRPr="00F314A4">
              <w:rPr>
                <w:rFonts w:asciiTheme="minorEastAsia" w:eastAsiaTheme="minorEastAsia" w:hAnsiTheme="minorEastAsia" w:hint="eastAsia"/>
                <w:bCs/>
                <w:szCs w:val="21"/>
              </w:rPr>
              <w:t>位以内（含第</w:t>
            </w:r>
            <w:r w:rsidRPr="007A6C8B">
              <w:rPr>
                <w:rFonts w:asciiTheme="minorEastAsia" w:eastAsiaTheme="minorEastAsia" w:hAnsiTheme="minorEastAsia"/>
                <w:b/>
                <w:strike/>
                <w:szCs w:val="21"/>
              </w:rPr>
              <w:t>3</w:t>
            </w:r>
            <w:r w:rsidRPr="00F314A4">
              <w:rPr>
                <w:rFonts w:asciiTheme="minorEastAsia" w:eastAsiaTheme="minorEastAsia" w:hAnsiTheme="minorEastAsia" w:hint="eastAsia"/>
                <w:bCs/>
                <w:szCs w:val="21"/>
              </w:rPr>
              <w:t>位）发生差错时，视为该类基金份额净值错误；</w:t>
            </w:r>
            <w:r w:rsidRPr="000E51FC">
              <w:rPr>
                <w:rFonts w:asciiTheme="minorEastAsia" w:eastAsiaTheme="minorEastAsia" w:hAnsiTheme="minorEastAsia" w:hint="eastAsia"/>
                <w:szCs w:val="21"/>
              </w:rPr>
              <w:t>……</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（六）估值错误的处理</w:t>
            </w:r>
          </w:p>
          <w:p w:rsidR="00CD0DCB" w:rsidRPr="00F314A4"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4、基金份额净值差错处理的原则和方法</w:t>
            </w:r>
          </w:p>
          <w:p w:rsidR="00CD0DCB" w:rsidRPr="000E51FC" w:rsidRDefault="00CD0DCB" w:rsidP="007A6C8B">
            <w:pPr>
              <w:contextualSpacing/>
              <w:rPr>
                <w:rFonts w:asciiTheme="minorEastAsia" w:eastAsiaTheme="minorEastAsia" w:hAnsiTheme="minorEastAsia"/>
                <w:szCs w:val="21"/>
              </w:rPr>
            </w:pPr>
            <w:r w:rsidRPr="00F314A4">
              <w:rPr>
                <w:rFonts w:asciiTheme="minorEastAsia" w:eastAsiaTheme="minorEastAsia" w:hAnsiTheme="minorEastAsia" w:hint="eastAsia"/>
                <w:bCs/>
                <w:szCs w:val="21"/>
              </w:rPr>
              <w:t>（1）当任一类基金份额的基金份额净值小数点后</w:t>
            </w:r>
            <w:r w:rsidRPr="007A6C8B">
              <w:rPr>
                <w:rFonts w:asciiTheme="minorEastAsia" w:eastAsiaTheme="minorEastAsia" w:hAnsiTheme="minorEastAsia"/>
                <w:b/>
                <w:szCs w:val="21"/>
                <w:u w:val="single"/>
              </w:rPr>
              <w:t>4</w:t>
            </w:r>
            <w:r w:rsidRPr="00F314A4">
              <w:rPr>
                <w:rFonts w:asciiTheme="minorEastAsia" w:eastAsiaTheme="minorEastAsia" w:hAnsiTheme="minorEastAsia" w:hint="eastAsia"/>
                <w:bCs/>
                <w:szCs w:val="21"/>
              </w:rPr>
              <w:t>位以内（含第</w:t>
            </w:r>
            <w:r w:rsidRPr="007A6C8B">
              <w:rPr>
                <w:rFonts w:asciiTheme="minorEastAsia" w:eastAsiaTheme="minorEastAsia" w:hAnsiTheme="minorEastAsia"/>
                <w:b/>
                <w:szCs w:val="21"/>
                <w:u w:val="single"/>
              </w:rPr>
              <w:t>4</w:t>
            </w:r>
            <w:r w:rsidRPr="00F314A4">
              <w:rPr>
                <w:rFonts w:asciiTheme="minorEastAsia" w:eastAsiaTheme="minorEastAsia" w:hAnsiTheme="minorEastAsia" w:hint="eastAsia"/>
                <w:bCs/>
                <w:szCs w:val="21"/>
              </w:rPr>
              <w:t>位）发生差错时，视为该类基金份额净值错误；</w:t>
            </w:r>
            <w:r w:rsidRPr="000E51FC">
              <w:rPr>
                <w:rFonts w:asciiTheme="minorEastAsia" w:eastAsiaTheme="minorEastAsia" w:hAnsiTheme="minorEastAsia" w:hint="eastAsia"/>
                <w:szCs w:val="21"/>
              </w:rPr>
              <w:t>……</w:t>
            </w:r>
          </w:p>
        </w:tc>
      </w:tr>
      <w:tr w:rsidR="00CD0DCB" w:rsidRPr="000E51FC" w:rsidTr="00DB6E54">
        <w:trPr>
          <w:trHeight w:val="1573"/>
          <w:jc w:val="center"/>
        </w:trPr>
        <w:tc>
          <w:tcPr>
            <w:tcW w:w="552" w:type="pct"/>
            <w:vMerge/>
            <w:tcBorders>
              <w:left w:val="single" w:sz="4" w:space="0" w:color="000000"/>
              <w:bottom w:val="single" w:sz="4" w:space="0" w:color="000000"/>
              <w:right w:val="single" w:sz="4" w:space="0" w:color="auto"/>
            </w:tcBorders>
            <w:vAlign w:val="center"/>
          </w:tcPr>
          <w:p w:rsidR="00CD0DCB" w:rsidRPr="000E51FC" w:rsidRDefault="00CD0DCB" w:rsidP="007A6C8B">
            <w:pPr>
              <w:contextualSpacing/>
              <w:rPr>
                <w:rFonts w:asciiTheme="minorEastAsia" w:eastAsiaTheme="minorEastAsia" w:hAnsiTheme="minorEastAsia"/>
                <w:b/>
                <w:bCs/>
                <w:szCs w:val="21"/>
              </w:rPr>
            </w:pP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（八）基金净值的确认</w:t>
            </w:r>
          </w:p>
          <w:p w:rsidR="00CD0DCB"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w:t>
            </w:r>
          </w:p>
          <w:p w:rsidR="00CD0DCB" w:rsidRPr="000E51FC" w:rsidRDefault="00CD0DCB" w:rsidP="007A6C8B">
            <w:pPr>
              <w:contextualSpacing/>
              <w:rPr>
                <w:rFonts w:asciiTheme="minorEastAsia" w:eastAsiaTheme="minorEastAsia" w:hAnsiTheme="minorEastAsia"/>
                <w:bCs/>
                <w:szCs w:val="21"/>
              </w:rPr>
            </w:pPr>
            <w:r w:rsidRPr="003B56E8">
              <w:rPr>
                <w:rFonts w:asciiTheme="minorEastAsia" w:eastAsiaTheme="minorEastAsia" w:hAnsiTheme="minorEastAsia" w:hint="eastAsia"/>
                <w:bCs/>
                <w:szCs w:val="21"/>
              </w:rPr>
              <w:t>各类基金份额净值的计算均精确到0.001元，小数点后第</w:t>
            </w:r>
            <w:r w:rsidRPr="007A6C8B">
              <w:rPr>
                <w:rFonts w:asciiTheme="minorEastAsia" w:eastAsiaTheme="minorEastAsia" w:hAnsiTheme="minorEastAsia" w:hint="eastAsia"/>
                <w:b/>
                <w:strike/>
                <w:szCs w:val="21"/>
              </w:rPr>
              <w:t>四</w:t>
            </w:r>
            <w:r w:rsidRPr="003B56E8">
              <w:rPr>
                <w:rFonts w:asciiTheme="minorEastAsia" w:eastAsiaTheme="minorEastAsia" w:hAnsiTheme="minorEastAsia" w:hint="eastAsia"/>
                <w:bCs/>
                <w:szCs w:val="21"/>
              </w:rPr>
              <w:t>位四舍五入。国家另有规定的，从其规定。</w:t>
            </w:r>
          </w:p>
        </w:tc>
        <w:tc>
          <w:tcPr>
            <w:tcW w:w="2224" w:type="pct"/>
            <w:tcBorders>
              <w:top w:val="single" w:sz="4" w:space="0" w:color="000000"/>
              <w:left w:val="single" w:sz="4" w:space="0" w:color="auto"/>
              <w:bottom w:val="single" w:sz="4" w:space="0" w:color="000000"/>
              <w:right w:val="single" w:sz="4" w:space="0" w:color="auto"/>
            </w:tcBorders>
          </w:tcPr>
          <w:p w:rsidR="00CD0DCB" w:rsidRDefault="00CD0DCB" w:rsidP="007A6C8B">
            <w:pPr>
              <w:contextualSpacing/>
              <w:rPr>
                <w:rFonts w:asciiTheme="minorEastAsia" w:eastAsiaTheme="minorEastAsia" w:hAnsiTheme="minorEastAsia"/>
                <w:bCs/>
                <w:szCs w:val="21"/>
              </w:rPr>
            </w:pPr>
            <w:r w:rsidRPr="00F314A4">
              <w:rPr>
                <w:rFonts w:asciiTheme="minorEastAsia" w:eastAsiaTheme="minorEastAsia" w:hAnsiTheme="minorEastAsia" w:hint="eastAsia"/>
                <w:bCs/>
                <w:szCs w:val="21"/>
              </w:rPr>
              <w:t>（八）基金净值的确认</w:t>
            </w:r>
          </w:p>
          <w:p w:rsidR="00CD0DCB" w:rsidRDefault="00CD0DCB" w:rsidP="007A6C8B">
            <w:pPr>
              <w:contextualSpacing/>
              <w:rPr>
                <w:rFonts w:asciiTheme="minorEastAsia" w:eastAsiaTheme="minorEastAsia" w:hAnsiTheme="minorEastAsia"/>
                <w:szCs w:val="21"/>
              </w:rPr>
            </w:pPr>
            <w:r w:rsidRPr="000E51FC">
              <w:rPr>
                <w:rFonts w:asciiTheme="minorEastAsia" w:eastAsiaTheme="minorEastAsia" w:hAnsiTheme="minorEastAsia" w:hint="eastAsia"/>
                <w:szCs w:val="21"/>
              </w:rPr>
              <w:t>……</w:t>
            </w:r>
          </w:p>
          <w:p w:rsidR="00CD0DCB" w:rsidRPr="000E51FC" w:rsidRDefault="00CD0DCB" w:rsidP="007A6C8B">
            <w:pPr>
              <w:contextualSpacing/>
              <w:rPr>
                <w:rFonts w:asciiTheme="minorEastAsia" w:eastAsiaTheme="minorEastAsia" w:hAnsiTheme="minorEastAsia"/>
                <w:szCs w:val="21"/>
              </w:rPr>
            </w:pPr>
            <w:r w:rsidRPr="003B56E8">
              <w:rPr>
                <w:rFonts w:asciiTheme="minorEastAsia" w:eastAsiaTheme="minorEastAsia" w:hAnsiTheme="minorEastAsia" w:hint="eastAsia"/>
                <w:bCs/>
                <w:szCs w:val="21"/>
              </w:rPr>
              <w:t>各类基金份额净值的计算均精确到0.00</w:t>
            </w:r>
            <w:r w:rsidRPr="007A6C8B">
              <w:rPr>
                <w:rFonts w:asciiTheme="minorEastAsia" w:eastAsiaTheme="minorEastAsia" w:hAnsiTheme="minorEastAsia"/>
                <w:b/>
                <w:szCs w:val="21"/>
                <w:u w:val="single"/>
              </w:rPr>
              <w:t>0</w:t>
            </w:r>
            <w:r w:rsidRPr="003B56E8">
              <w:rPr>
                <w:rFonts w:asciiTheme="minorEastAsia" w:eastAsiaTheme="minorEastAsia" w:hAnsiTheme="minorEastAsia" w:hint="eastAsia"/>
                <w:bCs/>
                <w:szCs w:val="21"/>
              </w:rPr>
              <w:t>1元，小数点后第</w:t>
            </w:r>
            <w:r w:rsidRPr="007A6C8B">
              <w:rPr>
                <w:rFonts w:asciiTheme="minorEastAsia" w:eastAsiaTheme="minorEastAsia" w:hAnsiTheme="minorEastAsia" w:hint="eastAsia"/>
                <w:b/>
                <w:szCs w:val="21"/>
                <w:u w:val="single"/>
              </w:rPr>
              <w:t>五</w:t>
            </w:r>
            <w:r w:rsidRPr="003B56E8">
              <w:rPr>
                <w:rFonts w:asciiTheme="minorEastAsia" w:eastAsiaTheme="minorEastAsia" w:hAnsiTheme="minorEastAsia" w:hint="eastAsia"/>
                <w:bCs/>
                <w:szCs w:val="21"/>
              </w:rPr>
              <w:t>位四舍五入。国家另有规定的，从其规定。</w:t>
            </w:r>
          </w:p>
        </w:tc>
      </w:tr>
    </w:tbl>
    <w:p w:rsidR="00CD0DCB" w:rsidRPr="00DB6E54" w:rsidRDefault="00CD0DCB" w:rsidP="00DB6E54">
      <w:pPr>
        <w:spacing w:line="360" w:lineRule="auto"/>
        <w:jc w:val="left"/>
        <w:rPr>
          <w:b/>
        </w:rPr>
      </w:pPr>
    </w:p>
    <w:sectPr w:rsidR="00CD0DCB" w:rsidRPr="00DB6E54" w:rsidSect="007815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79B3" w:rsidRDefault="007979B3" w:rsidP="00166AA2">
      <w:r>
        <w:separator/>
      </w:r>
    </w:p>
  </w:endnote>
  <w:endnote w:type="continuationSeparator" w:id="0">
    <w:p w:rsidR="007979B3" w:rsidRDefault="007979B3" w:rsidP="00166A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2562169"/>
      <w:docPartObj>
        <w:docPartGallery w:val="Page Numbers (Bottom of Page)"/>
        <w:docPartUnique/>
      </w:docPartObj>
    </w:sdtPr>
    <w:sdtContent>
      <w:p w:rsidR="008C3C14" w:rsidRDefault="007815C0">
        <w:pPr>
          <w:pStyle w:val="a8"/>
          <w:jc w:val="center"/>
        </w:pPr>
        <w:r>
          <w:fldChar w:fldCharType="begin"/>
        </w:r>
        <w:r w:rsidR="008C3C14">
          <w:instrText>PAGE   \* MERGEFORMAT</w:instrText>
        </w:r>
        <w:r>
          <w:fldChar w:fldCharType="separate"/>
        </w:r>
        <w:r w:rsidR="00104D5A" w:rsidRPr="00104D5A">
          <w:rPr>
            <w:noProof/>
            <w:lang w:val="zh-CN"/>
          </w:rPr>
          <w:t>1</w:t>
        </w:r>
        <w:r>
          <w:fldChar w:fldCharType="end"/>
        </w:r>
      </w:p>
    </w:sdtContent>
  </w:sdt>
  <w:p w:rsidR="008C3C14" w:rsidRDefault="008C3C1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79B3" w:rsidRDefault="007979B3" w:rsidP="00166AA2">
      <w:r>
        <w:separator/>
      </w:r>
    </w:p>
  </w:footnote>
  <w:footnote w:type="continuationSeparator" w:id="0">
    <w:p w:rsidR="007979B3" w:rsidRDefault="007979B3" w:rsidP="00166A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4E4E"/>
    <w:multiLevelType w:val="hybridMultilevel"/>
    <w:tmpl w:val="C4F22308"/>
    <w:lvl w:ilvl="0" w:tplc="8F449500">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1">
    <w:nsid w:val="380D1B87"/>
    <w:multiLevelType w:val="hybridMultilevel"/>
    <w:tmpl w:val="DBCA975C"/>
    <w:lvl w:ilvl="0" w:tplc="7DBABC36">
      <w:start w:val="1"/>
      <w:numFmt w:val="japaneseCounting"/>
      <w:lvlText w:val="%1、"/>
      <w:lvlJc w:val="left"/>
      <w:pPr>
        <w:ind w:left="931" w:hanging="720"/>
      </w:pPr>
      <w:rPr>
        <w:rFonts w:hint="default"/>
      </w:rPr>
    </w:lvl>
    <w:lvl w:ilvl="1" w:tplc="04090019" w:tentative="1">
      <w:start w:val="1"/>
      <w:numFmt w:val="lowerLetter"/>
      <w:lvlText w:val="%2)"/>
      <w:lvlJc w:val="left"/>
      <w:pPr>
        <w:ind w:left="1051" w:hanging="420"/>
      </w:pPr>
    </w:lvl>
    <w:lvl w:ilvl="2" w:tplc="0409001B" w:tentative="1">
      <w:start w:val="1"/>
      <w:numFmt w:val="lowerRoman"/>
      <w:lvlText w:val="%3."/>
      <w:lvlJc w:val="right"/>
      <w:pPr>
        <w:ind w:left="1471" w:hanging="420"/>
      </w:pPr>
    </w:lvl>
    <w:lvl w:ilvl="3" w:tplc="0409000F" w:tentative="1">
      <w:start w:val="1"/>
      <w:numFmt w:val="decimal"/>
      <w:lvlText w:val="%4."/>
      <w:lvlJc w:val="left"/>
      <w:pPr>
        <w:ind w:left="1891" w:hanging="420"/>
      </w:pPr>
    </w:lvl>
    <w:lvl w:ilvl="4" w:tplc="04090019" w:tentative="1">
      <w:start w:val="1"/>
      <w:numFmt w:val="lowerLetter"/>
      <w:lvlText w:val="%5)"/>
      <w:lvlJc w:val="left"/>
      <w:pPr>
        <w:ind w:left="2311" w:hanging="420"/>
      </w:pPr>
    </w:lvl>
    <w:lvl w:ilvl="5" w:tplc="0409001B" w:tentative="1">
      <w:start w:val="1"/>
      <w:numFmt w:val="lowerRoman"/>
      <w:lvlText w:val="%6."/>
      <w:lvlJc w:val="right"/>
      <w:pPr>
        <w:ind w:left="2731" w:hanging="420"/>
      </w:pPr>
    </w:lvl>
    <w:lvl w:ilvl="6" w:tplc="0409000F" w:tentative="1">
      <w:start w:val="1"/>
      <w:numFmt w:val="decimal"/>
      <w:lvlText w:val="%7."/>
      <w:lvlJc w:val="left"/>
      <w:pPr>
        <w:ind w:left="3151" w:hanging="420"/>
      </w:pPr>
    </w:lvl>
    <w:lvl w:ilvl="7" w:tplc="04090019" w:tentative="1">
      <w:start w:val="1"/>
      <w:numFmt w:val="lowerLetter"/>
      <w:lvlText w:val="%8)"/>
      <w:lvlJc w:val="left"/>
      <w:pPr>
        <w:ind w:left="3571" w:hanging="420"/>
      </w:pPr>
    </w:lvl>
    <w:lvl w:ilvl="8" w:tplc="0409001B" w:tentative="1">
      <w:start w:val="1"/>
      <w:numFmt w:val="lowerRoman"/>
      <w:lvlText w:val="%9."/>
      <w:lvlJc w:val="right"/>
      <w:pPr>
        <w:ind w:left="3991"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170B2"/>
    <w:rsid w:val="000028CC"/>
    <w:rsid w:val="00003AC5"/>
    <w:rsid w:val="000271DD"/>
    <w:rsid w:val="0003070F"/>
    <w:rsid w:val="0003470C"/>
    <w:rsid w:val="000514D7"/>
    <w:rsid w:val="00061CBC"/>
    <w:rsid w:val="00070E65"/>
    <w:rsid w:val="0007758F"/>
    <w:rsid w:val="00080BD5"/>
    <w:rsid w:val="00090341"/>
    <w:rsid w:val="00096F94"/>
    <w:rsid w:val="000A4C43"/>
    <w:rsid w:val="000A5B01"/>
    <w:rsid w:val="000A6307"/>
    <w:rsid w:val="000A67BE"/>
    <w:rsid w:val="000A6CED"/>
    <w:rsid w:val="000B0AC3"/>
    <w:rsid w:val="000B6A0F"/>
    <w:rsid w:val="000C12DF"/>
    <w:rsid w:val="000D71A9"/>
    <w:rsid w:val="000E51FC"/>
    <w:rsid w:val="000E6D1B"/>
    <w:rsid w:val="000F7D42"/>
    <w:rsid w:val="00104D5A"/>
    <w:rsid w:val="001477D6"/>
    <w:rsid w:val="00154133"/>
    <w:rsid w:val="00161FFB"/>
    <w:rsid w:val="00166AA2"/>
    <w:rsid w:val="00183931"/>
    <w:rsid w:val="00195DBA"/>
    <w:rsid w:val="001A0B3F"/>
    <w:rsid w:val="001A17DB"/>
    <w:rsid w:val="001B414A"/>
    <w:rsid w:val="001C37C8"/>
    <w:rsid w:val="001D0D1E"/>
    <w:rsid w:val="001D3C65"/>
    <w:rsid w:val="001E028C"/>
    <w:rsid w:val="001F1602"/>
    <w:rsid w:val="00213494"/>
    <w:rsid w:val="00245086"/>
    <w:rsid w:val="00246A38"/>
    <w:rsid w:val="00263841"/>
    <w:rsid w:val="00263D0E"/>
    <w:rsid w:val="00264CBB"/>
    <w:rsid w:val="00265677"/>
    <w:rsid w:val="00275789"/>
    <w:rsid w:val="002970A8"/>
    <w:rsid w:val="002B0F95"/>
    <w:rsid w:val="002B251F"/>
    <w:rsid w:val="002B313E"/>
    <w:rsid w:val="002C4908"/>
    <w:rsid w:val="002D30E5"/>
    <w:rsid w:val="002E0447"/>
    <w:rsid w:val="002E0FAE"/>
    <w:rsid w:val="002E1654"/>
    <w:rsid w:val="002E4A05"/>
    <w:rsid w:val="002E5722"/>
    <w:rsid w:val="002F0E20"/>
    <w:rsid w:val="00310726"/>
    <w:rsid w:val="003178DE"/>
    <w:rsid w:val="00320D11"/>
    <w:rsid w:val="00323C50"/>
    <w:rsid w:val="00325261"/>
    <w:rsid w:val="003417CF"/>
    <w:rsid w:val="0034404F"/>
    <w:rsid w:val="00347655"/>
    <w:rsid w:val="00356401"/>
    <w:rsid w:val="00356D4E"/>
    <w:rsid w:val="00361142"/>
    <w:rsid w:val="003648D3"/>
    <w:rsid w:val="00366CF9"/>
    <w:rsid w:val="003774C1"/>
    <w:rsid w:val="0039557E"/>
    <w:rsid w:val="003A1491"/>
    <w:rsid w:val="003A44D1"/>
    <w:rsid w:val="003A4F08"/>
    <w:rsid w:val="003B09A6"/>
    <w:rsid w:val="003B0B43"/>
    <w:rsid w:val="003B17BF"/>
    <w:rsid w:val="003C0969"/>
    <w:rsid w:val="003C09A1"/>
    <w:rsid w:val="003C23B2"/>
    <w:rsid w:val="003E1A60"/>
    <w:rsid w:val="003E2FDB"/>
    <w:rsid w:val="00401F64"/>
    <w:rsid w:val="004106DF"/>
    <w:rsid w:val="004107BB"/>
    <w:rsid w:val="00411E7F"/>
    <w:rsid w:val="004147E7"/>
    <w:rsid w:val="00423ABF"/>
    <w:rsid w:val="0043322A"/>
    <w:rsid w:val="00433E1A"/>
    <w:rsid w:val="0043797C"/>
    <w:rsid w:val="00440B2A"/>
    <w:rsid w:val="00453BF9"/>
    <w:rsid w:val="00472C94"/>
    <w:rsid w:val="004739C1"/>
    <w:rsid w:val="00474103"/>
    <w:rsid w:val="00483D64"/>
    <w:rsid w:val="004841ED"/>
    <w:rsid w:val="00486240"/>
    <w:rsid w:val="004B56BB"/>
    <w:rsid w:val="004B5AFA"/>
    <w:rsid w:val="004B5B11"/>
    <w:rsid w:val="004B68CD"/>
    <w:rsid w:val="004C3797"/>
    <w:rsid w:val="004D1B21"/>
    <w:rsid w:val="004E4B62"/>
    <w:rsid w:val="00502F71"/>
    <w:rsid w:val="00503989"/>
    <w:rsid w:val="00515151"/>
    <w:rsid w:val="005228E4"/>
    <w:rsid w:val="00545ED1"/>
    <w:rsid w:val="00547475"/>
    <w:rsid w:val="00561F93"/>
    <w:rsid w:val="00563D6D"/>
    <w:rsid w:val="005643BF"/>
    <w:rsid w:val="005679C8"/>
    <w:rsid w:val="005A2112"/>
    <w:rsid w:val="005B7DC3"/>
    <w:rsid w:val="005C4569"/>
    <w:rsid w:val="005C668B"/>
    <w:rsid w:val="005D71FA"/>
    <w:rsid w:val="005F31AB"/>
    <w:rsid w:val="005F765E"/>
    <w:rsid w:val="00610D55"/>
    <w:rsid w:val="00627CB6"/>
    <w:rsid w:val="00631F0F"/>
    <w:rsid w:val="006450BE"/>
    <w:rsid w:val="00652AE8"/>
    <w:rsid w:val="006541C9"/>
    <w:rsid w:val="0066033E"/>
    <w:rsid w:val="00662892"/>
    <w:rsid w:val="006770BE"/>
    <w:rsid w:val="00680582"/>
    <w:rsid w:val="006A31F5"/>
    <w:rsid w:val="006B17BF"/>
    <w:rsid w:val="006B1A0E"/>
    <w:rsid w:val="006C3993"/>
    <w:rsid w:val="006D2772"/>
    <w:rsid w:val="006D449C"/>
    <w:rsid w:val="006E6B4E"/>
    <w:rsid w:val="00701819"/>
    <w:rsid w:val="00711E18"/>
    <w:rsid w:val="00712FA5"/>
    <w:rsid w:val="007277C7"/>
    <w:rsid w:val="00732E53"/>
    <w:rsid w:val="00737671"/>
    <w:rsid w:val="0077053D"/>
    <w:rsid w:val="00776D04"/>
    <w:rsid w:val="007815C0"/>
    <w:rsid w:val="00783474"/>
    <w:rsid w:val="0079464F"/>
    <w:rsid w:val="00795437"/>
    <w:rsid w:val="007979B3"/>
    <w:rsid w:val="007A54F8"/>
    <w:rsid w:val="007B76AA"/>
    <w:rsid w:val="007B7DE6"/>
    <w:rsid w:val="007E5694"/>
    <w:rsid w:val="007E681F"/>
    <w:rsid w:val="007F7CCE"/>
    <w:rsid w:val="0080058D"/>
    <w:rsid w:val="00804457"/>
    <w:rsid w:val="00812E8E"/>
    <w:rsid w:val="00813143"/>
    <w:rsid w:val="00823F15"/>
    <w:rsid w:val="008256A2"/>
    <w:rsid w:val="0083680E"/>
    <w:rsid w:val="00856F71"/>
    <w:rsid w:val="0087395A"/>
    <w:rsid w:val="00884A22"/>
    <w:rsid w:val="00884C7A"/>
    <w:rsid w:val="008876E0"/>
    <w:rsid w:val="00893CBE"/>
    <w:rsid w:val="00894B35"/>
    <w:rsid w:val="008B1BB4"/>
    <w:rsid w:val="008C3C14"/>
    <w:rsid w:val="008E68C8"/>
    <w:rsid w:val="008F1E2B"/>
    <w:rsid w:val="008F3A94"/>
    <w:rsid w:val="009032E4"/>
    <w:rsid w:val="00904957"/>
    <w:rsid w:val="00914C12"/>
    <w:rsid w:val="00914F28"/>
    <w:rsid w:val="009340E1"/>
    <w:rsid w:val="0093608E"/>
    <w:rsid w:val="009451FB"/>
    <w:rsid w:val="0094543B"/>
    <w:rsid w:val="00962A17"/>
    <w:rsid w:val="00963381"/>
    <w:rsid w:val="00967F75"/>
    <w:rsid w:val="00987AE0"/>
    <w:rsid w:val="009B7D11"/>
    <w:rsid w:val="009C5627"/>
    <w:rsid w:val="009D3A33"/>
    <w:rsid w:val="009E31BD"/>
    <w:rsid w:val="009F1AE5"/>
    <w:rsid w:val="009F3AB2"/>
    <w:rsid w:val="009F7D8D"/>
    <w:rsid w:val="00A24BE1"/>
    <w:rsid w:val="00A32B1C"/>
    <w:rsid w:val="00A36E0A"/>
    <w:rsid w:val="00A45D94"/>
    <w:rsid w:val="00A45F39"/>
    <w:rsid w:val="00A46675"/>
    <w:rsid w:val="00A46A72"/>
    <w:rsid w:val="00A60F27"/>
    <w:rsid w:val="00A64DEB"/>
    <w:rsid w:val="00A66088"/>
    <w:rsid w:val="00A776D2"/>
    <w:rsid w:val="00A80DBE"/>
    <w:rsid w:val="00A854B2"/>
    <w:rsid w:val="00A908A9"/>
    <w:rsid w:val="00A9230B"/>
    <w:rsid w:val="00A95B78"/>
    <w:rsid w:val="00AA3991"/>
    <w:rsid w:val="00AC6AA4"/>
    <w:rsid w:val="00AD1CBD"/>
    <w:rsid w:val="00AE33A2"/>
    <w:rsid w:val="00AE5F48"/>
    <w:rsid w:val="00B034C1"/>
    <w:rsid w:val="00B073A3"/>
    <w:rsid w:val="00B26FCA"/>
    <w:rsid w:val="00B6068B"/>
    <w:rsid w:val="00B614E0"/>
    <w:rsid w:val="00B66D17"/>
    <w:rsid w:val="00B7380D"/>
    <w:rsid w:val="00B82E92"/>
    <w:rsid w:val="00B94D6B"/>
    <w:rsid w:val="00BA434E"/>
    <w:rsid w:val="00BA6F8E"/>
    <w:rsid w:val="00BA77EC"/>
    <w:rsid w:val="00BB2E7C"/>
    <w:rsid w:val="00BB339B"/>
    <w:rsid w:val="00BC05AF"/>
    <w:rsid w:val="00BC29C0"/>
    <w:rsid w:val="00BC7489"/>
    <w:rsid w:val="00BD2A27"/>
    <w:rsid w:val="00BE7755"/>
    <w:rsid w:val="00BF54D1"/>
    <w:rsid w:val="00C21FD8"/>
    <w:rsid w:val="00C266CD"/>
    <w:rsid w:val="00C3393C"/>
    <w:rsid w:val="00C37B34"/>
    <w:rsid w:val="00C56B78"/>
    <w:rsid w:val="00C616F2"/>
    <w:rsid w:val="00C74047"/>
    <w:rsid w:val="00C85AF5"/>
    <w:rsid w:val="00CA1BCA"/>
    <w:rsid w:val="00CA3411"/>
    <w:rsid w:val="00CA4CBA"/>
    <w:rsid w:val="00CA6B12"/>
    <w:rsid w:val="00CC1E21"/>
    <w:rsid w:val="00CD0DCB"/>
    <w:rsid w:val="00CD1661"/>
    <w:rsid w:val="00CD2B0C"/>
    <w:rsid w:val="00CD6B0D"/>
    <w:rsid w:val="00CE1D16"/>
    <w:rsid w:val="00CE291B"/>
    <w:rsid w:val="00CE4FE5"/>
    <w:rsid w:val="00CF1591"/>
    <w:rsid w:val="00CF583C"/>
    <w:rsid w:val="00D01557"/>
    <w:rsid w:val="00D04003"/>
    <w:rsid w:val="00D043D8"/>
    <w:rsid w:val="00D170B2"/>
    <w:rsid w:val="00D31004"/>
    <w:rsid w:val="00D41966"/>
    <w:rsid w:val="00D46961"/>
    <w:rsid w:val="00D46C8E"/>
    <w:rsid w:val="00D5080C"/>
    <w:rsid w:val="00D53686"/>
    <w:rsid w:val="00D576F3"/>
    <w:rsid w:val="00D64A2B"/>
    <w:rsid w:val="00D70924"/>
    <w:rsid w:val="00D803A3"/>
    <w:rsid w:val="00D847F1"/>
    <w:rsid w:val="00D87BF5"/>
    <w:rsid w:val="00D9378F"/>
    <w:rsid w:val="00DA35BD"/>
    <w:rsid w:val="00DB48A8"/>
    <w:rsid w:val="00DB5445"/>
    <w:rsid w:val="00DB6E54"/>
    <w:rsid w:val="00DD19CF"/>
    <w:rsid w:val="00DD5477"/>
    <w:rsid w:val="00DE3599"/>
    <w:rsid w:val="00DE6201"/>
    <w:rsid w:val="00E22F64"/>
    <w:rsid w:val="00E24C60"/>
    <w:rsid w:val="00E2531A"/>
    <w:rsid w:val="00E27E78"/>
    <w:rsid w:val="00E36125"/>
    <w:rsid w:val="00E369AE"/>
    <w:rsid w:val="00E40779"/>
    <w:rsid w:val="00E43E55"/>
    <w:rsid w:val="00E45BDA"/>
    <w:rsid w:val="00E50F9A"/>
    <w:rsid w:val="00E66D74"/>
    <w:rsid w:val="00E6737A"/>
    <w:rsid w:val="00E7126D"/>
    <w:rsid w:val="00E93D4E"/>
    <w:rsid w:val="00ED6B24"/>
    <w:rsid w:val="00F04648"/>
    <w:rsid w:val="00F13500"/>
    <w:rsid w:val="00F13D0C"/>
    <w:rsid w:val="00F14D98"/>
    <w:rsid w:val="00F23D8C"/>
    <w:rsid w:val="00F36E57"/>
    <w:rsid w:val="00F36F95"/>
    <w:rsid w:val="00F37EF0"/>
    <w:rsid w:val="00F511ED"/>
    <w:rsid w:val="00F56428"/>
    <w:rsid w:val="00F62065"/>
    <w:rsid w:val="00F75A4B"/>
    <w:rsid w:val="00F761FC"/>
    <w:rsid w:val="00F81A62"/>
    <w:rsid w:val="00F82750"/>
    <w:rsid w:val="00F83B88"/>
    <w:rsid w:val="00FA5D74"/>
    <w:rsid w:val="00FC1ED9"/>
    <w:rsid w:val="00FC54CE"/>
    <w:rsid w:val="00FC7C6F"/>
    <w:rsid w:val="00FD083B"/>
    <w:rsid w:val="00FD5B8C"/>
    <w:rsid w:val="00FE4E42"/>
    <w:rsid w:val="00FF4B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5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F7D42"/>
    <w:pPr>
      <w:widowControl w:val="0"/>
      <w:autoSpaceDE w:val="0"/>
      <w:autoSpaceDN w:val="0"/>
      <w:adjustRightInd w:val="0"/>
    </w:pPr>
    <w:rPr>
      <w:color w:val="000000"/>
      <w:sz w:val="24"/>
      <w:szCs w:val="24"/>
    </w:rPr>
  </w:style>
  <w:style w:type="character" w:styleId="a3">
    <w:name w:val="annotation reference"/>
    <w:basedOn w:val="a0"/>
    <w:rsid w:val="00DB5445"/>
    <w:rPr>
      <w:sz w:val="21"/>
      <w:szCs w:val="21"/>
    </w:rPr>
  </w:style>
  <w:style w:type="paragraph" w:styleId="a4">
    <w:name w:val="annotation text"/>
    <w:basedOn w:val="a"/>
    <w:link w:val="Char"/>
    <w:rsid w:val="00DB5445"/>
    <w:pPr>
      <w:jc w:val="left"/>
    </w:pPr>
  </w:style>
  <w:style w:type="character" w:customStyle="1" w:styleId="Char">
    <w:name w:val="批注文字 Char"/>
    <w:basedOn w:val="a0"/>
    <w:link w:val="a4"/>
    <w:rsid w:val="00DB5445"/>
    <w:rPr>
      <w:kern w:val="2"/>
      <w:sz w:val="21"/>
      <w:szCs w:val="24"/>
    </w:rPr>
  </w:style>
  <w:style w:type="paragraph" w:styleId="a5">
    <w:name w:val="annotation subject"/>
    <w:basedOn w:val="a4"/>
    <w:next w:val="a4"/>
    <w:link w:val="Char0"/>
    <w:rsid w:val="00DB5445"/>
    <w:rPr>
      <w:b/>
      <w:bCs/>
    </w:rPr>
  </w:style>
  <w:style w:type="character" w:customStyle="1" w:styleId="Char0">
    <w:name w:val="批注主题 Char"/>
    <w:basedOn w:val="Char"/>
    <w:link w:val="a5"/>
    <w:rsid w:val="00DB5445"/>
    <w:rPr>
      <w:b/>
      <w:bCs/>
      <w:kern w:val="2"/>
      <w:sz w:val="21"/>
      <w:szCs w:val="24"/>
    </w:rPr>
  </w:style>
  <w:style w:type="paragraph" w:styleId="a6">
    <w:name w:val="Balloon Text"/>
    <w:basedOn w:val="a"/>
    <w:link w:val="Char1"/>
    <w:rsid w:val="00DB5445"/>
    <w:rPr>
      <w:sz w:val="18"/>
      <w:szCs w:val="18"/>
    </w:rPr>
  </w:style>
  <w:style w:type="character" w:customStyle="1" w:styleId="Char1">
    <w:name w:val="批注框文本 Char"/>
    <w:basedOn w:val="a0"/>
    <w:link w:val="a6"/>
    <w:rsid w:val="00DB5445"/>
    <w:rPr>
      <w:kern w:val="2"/>
      <w:sz w:val="18"/>
      <w:szCs w:val="18"/>
    </w:rPr>
  </w:style>
  <w:style w:type="paragraph" w:styleId="a7">
    <w:name w:val="header"/>
    <w:basedOn w:val="a"/>
    <w:link w:val="Char2"/>
    <w:rsid w:val="00166AA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7"/>
    <w:rsid w:val="00166AA2"/>
    <w:rPr>
      <w:kern w:val="2"/>
      <w:sz w:val="18"/>
      <w:szCs w:val="18"/>
    </w:rPr>
  </w:style>
  <w:style w:type="paragraph" w:styleId="a8">
    <w:name w:val="footer"/>
    <w:basedOn w:val="a"/>
    <w:link w:val="Char3"/>
    <w:uiPriority w:val="99"/>
    <w:rsid w:val="00166AA2"/>
    <w:pPr>
      <w:tabs>
        <w:tab w:val="center" w:pos="4153"/>
        <w:tab w:val="right" w:pos="8306"/>
      </w:tabs>
      <w:snapToGrid w:val="0"/>
      <w:jc w:val="left"/>
    </w:pPr>
    <w:rPr>
      <w:sz w:val="18"/>
      <w:szCs w:val="18"/>
    </w:rPr>
  </w:style>
  <w:style w:type="character" w:customStyle="1" w:styleId="Char3">
    <w:name w:val="页脚 Char"/>
    <w:basedOn w:val="a0"/>
    <w:link w:val="a8"/>
    <w:uiPriority w:val="99"/>
    <w:rsid w:val="00166AA2"/>
    <w:rPr>
      <w:kern w:val="2"/>
      <w:sz w:val="18"/>
      <w:szCs w:val="18"/>
    </w:rPr>
  </w:style>
  <w:style w:type="paragraph" w:styleId="a9">
    <w:name w:val="List Paragraph"/>
    <w:basedOn w:val="a"/>
    <w:uiPriority w:val="34"/>
    <w:qFormat/>
    <w:rsid w:val="00245086"/>
    <w:pPr>
      <w:ind w:firstLineChars="200" w:firstLine="420"/>
    </w:pPr>
  </w:style>
  <w:style w:type="paragraph" w:customStyle="1" w:styleId="CharCharCharChar">
    <w:name w:val="Char Char Char Char"/>
    <w:basedOn w:val="a"/>
    <w:autoRedefine/>
    <w:rsid w:val="008C3C14"/>
    <w:pPr>
      <w:tabs>
        <w:tab w:val="num" w:pos="360"/>
      </w:tabs>
    </w:pPr>
    <w:rPr>
      <w:sz w:val="24"/>
    </w:rPr>
  </w:style>
  <w:style w:type="paragraph" w:customStyle="1" w:styleId="CharChar">
    <w:name w:val="Char Char"/>
    <w:basedOn w:val="a"/>
    <w:autoRedefine/>
    <w:rsid w:val="009F1AE5"/>
    <w:pPr>
      <w:tabs>
        <w:tab w:val="num" w:pos="360"/>
      </w:tabs>
    </w:pPr>
    <w:rPr>
      <w:sz w:val="24"/>
    </w:rPr>
  </w:style>
  <w:style w:type="paragraph" w:customStyle="1" w:styleId="CharChar0">
    <w:name w:val="Char Char"/>
    <w:basedOn w:val="a"/>
    <w:autoRedefine/>
    <w:rsid w:val="00F511ED"/>
    <w:pPr>
      <w:tabs>
        <w:tab w:val="num" w:pos="360"/>
      </w:tabs>
    </w:pPr>
    <w:rPr>
      <w:sz w:val="24"/>
    </w:rPr>
  </w:style>
  <w:style w:type="paragraph" w:customStyle="1" w:styleId="CharChar1">
    <w:name w:val="Char Char"/>
    <w:basedOn w:val="a"/>
    <w:autoRedefine/>
    <w:rsid w:val="007E681F"/>
    <w:pPr>
      <w:tabs>
        <w:tab w:val="num" w:pos="360"/>
      </w:tabs>
    </w:pPr>
    <w:rPr>
      <w:sz w:val="24"/>
    </w:rPr>
  </w:style>
  <w:style w:type="paragraph" w:customStyle="1" w:styleId="CharChar2">
    <w:name w:val="Char Char"/>
    <w:basedOn w:val="a"/>
    <w:autoRedefine/>
    <w:rsid w:val="00C74047"/>
    <w:pPr>
      <w:tabs>
        <w:tab w:val="num" w:pos="360"/>
      </w:tabs>
    </w:pPr>
    <w:rPr>
      <w:sz w:val="24"/>
    </w:rPr>
  </w:style>
  <w:style w:type="paragraph" w:styleId="aa">
    <w:name w:val="Revision"/>
    <w:hidden/>
    <w:uiPriority w:val="99"/>
    <w:semiHidden/>
    <w:rsid w:val="00263D0E"/>
    <w:rPr>
      <w:kern w:val="2"/>
      <w:sz w:val="21"/>
      <w:szCs w:val="24"/>
    </w:rPr>
  </w:style>
  <w:style w:type="paragraph" w:styleId="ab">
    <w:name w:val="Date"/>
    <w:basedOn w:val="a"/>
    <w:next w:val="a"/>
    <w:link w:val="Char4"/>
    <w:rsid w:val="000E51FC"/>
    <w:pPr>
      <w:ind w:leftChars="2500" w:left="100"/>
    </w:pPr>
  </w:style>
  <w:style w:type="character" w:customStyle="1" w:styleId="Char4">
    <w:name w:val="日期 Char"/>
    <w:basedOn w:val="a0"/>
    <w:link w:val="ab"/>
    <w:rsid w:val="000E51FC"/>
    <w:rPr>
      <w:kern w:val="2"/>
      <w:sz w:val="21"/>
      <w:szCs w:val="24"/>
    </w:rPr>
  </w:style>
  <w:style w:type="table" w:styleId="ac">
    <w:name w:val="Table Grid"/>
    <w:basedOn w:val="a1"/>
    <w:rsid w:val="00502F7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A8E0F-FDE8-45BA-B171-B1D894A11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635</Words>
  <Characters>3622</Characters>
  <Application>Microsoft Office Word</Application>
  <DocSecurity>4</DocSecurity>
  <Lines>30</Lines>
  <Paragraphs>8</Paragraphs>
  <ScaleCrop>false</ScaleCrop>
  <Company>China</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ZHONGM</dc:creator>
  <cp:lastModifiedBy>ZHONGM</cp:lastModifiedBy>
  <cp:revision>2</cp:revision>
  <cp:lastPrinted>2022-04-19T07:00:00Z</cp:lastPrinted>
  <dcterms:created xsi:type="dcterms:W3CDTF">2023-09-19T16:01:00Z</dcterms:created>
  <dcterms:modified xsi:type="dcterms:W3CDTF">2023-09-19T16:01:00Z</dcterms:modified>
</cp:coreProperties>
</file>