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0D" w:rsidRPr="000B19FC" w:rsidRDefault="00F0550D" w:rsidP="00073927">
      <w:pPr>
        <w:jc w:val="center"/>
        <w:rPr>
          <w:rFonts w:ascii="黑体" w:eastAsia="黑体" w:hAnsi="黑体" w:cstheme="minorBidi"/>
          <w:b/>
          <w:sz w:val="30"/>
          <w:szCs w:val="30"/>
        </w:rPr>
      </w:pPr>
      <w:r w:rsidRPr="000B19FC">
        <w:rPr>
          <w:rFonts w:ascii="黑体" w:eastAsia="黑体" w:hAnsi="黑体" w:cstheme="minorBidi" w:hint="eastAsia"/>
          <w:b/>
          <w:sz w:val="30"/>
          <w:szCs w:val="30"/>
        </w:rPr>
        <w:t>天弘基金管理有限公司关于</w:t>
      </w:r>
      <w:r w:rsidR="00CC4216">
        <w:rPr>
          <w:rFonts w:ascii="黑体" w:eastAsia="黑体" w:hAnsi="黑体" w:cstheme="minorBidi" w:hint="eastAsia"/>
          <w:b/>
          <w:sz w:val="30"/>
          <w:szCs w:val="30"/>
        </w:rPr>
        <w:t>天弘永利债券型证券投资基金</w:t>
      </w:r>
      <w:r w:rsidRPr="000B19FC">
        <w:rPr>
          <w:rFonts w:ascii="黑体" w:eastAsia="黑体" w:hAnsi="黑体" w:cstheme="minorBidi" w:hint="eastAsia"/>
          <w:b/>
          <w:sz w:val="30"/>
          <w:szCs w:val="30"/>
        </w:rPr>
        <w:t>恢复大额</w:t>
      </w:r>
      <w:r w:rsidR="00CC4216">
        <w:rPr>
          <w:rFonts w:ascii="黑体" w:eastAsia="黑体" w:hAnsi="黑体" w:cstheme="minorBidi" w:hint="eastAsia"/>
          <w:b/>
          <w:sz w:val="30"/>
          <w:szCs w:val="30"/>
        </w:rPr>
        <w:t>申购、转换转入及定期定额投资</w:t>
      </w:r>
      <w:r w:rsidRPr="000B19FC">
        <w:rPr>
          <w:rFonts w:ascii="黑体" w:eastAsia="黑体" w:hAnsi="黑体" w:cstheme="minorBidi" w:hint="eastAsia"/>
          <w:b/>
          <w:sz w:val="30"/>
          <w:szCs w:val="30"/>
        </w:rPr>
        <w:t>业务的公告</w:t>
      </w:r>
    </w:p>
    <w:p w:rsidR="00F0550D" w:rsidRDefault="00F0550D" w:rsidP="00073927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 w:rsidRPr="00510EE9">
        <w:rPr>
          <w:rFonts w:ascii="仿宋_GB2312" w:hAnsi="inherit" w:cs="宋体" w:hint="eastAsia"/>
          <w:b/>
          <w:color w:val="000000"/>
          <w:kern w:val="0"/>
          <w:sz w:val="24"/>
        </w:rPr>
        <w:t>公告送出日期：</w:t>
      </w:r>
      <w:bookmarkStart w:id="0" w:name="PO_inscribe_date_head"/>
      <w:r w:rsidR="00CC4216">
        <w:rPr>
          <w:rFonts w:ascii="仿宋_GB2312" w:hAnsi="inherit" w:cs="宋体" w:hint="eastAsia"/>
          <w:b/>
          <w:kern w:val="0"/>
          <w:sz w:val="24"/>
        </w:rPr>
        <w:t>2023年09月14日</w:t>
      </w:r>
      <w:bookmarkEnd w:id="0"/>
    </w:p>
    <w:p w:rsidR="00073927" w:rsidRPr="00510EE9" w:rsidRDefault="00073927" w:rsidP="00073927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color w:val="000000"/>
          <w:kern w:val="0"/>
          <w:sz w:val="24"/>
        </w:rPr>
      </w:pPr>
    </w:p>
    <w:p w:rsidR="00F0550D" w:rsidRPr="00510EE9" w:rsidRDefault="00F0550D" w:rsidP="00F0550D">
      <w:pPr>
        <w:pStyle w:val="3"/>
        <w:ind w:firstLine="482"/>
        <w:rPr>
          <w:color w:val="333333"/>
        </w:rPr>
      </w:pPr>
      <w:bookmarkStart w:id="1" w:name="_Toc517881255"/>
      <w:r w:rsidRPr="00510EE9">
        <w:rPr>
          <w:rFonts w:hint="eastAsia"/>
          <w:bdr w:val="none" w:sz="0" w:space="0" w:color="auto" w:frame="1"/>
        </w:rPr>
        <w:t>1</w:t>
      </w:r>
      <w:r w:rsidRPr="00510EE9">
        <w:rPr>
          <w:rFonts w:hint="eastAsia"/>
          <w:bdr w:val="none" w:sz="0" w:space="0" w:color="auto" w:frame="1"/>
        </w:rPr>
        <w:t>、</w:t>
      </w:r>
      <w:r w:rsidRPr="00510EE9">
        <w:rPr>
          <w:rFonts w:hint="eastAsia"/>
        </w:rPr>
        <w:t>公告基本信息</w:t>
      </w:r>
      <w:bookmarkEnd w:id="1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1701"/>
        <w:gridCol w:w="1696"/>
        <w:gridCol w:w="1559"/>
        <w:gridCol w:w="1559"/>
        <w:gridCol w:w="1559"/>
      </w:tblGrid>
      <w:tr w:rsidR="00F0550D" w:rsidRPr="00510EE9" w:rsidTr="00CC421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2F456C" w:rsidRDefault="00F0550D" w:rsidP="009A037F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bookmarkStart w:id="2" w:name="PO_base_info_table"/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2F456C" w:rsidRDefault="00CC4216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天弘永利债券型证券投资基金</w:t>
            </w:r>
          </w:p>
        </w:tc>
      </w:tr>
      <w:tr w:rsidR="00F0550D" w:rsidRPr="00510EE9" w:rsidTr="00CC421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2F456C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50D" w:rsidRPr="00680DBC" w:rsidRDefault="00CC4216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天弘永利债券</w:t>
            </w:r>
          </w:p>
        </w:tc>
      </w:tr>
      <w:tr w:rsidR="00F0550D" w:rsidRPr="00510EE9" w:rsidTr="00CC4216">
        <w:trPr>
          <w:trHeight w:val="258"/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0550D" w:rsidRPr="002F456C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 w:rsidRPr="002F456C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0D" w:rsidRPr="002F456C" w:rsidRDefault="00CC4216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420002</w:t>
            </w:r>
          </w:p>
        </w:tc>
      </w:tr>
      <w:tr w:rsidR="00F0550D" w:rsidRPr="00510EE9" w:rsidTr="00CC421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510EE9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510EE9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F0550D" w:rsidRPr="00510EE9" w:rsidTr="00CC4216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0D" w:rsidRPr="00510EE9" w:rsidRDefault="00F0550D" w:rsidP="009A037F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510EE9" w:rsidRDefault="00F07658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</w:t>
            </w:r>
            <w:r w:rsidR="00F0550D">
              <w:rPr>
                <w:rFonts w:ascii="仿宋_GB2312" w:hAnsi="宋体" w:hint="eastAsia"/>
                <w:sz w:val="24"/>
              </w:rPr>
              <w:t>相关法律法规以及《</w:t>
            </w:r>
            <w:r w:rsidR="00CC4216">
              <w:rPr>
                <w:rFonts w:ascii="仿宋_GB2312" w:hAnsi="inherit" w:cs="宋体" w:hint="eastAsia"/>
                <w:kern w:val="0"/>
                <w:sz w:val="24"/>
              </w:rPr>
              <w:t>天弘永利债券型证券投资基金</w:t>
            </w:r>
            <w:r w:rsidR="00F0550D">
              <w:rPr>
                <w:rFonts w:ascii="仿宋_GB2312" w:hAnsi="宋体" w:hint="eastAsia"/>
                <w:sz w:val="24"/>
              </w:rPr>
              <w:t>基金合同》、《</w:t>
            </w:r>
            <w:r w:rsidR="00CC4216">
              <w:rPr>
                <w:rFonts w:ascii="仿宋_GB2312" w:hAnsi="inherit" w:cs="宋体" w:hint="eastAsia"/>
                <w:kern w:val="0"/>
                <w:sz w:val="24"/>
              </w:rPr>
              <w:t>天弘永利债券型证券投资基金</w:t>
            </w:r>
            <w:r w:rsidR="00F0550D" w:rsidRPr="00E0032E"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F0550D" w:rsidRPr="00510EE9" w:rsidTr="00CC4216">
        <w:trPr>
          <w:jc w:val="center"/>
        </w:trPr>
        <w:tc>
          <w:tcPr>
            <w:tcW w:w="9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0D" w:rsidRPr="00510EE9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510EE9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</w:t>
            </w: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大额申购日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510EE9" w:rsidRDefault="00CC4216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2023年09月14日</w:t>
            </w:r>
          </w:p>
        </w:tc>
      </w:tr>
      <w:tr w:rsidR="00F0550D" w:rsidRPr="00510EE9" w:rsidTr="00CC4216">
        <w:trPr>
          <w:jc w:val="center"/>
        </w:trPr>
        <w:tc>
          <w:tcPr>
            <w:tcW w:w="9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0D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50D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</w:t>
            </w: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转入日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50D" w:rsidRDefault="00CC4216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2023年09月14日</w:t>
            </w:r>
          </w:p>
        </w:tc>
      </w:tr>
      <w:tr w:rsidR="00F0550D" w:rsidRPr="00510EE9" w:rsidTr="00CC4216">
        <w:trPr>
          <w:jc w:val="center"/>
        </w:trPr>
        <w:tc>
          <w:tcPr>
            <w:tcW w:w="988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50D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50D" w:rsidRDefault="00F0550D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</w:t>
            </w: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定期定额投资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50D" w:rsidRPr="00B72B0A" w:rsidRDefault="00CC4216" w:rsidP="009A037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2023年09月14日</w:t>
            </w:r>
          </w:p>
        </w:tc>
      </w:tr>
      <w:tr w:rsidR="00F0550D" w:rsidRPr="001532CE" w:rsidTr="00CC4216">
        <w:trPr>
          <w:jc w:val="center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0550D" w:rsidRPr="00510EE9" w:rsidRDefault="00F0550D" w:rsidP="009A037F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550D" w:rsidRPr="00510EE9" w:rsidRDefault="00F0550D" w:rsidP="009A037F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</w:t>
            </w:r>
            <w:r w:rsidRPr="00D73593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大额</w:t>
            </w: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申购</w:t>
            </w:r>
            <w:r w:rsidR="00CC4216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</w:t>
            </w:r>
            <w:r w:rsidRPr="00510EE9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原因说明</w:t>
            </w:r>
          </w:p>
        </w:tc>
        <w:tc>
          <w:tcPr>
            <w:tcW w:w="637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550D" w:rsidRPr="00510EE9" w:rsidRDefault="00F0550D" w:rsidP="009A037F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</w:t>
            </w: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投资者投资需求</w:t>
            </w:r>
          </w:p>
        </w:tc>
      </w:tr>
      <w:tr w:rsidR="00CC4216" w:rsidRPr="001532CE" w:rsidTr="00CC4216">
        <w:trPr>
          <w:trHeight w:val="634"/>
          <w:jc w:val="center"/>
        </w:trPr>
        <w:tc>
          <w:tcPr>
            <w:tcW w:w="2689" w:type="dxa"/>
            <w:gridSpan w:val="2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</w:t>
            </w:r>
            <w:r>
              <w:rPr>
                <w:rFonts w:ascii="仿宋_GB2312" w:hAnsi="宋体"/>
                <w:sz w:val="24"/>
              </w:rPr>
              <w:t>分级基金的基金简称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E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天弘永利债券</w:t>
            </w:r>
            <w:r>
              <w:rPr>
                <w:rFonts w:ascii="仿宋_GB2312" w:hAnsi="宋体"/>
                <w:sz w:val="24"/>
              </w:rPr>
              <w:t>B</w:t>
            </w:r>
          </w:p>
        </w:tc>
      </w:tr>
      <w:tr w:rsidR="00CC4216" w:rsidRPr="001532CE" w:rsidTr="00CC4216">
        <w:trPr>
          <w:trHeight w:val="700"/>
          <w:jc w:val="center"/>
        </w:trPr>
        <w:tc>
          <w:tcPr>
            <w:tcW w:w="2689" w:type="dxa"/>
            <w:gridSpan w:val="2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</w:t>
            </w:r>
            <w:r>
              <w:rPr>
                <w:rFonts w:ascii="仿宋_GB2312" w:hAnsi="宋体"/>
                <w:sz w:val="24"/>
              </w:rPr>
              <w:t>分级基金的交易代码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002794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009610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420002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420102</w:t>
            </w:r>
          </w:p>
        </w:tc>
      </w:tr>
      <w:tr w:rsidR="00CC4216" w:rsidRPr="001532CE" w:rsidTr="00CC4216">
        <w:trPr>
          <w:jc w:val="center"/>
        </w:trPr>
        <w:tc>
          <w:tcPr>
            <w:tcW w:w="2689" w:type="dxa"/>
            <w:gridSpan w:val="2"/>
            <w:shd w:val="clear" w:color="auto" w:fill="auto"/>
          </w:tcPr>
          <w:p w:rsidR="00CC4216" w:rsidRDefault="00CC4216" w:rsidP="00961766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</w:t>
            </w:r>
            <w:r>
              <w:rPr>
                <w:rFonts w:ascii="仿宋_GB2312" w:hAnsi="宋体"/>
                <w:sz w:val="24"/>
              </w:rPr>
              <w:t>分级基金</w:t>
            </w:r>
            <w:r>
              <w:rPr>
                <w:rFonts w:ascii="仿宋_GB2312" w:hAnsi="宋体" w:hint="eastAsia"/>
                <w:sz w:val="24"/>
              </w:rPr>
              <w:t>是否恢复大额</w:t>
            </w:r>
            <w:r>
              <w:rPr>
                <w:rFonts w:ascii="仿宋_GB2312" w:hAnsi="宋体"/>
                <w:sz w:val="24"/>
              </w:rPr>
              <w:t>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宋体"/>
                <w:sz w:val="24"/>
              </w:rPr>
              <w:t xml:space="preserve"> </w:t>
            </w:r>
          </w:p>
        </w:tc>
        <w:tc>
          <w:tcPr>
            <w:tcW w:w="1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1559" w:type="dxa"/>
            <w:shd w:val="clear" w:color="auto" w:fill="auto"/>
          </w:tcPr>
          <w:p w:rsidR="00CC4216" w:rsidRDefault="00CC4216" w:rsidP="005412D2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</w:tr>
    </w:tbl>
    <w:p w:rsidR="00F0550D" w:rsidRDefault="00F0550D" w:rsidP="00F0550D">
      <w:pPr>
        <w:pStyle w:val="3"/>
        <w:ind w:firstLine="482"/>
      </w:pPr>
      <w:bookmarkStart w:id="3" w:name="_Toc517881256"/>
      <w:bookmarkEnd w:id="2"/>
      <w:r w:rsidRPr="00510EE9">
        <w:rPr>
          <w:rFonts w:hint="eastAsia"/>
          <w:bdr w:val="none" w:sz="0" w:space="0" w:color="auto" w:frame="1"/>
        </w:rPr>
        <w:t>2</w:t>
      </w:r>
      <w:r w:rsidRPr="00510EE9">
        <w:rPr>
          <w:rFonts w:hint="eastAsia"/>
          <w:bdr w:val="none" w:sz="0" w:space="0" w:color="auto" w:frame="1"/>
        </w:rPr>
        <w:t>、</w:t>
      </w:r>
      <w:r w:rsidRPr="00510EE9">
        <w:rPr>
          <w:rFonts w:hint="eastAsia"/>
        </w:rPr>
        <w:t>其他需要提示的事项</w:t>
      </w:r>
      <w:bookmarkEnd w:id="3"/>
    </w:p>
    <w:p w:rsidR="00F0550D" w:rsidRPr="000D6A76" w:rsidRDefault="00F0550D" w:rsidP="00F0550D">
      <w:pPr>
        <w:spacing w:line="360" w:lineRule="auto"/>
        <w:ind w:firstLineChars="200" w:firstLine="480"/>
        <w:rPr>
          <w:i/>
          <w:color w:val="FF0000"/>
        </w:rPr>
      </w:pPr>
      <w:r w:rsidRPr="000D6A76">
        <w:rPr>
          <w:rFonts w:ascii="仿宋_GB2312" w:hAnsi="inherit" w:cs="宋体" w:hint="eastAsia"/>
          <w:color w:val="000000"/>
          <w:kern w:val="0"/>
          <w:sz w:val="24"/>
        </w:rPr>
        <w:t>（1）根据基金管理人于</w:t>
      </w:r>
      <w:r w:rsidR="00CC4216">
        <w:rPr>
          <w:rFonts w:ascii="仿宋_GB2312" w:hAnsi="inherit" w:cs="宋体" w:hint="eastAsia"/>
          <w:kern w:val="0"/>
          <w:sz w:val="24"/>
        </w:rPr>
        <w:t>2022年04月09日</w:t>
      </w:r>
      <w:r w:rsidRPr="000D6A76">
        <w:rPr>
          <w:rFonts w:ascii="仿宋_GB2312" w:hAnsi="inherit" w:cs="宋体"/>
          <w:color w:val="000000"/>
          <w:kern w:val="0"/>
          <w:sz w:val="24"/>
        </w:rPr>
        <w:t>发布的《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lastRenderedPageBreak/>
        <w:t>关于</w:t>
      </w:r>
      <w:r w:rsidR="00CC4216">
        <w:rPr>
          <w:rFonts w:ascii="仿宋_GB2312" w:hAnsi="inherit" w:cs="宋体" w:hint="eastAsia"/>
          <w:color w:val="000000"/>
          <w:kern w:val="0"/>
          <w:sz w:val="24"/>
        </w:rPr>
        <w:t>天弘永利债券型证券投资基金</w:t>
      </w:r>
      <w:bookmarkStart w:id="4" w:name="_GoBack"/>
      <w:bookmarkEnd w:id="4"/>
      <w:r w:rsidR="00CC4216">
        <w:rPr>
          <w:rFonts w:ascii="仿宋_GB2312" w:hAnsi="inherit" w:cs="宋体" w:hint="eastAsia"/>
          <w:color w:val="000000"/>
          <w:kern w:val="0"/>
          <w:sz w:val="24"/>
        </w:rPr>
        <w:t>调整</w:t>
      </w:r>
      <w:r w:rsidR="00485666">
        <w:rPr>
          <w:rFonts w:ascii="仿宋_GB2312" w:hAnsi="inherit" w:cs="宋体" w:hint="eastAsia"/>
          <w:color w:val="000000"/>
          <w:kern w:val="0"/>
          <w:sz w:val="24"/>
        </w:rPr>
        <w:t>大额</w:t>
      </w:r>
      <w:r w:rsidR="00CC4216">
        <w:rPr>
          <w:rFonts w:ascii="仿宋_GB2312" w:hAnsi="inherit" w:cs="宋体" w:hint="eastAsia"/>
          <w:kern w:val="0"/>
          <w:sz w:val="24"/>
        </w:rPr>
        <w:t>申购、转换转入及定期定额投资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业务的公告</w:t>
      </w:r>
      <w:r w:rsidRPr="000D6A76">
        <w:rPr>
          <w:rFonts w:ascii="仿宋_GB2312" w:hAnsi="inherit" w:cs="宋体"/>
          <w:color w:val="000000"/>
          <w:kern w:val="0"/>
          <w:sz w:val="24"/>
        </w:rPr>
        <w:t>》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，本公司</w:t>
      </w:r>
      <w:r w:rsidRPr="000D6A76">
        <w:rPr>
          <w:rFonts w:ascii="仿宋_GB2312" w:hAnsi="inherit" w:cs="宋体"/>
          <w:color w:val="000000"/>
          <w:kern w:val="0"/>
          <w:sz w:val="24"/>
        </w:rPr>
        <w:t>决定自</w:t>
      </w:r>
      <w:r w:rsidR="00CC4216">
        <w:rPr>
          <w:rFonts w:ascii="仿宋_GB2312" w:hAnsi="inherit" w:cs="宋体" w:hint="eastAsia"/>
          <w:kern w:val="0"/>
          <w:sz w:val="24"/>
        </w:rPr>
        <w:t>2022年04月11日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起</w:t>
      </w:r>
      <w:r w:rsidRPr="000D6A76">
        <w:rPr>
          <w:rFonts w:ascii="仿宋_GB2312" w:hAnsi="inherit" w:cs="宋体"/>
          <w:color w:val="000000"/>
          <w:kern w:val="0"/>
          <w:sz w:val="24"/>
        </w:rPr>
        <w:t>，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暂停受理</w:t>
      </w:r>
      <w:r w:rsidR="00CC4216">
        <w:rPr>
          <w:rFonts w:ascii="仿宋_GB2312" w:hAnsi="inherit" w:cs="宋体" w:hint="eastAsia"/>
          <w:kern w:val="0"/>
          <w:sz w:val="24"/>
        </w:rPr>
        <w:t>天弘永利债券型证券投资基金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（以下</w:t>
      </w:r>
      <w:r w:rsidRPr="000D6A76">
        <w:rPr>
          <w:rFonts w:ascii="仿宋_GB2312" w:hAnsi="inherit" w:cs="宋体"/>
          <w:color w:val="000000"/>
          <w:kern w:val="0"/>
          <w:sz w:val="24"/>
        </w:rPr>
        <w:t>简称</w:t>
      </w:r>
      <w:r w:rsidRPr="000D6A76">
        <w:rPr>
          <w:rFonts w:ascii="仿宋_GB2312" w:hAnsi="inherit" w:cs="宋体"/>
          <w:color w:val="000000"/>
          <w:kern w:val="0"/>
          <w:sz w:val="24"/>
        </w:rPr>
        <w:t>“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本基金</w:t>
      </w:r>
      <w:r w:rsidRPr="000D6A76">
        <w:rPr>
          <w:rFonts w:ascii="仿宋_GB2312" w:hAnsi="inherit" w:cs="宋体"/>
          <w:color w:val="000000"/>
          <w:kern w:val="0"/>
          <w:sz w:val="24"/>
        </w:rPr>
        <w:t>”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）单笔金额</w:t>
      </w:r>
      <w:r w:rsidR="00CC4216">
        <w:rPr>
          <w:rFonts w:ascii="仿宋_GB2312" w:hAnsi="inherit" w:cs="宋体" w:hint="eastAsia"/>
          <w:kern w:val="0"/>
          <w:sz w:val="24"/>
        </w:rPr>
        <w:t>1亿元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以上（不含</w:t>
      </w:r>
      <w:r w:rsidR="00CC4216">
        <w:rPr>
          <w:rFonts w:ascii="仿宋_GB2312" w:hAnsi="inherit" w:cs="宋体" w:hint="eastAsia"/>
          <w:kern w:val="0"/>
          <w:sz w:val="24"/>
        </w:rPr>
        <w:t>1亿元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）的</w:t>
      </w:r>
      <w:r w:rsidR="00CC4216">
        <w:rPr>
          <w:rFonts w:ascii="仿宋_GB2312" w:hAnsi="inherit" w:cs="宋体" w:hint="eastAsia"/>
          <w:kern w:val="0"/>
          <w:sz w:val="24"/>
        </w:rPr>
        <w:t>申购、转换转入及定期定额投资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业务申请，且单个基金账户单日累计申购</w:t>
      </w:r>
      <w:r w:rsidR="00CC4216">
        <w:rPr>
          <w:rFonts w:ascii="仿宋_GB2312" w:hAnsi="inherit" w:cs="宋体" w:hint="eastAsia"/>
          <w:color w:val="000000"/>
          <w:kern w:val="0"/>
          <w:sz w:val="24"/>
        </w:rPr>
        <w:t>单个基金份额的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金额不得超过</w:t>
      </w:r>
      <w:r w:rsidR="00CC4216">
        <w:rPr>
          <w:rFonts w:ascii="仿宋_GB2312" w:hAnsi="inherit" w:cs="宋体" w:hint="eastAsia"/>
          <w:kern w:val="0"/>
          <w:sz w:val="24"/>
        </w:rPr>
        <w:t>1亿元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（不含</w:t>
      </w:r>
      <w:r w:rsidR="00CC4216">
        <w:rPr>
          <w:rFonts w:ascii="仿宋_GB2312" w:hAnsi="inherit" w:cs="宋体" w:hint="eastAsia"/>
          <w:kern w:val="0"/>
          <w:sz w:val="24"/>
        </w:rPr>
        <w:t>1亿元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）。如单日累计申购</w:t>
      </w:r>
      <w:r w:rsidR="00CC4216" w:rsidRPr="00CC4216">
        <w:rPr>
          <w:rFonts w:ascii="仿宋_GB2312" w:hAnsi="inherit" w:cs="宋体" w:hint="eastAsia"/>
          <w:color w:val="000000"/>
          <w:kern w:val="0"/>
          <w:sz w:val="24"/>
        </w:rPr>
        <w:t>单个基金份额的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金额超过</w:t>
      </w:r>
      <w:r w:rsidR="00CC4216">
        <w:rPr>
          <w:rFonts w:ascii="仿宋_GB2312" w:hAnsi="inherit" w:cs="宋体" w:hint="eastAsia"/>
          <w:kern w:val="0"/>
          <w:sz w:val="24"/>
        </w:rPr>
        <w:t>1亿元</w:t>
      </w:r>
      <w:r w:rsidRPr="000D6A76">
        <w:rPr>
          <w:rFonts w:ascii="仿宋_GB2312" w:hAnsi="inherit" w:cs="宋体" w:hint="eastAsia"/>
          <w:color w:val="000000"/>
          <w:kern w:val="0"/>
          <w:sz w:val="24"/>
        </w:rPr>
        <w:t>，本公司有权拒绝。</w:t>
      </w:r>
    </w:p>
    <w:p w:rsidR="00F0550D" w:rsidRDefault="00F0550D" w:rsidP="00F0550D">
      <w:pPr>
        <w:widowControl/>
        <w:wordWrap w:val="0"/>
        <w:spacing w:line="360" w:lineRule="auto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为了</w:t>
      </w:r>
      <w:r>
        <w:rPr>
          <w:rFonts w:ascii="仿宋_GB2312" w:hAnsi="inherit" w:cs="宋体"/>
          <w:color w:val="000000"/>
          <w:kern w:val="0"/>
          <w:sz w:val="24"/>
        </w:rPr>
        <w:t>更好</w:t>
      </w:r>
      <w:r>
        <w:rPr>
          <w:rFonts w:ascii="仿宋_GB2312" w:hAnsi="inherit" w:cs="宋体" w:hint="eastAsia"/>
          <w:color w:val="000000"/>
          <w:kern w:val="0"/>
          <w:sz w:val="24"/>
        </w:rPr>
        <w:t>满足投资者投资需求，根据法律法规及本基金基金合同等相关规定，本公司决定自</w:t>
      </w:r>
      <w:r w:rsidR="00CC4216">
        <w:rPr>
          <w:rFonts w:ascii="仿宋_GB2312" w:hAnsi="inherit" w:cs="宋体" w:hint="eastAsia"/>
          <w:kern w:val="0"/>
          <w:sz w:val="24"/>
        </w:rPr>
        <w:t>2023年09月14日</w:t>
      </w:r>
      <w:r>
        <w:rPr>
          <w:rFonts w:ascii="仿宋_GB2312" w:hAnsi="inherit" w:cs="宋体" w:hint="eastAsia"/>
          <w:color w:val="000000"/>
          <w:kern w:val="0"/>
          <w:sz w:val="24"/>
        </w:rPr>
        <w:t>起取消</w:t>
      </w:r>
      <w:r>
        <w:rPr>
          <w:rFonts w:ascii="仿宋_GB2312" w:hAnsi="inherit" w:cs="宋体"/>
          <w:color w:val="000000"/>
          <w:kern w:val="0"/>
          <w:sz w:val="24"/>
        </w:rPr>
        <w:t>上述限制，即</w:t>
      </w:r>
      <w:r>
        <w:rPr>
          <w:rFonts w:ascii="仿宋_GB2312" w:hAnsi="inherit" w:cs="宋体" w:hint="eastAsia"/>
          <w:color w:val="000000"/>
          <w:kern w:val="0"/>
          <w:sz w:val="24"/>
        </w:rPr>
        <w:t>自</w:t>
      </w:r>
      <w:r w:rsidR="00CC4216">
        <w:rPr>
          <w:rFonts w:ascii="仿宋_GB2312" w:hAnsi="inherit" w:cs="宋体" w:hint="eastAsia"/>
          <w:kern w:val="0"/>
          <w:sz w:val="24"/>
        </w:rPr>
        <w:t>2023年09月14日</w:t>
      </w:r>
      <w:r>
        <w:rPr>
          <w:rFonts w:ascii="仿宋_GB2312" w:hAnsi="inherit" w:cs="宋体" w:hint="eastAsia"/>
          <w:color w:val="000000"/>
          <w:kern w:val="0"/>
          <w:sz w:val="24"/>
        </w:rPr>
        <w:t>起恢复办理本基金的</w:t>
      </w:r>
      <w:r w:rsidR="00C868AD">
        <w:rPr>
          <w:rFonts w:ascii="仿宋_GB2312" w:hAnsi="inherit" w:cs="宋体" w:hint="eastAsia"/>
          <w:color w:val="000000"/>
          <w:kern w:val="0"/>
          <w:sz w:val="24"/>
        </w:rPr>
        <w:t>大额申购</w:t>
      </w:r>
      <w:r w:rsidR="00CC4216">
        <w:rPr>
          <w:rFonts w:ascii="仿宋_GB2312" w:hAnsi="inherit" w:cs="宋体" w:hint="eastAsia"/>
          <w:kern w:val="0"/>
          <w:sz w:val="24"/>
        </w:rPr>
        <w:t>（含转换转入及定期定额投资）</w:t>
      </w:r>
      <w:r>
        <w:rPr>
          <w:rFonts w:ascii="仿宋_GB2312" w:hAnsi="inherit" w:cs="宋体" w:hint="eastAsia"/>
          <w:color w:val="000000"/>
          <w:kern w:val="0"/>
          <w:sz w:val="24"/>
        </w:rPr>
        <w:t>业务。</w:t>
      </w:r>
    </w:p>
    <w:p w:rsidR="00F0550D" w:rsidRDefault="00F0550D" w:rsidP="00F0550D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）投资者可登陆本公司网站（www.thfund.com.cn）查询相关信息或拨打客户服务电话（95046）咨询相关事宜。</w:t>
      </w:r>
    </w:p>
    <w:p w:rsidR="00F0550D" w:rsidRDefault="00F0550D" w:rsidP="00F0550D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F0550D" w:rsidRDefault="00F0550D" w:rsidP="00F0550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风险提示： </w:t>
      </w:r>
    </w:p>
    <w:p w:rsidR="00F0550D" w:rsidRDefault="00F0550D" w:rsidP="00F0550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本公司承诺以诚实信用、勤勉尽责的原则管理和运用基金资产，但不保证基金一定盈利，也不保证最低收益。</w:t>
      </w:r>
      <w:r w:rsidRPr="004E4BA7">
        <w:rPr>
          <w:rFonts w:ascii="仿宋_GB2312" w:hint="eastAsia"/>
          <w:sz w:val="24"/>
        </w:rPr>
        <w:t>投资者投资本公司管理的基金时，应认真阅读基金合同、招募说明书等法律文件，并注意投资风险。</w:t>
      </w:r>
    </w:p>
    <w:p w:rsidR="00F0550D" w:rsidRDefault="00F0550D" w:rsidP="00F0550D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F0550D" w:rsidRPr="00183533" w:rsidRDefault="00F0550D" w:rsidP="00F0550D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F0550D" w:rsidRPr="00510EE9" w:rsidRDefault="00F0550D" w:rsidP="00F0550D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 w:rsidRPr="00510EE9">
        <w:rPr>
          <w:rFonts w:ascii="仿宋_GB2312" w:hAnsi="inherit" w:cs="宋体" w:hint="eastAsia"/>
          <w:color w:val="000000"/>
          <w:kern w:val="0"/>
          <w:sz w:val="24"/>
        </w:rPr>
        <w:t xml:space="preserve"> 天弘基金管理有限公司</w:t>
      </w:r>
    </w:p>
    <w:p w:rsidR="00F0550D" w:rsidRPr="00BF260D" w:rsidRDefault="00F0550D" w:rsidP="00F0550D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bookmarkStart w:id="5" w:name="PO_inscribe_date_end"/>
      <w:r w:rsidR="00CC4216">
        <w:rPr>
          <w:rFonts w:ascii="仿宋_GB2312" w:hAnsi="inherit" w:cs="宋体" w:hint="eastAsia"/>
          <w:kern w:val="0"/>
          <w:sz w:val="24"/>
        </w:rPr>
        <w:t>二〇二三年九月十四日</w:t>
      </w:r>
      <w:bookmarkEnd w:id="5"/>
    </w:p>
    <w:p w:rsidR="00F0550D" w:rsidRDefault="00F0550D" w:rsidP="00F0550D">
      <w:pPr>
        <w:widowControl/>
        <w:jc w:val="left"/>
        <w:rPr>
          <w:rFonts w:ascii="仿宋_GB2312" w:hAnsi="宋体"/>
          <w:sz w:val="24"/>
        </w:rPr>
      </w:pPr>
    </w:p>
    <w:sectPr w:rsidR="00F0550D" w:rsidSect="00F1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7E5" w:rsidRDefault="00F077E5" w:rsidP="00D83A33">
      <w:r>
        <w:separator/>
      </w:r>
    </w:p>
  </w:endnote>
  <w:endnote w:type="continuationSeparator" w:id="0">
    <w:p w:rsidR="00F077E5" w:rsidRDefault="00F077E5" w:rsidP="00D83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7E5" w:rsidRDefault="00F077E5" w:rsidP="00D83A33">
      <w:r>
        <w:separator/>
      </w:r>
    </w:p>
  </w:footnote>
  <w:footnote w:type="continuationSeparator" w:id="0">
    <w:p w:rsidR="00F077E5" w:rsidRDefault="00F077E5" w:rsidP="00D83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4D4"/>
    <w:rsid w:val="000067E0"/>
    <w:rsid w:val="000605B3"/>
    <w:rsid w:val="00073927"/>
    <w:rsid w:val="000A333D"/>
    <w:rsid w:val="000C6A08"/>
    <w:rsid w:val="000D2113"/>
    <w:rsid w:val="000D22E3"/>
    <w:rsid w:val="000D6A76"/>
    <w:rsid w:val="000F41AF"/>
    <w:rsid w:val="00101575"/>
    <w:rsid w:val="00177D38"/>
    <w:rsid w:val="00177F8F"/>
    <w:rsid w:val="00187424"/>
    <w:rsid w:val="001B6A3D"/>
    <w:rsid w:val="001C20A2"/>
    <w:rsid w:val="001C739B"/>
    <w:rsid w:val="001D370A"/>
    <w:rsid w:val="001D6881"/>
    <w:rsid w:val="00234E79"/>
    <w:rsid w:val="002444EE"/>
    <w:rsid w:val="00246716"/>
    <w:rsid w:val="00254778"/>
    <w:rsid w:val="0029189C"/>
    <w:rsid w:val="002A2673"/>
    <w:rsid w:val="002C442C"/>
    <w:rsid w:val="002E6614"/>
    <w:rsid w:val="00312430"/>
    <w:rsid w:val="00334127"/>
    <w:rsid w:val="00353495"/>
    <w:rsid w:val="00374036"/>
    <w:rsid w:val="003769FD"/>
    <w:rsid w:val="003775AA"/>
    <w:rsid w:val="0038418E"/>
    <w:rsid w:val="003859CF"/>
    <w:rsid w:val="00390DE1"/>
    <w:rsid w:val="003A2424"/>
    <w:rsid w:val="003C4088"/>
    <w:rsid w:val="003E67A6"/>
    <w:rsid w:val="003F2E0D"/>
    <w:rsid w:val="004275E6"/>
    <w:rsid w:val="004401AA"/>
    <w:rsid w:val="00441A75"/>
    <w:rsid w:val="00456642"/>
    <w:rsid w:val="004702C9"/>
    <w:rsid w:val="004819C9"/>
    <w:rsid w:val="00485666"/>
    <w:rsid w:val="004B06FA"/>
    <w:rsid w:val="004B5910"/>
    <w:rsid w:val="004F5776"/>
    <w:rsid w:val="004F58F5"/>
    <w:rsid w:val="00507EA1"/>
    <w:rsid w:val="0052236C"/>
    <w:rsid w:val="00523661"/>
    <w:rsid w:val="00526FEB"/>
    <w:rsid w:val="00540289"/>
    <w:rsid w:val="005412D2"/>
    <w:rsid w:val="0054649D"/>
    <w:rsid w:val="0054755C"/>
    <w:rsid w:val="005576D1"/>
    <w:rsid w:val="005640AB"/>
    <w:rsid w:val="00567FC9"/>
    <w:rsid w:val="00572C54"/>
    <w:rsid w:val="005944ED"/>
    <w:rsid w:val="005D71DD"/>
    <w:rsid w:val="006069A1"/>
    <w:rsid w:val="00626F00"/>
    <w:rsid w:val="00627E33"/>
    <w:rsid w:val="00631056"/>
    <w:rsid w:val="006601A5"/>
    <w:rsid w:val="00664C78"/>
    <w:rsid w:val="00672086"/>
    <w:rsid w:val="00680DBC"/>
    <w:rsid w:val="006857BF"/>
    <w:rsid w:val="006A14FA"/>
    <w:rsid w:val="006A150D"/>
    <w:rsid w:val="006B1CEF"/>
    <w:rsid w:val="006C31A4"/>
    <w:rsid w:val="006D4EB0"/>
    <w:rsid w:val="006F624B"/>
    <w:rsid w:val="0074345C"/>
    <w:rsid w:val="00743B7D"/>
    <w:rsid w:val="00751F8E"/>
    <w:rsid w:val="007E333F"/>
    <w:rsid w:val="007E523D"/>
    <w:rsid w:val="007F1A0A"/>
    <w:rsid w:val="007F3288"/>
    <w:rsid w:val="007F7F98"/>
    <w:rsid w:val="0080588D"/>
    <w:rsid w:val="0082133F"/>
    <w:rsid w:val="008224D4"/>
    <w:rsid w:val="00874A50"/>
    <w:rsid w:val="008768D8"/>
    <w:rsid w:val="008A4909"/>
    <w:rsid w:val="008A7030"/>
    <w:rsid w:val="008D5972"/>
    <w:rsid w:val="008E1D70"/>
    <w:rsid w:val="00912733"/>
    <w:rsid w:val="00926C6A"/>
    <w:rsid w:val="00954CCF"/>
    <w:rsid w:val="00961766"/>
    <w:rsid w:val="0097729B"/>
    <w:rsid w:val="009A416E"/>
    <w:rsid w:val="009A7A2E"/>
    <w:rsid w:val="00A1086E"/>
    <w:rsid w:val="00A408E3"/>
    <w:rsid w:val="00A42E3C"/>
    <w:rsid w:val="00A45D57"/>
    <w:rsid w:val="00A52506"/>
    <w:rsid w:val="00A729DF"/>
    <w:rsid w:val="00A90C3D"/>
    <w:rsid w:val="00AA438E"/>
    <w:rsid w:val="00AA7BE7"/>
    <w:rsid w:val="00AD2D62"/>
    <w:rsid w:val="00AE0EFE"/>
    <w:rsid w:val="00B24D21"/>
    <w:rsid w:val="00B40C52"/>
    <w:rsid w:val="00B43F33"/>
    <w:rsid w:val="00B44812"/>
    <w:rsid w:val="00B54E12"/>
    <w:rsid w:val="00B6269F"/>
    <w:rsid w:val="00B66C84"/>
    <w:rsid w:val="00B80952"/>
    <w:rsid w:val="00B8404B"/>
    <w:rsid w:val="00B90390"/>
    <w:rsid w:val="00BA1991"/>
    <w:rsid w:val="00BB7CE7"/>
    <w:rsid w:val="00BF7782"/>
    <w:rsid w:val="00C00EBB"/>
    <w:rsid w:val="00C04B74"/>
    <w:rsid w:val="00C12B9E"/>
    <w:rsid w:val="00C175AD"/>
    <w:rsid w:val="00C26DB6"/>
    <w:rsid w:val="00C50E55"/>
    <w:rsid w:val="00C607A3"/>
    <w:rsid w:val="00C60EAF"/>
    <w:rsid w:val="00C639A3"/>
    <w:rsid w:val="00C64130"/>
    <w:rsid w:val="00C64493"/>
    <w:rsid w:val="00C868AD"/>
    <w:rsid w:val="00CC4216"/>
    <w:rsid w:val="00CF4241"/>
    <w:rsid w:val="00D07F0F"/>
    <w:rsid w:val="00D2701B"/>
    <w:rsid w:val="00D83A33"/>
    <w:rsid w:val="00D958FD"/>
    <w:rsid w:val="00D973C9"/>
    <w:rsid w:val="00DC686A"/>
    <w:rsid w:val="00DD0D2B"/>
    <w:rsid w:val="00DF2527"/>
    <w:rsid w:val="00E00534"/>
    <w:rsid w:val="00E07BA7"/>
    <w:rsid w:val="00E30AD2"/>
    <w:rsid w:val="00E46C56"/>
    <w:rsid w:val="00E74862"/>
    <w:rsid w:val="00E966B1"/>
    <w:rsid w:val="00EB2537"/>
    <w:rsid w:val="00EB544B"/>
    <w:rsid w:val="00EC3A3E"/>
    <w:rsid w:val="00EC3FE4"/>
    <w:rsid w:val="00ED39F3"/>
    <w:rsid w:val="00EE09F6"/>
    <w:rsid w:val="00F03165"/>
    <w:rsid w:val="00F0550D"/>
    <w:rsid w:val="00F07658"/>
    <w:rsid w:val="00F077E5"/>
    <w:rsid w:val="00F1128F"/>
    <w:rsid w:val="00F15F99"/>
    <w:rsid w:val="00F50831"/>
    <w:rsid w:val="00F51A6F"/>
    <w:rsid w:val="00F52776"/>
    <w:rsid w:val="00F534FC"/>
    <w:rsid w:val="00F818F6"/>
    <w:rsid w:val="00F941E9"/>
    <w:rsid w:val="00FC36EE"/>
    <w:rsid w:val="00FD3B8B"/>
    <w:rsid w:val="00FF3E50"/>
    <w:rsid w:val="00FF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4B"/>
    <w:pPr>
      <w:widowControl w:val="0"/>
      <w:jc w:val="both"/>
    </w:pPr>
    <w:rPr>
      <w:rFonts w:ascii="Times New Roman" w:eastAsia="仿宋_GB2312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40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8404B"/>
    <w:pPr>
      <w:keepNext/>
      <w:keepLines/>
      <w:spacing w:line="500" w:lineRule="exact"/>
      <w:ind w:firstLineChars="200" w:firstLine="200"/>
      <w:jc w:val="lef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8404B"/>
    <w:rPr>
      <w:rFonts w:ascii="Times New Roman" w:eastAsia="仿宋_GB2312" w:hAnsi="Times New Roman" w:cs="Times New Roman"/>
      <w:b/>
      <w:bCs/>
      <w:sz w:val="24"/>
      <w:szCs w:val="32"/>
    </w:rPr>
  </w:style>
  <w:style w:type="character" w:customStyle="1" w:styleId="2Char">
    <w:name w:val="标题 2 Char"/>
    <w:basedOn w:val="a0"/>
    <w:link w:val="2"/>
    <w:uiPriority w:val="9"/>
    <w:rsid w:val="00B840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234E7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34E7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34E79"/>
    <w:rPr>
      <w:rFonts w:ascii="Times New Roman" w:eastAsia="仿宋_GB2312" w:hAnsi="Times New Roman" w:cs="Times New Roman"/>
      <w:szCs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34E7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34E79"/>
    <w:rPr>
      <w:rFonts w:ascii="Times New Roman" w:eastAsia="仿宋_GB2312" w:hAnsi="Times New Roman" w:cs="Times New Roman"/>
      <w:b/>
      <w:bCs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E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E79"/>
    <w:rPr>
      <w:rFonts w:ascii="Times New Roman" w:eastAsia="仿宋_GB2312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D8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D83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D83A33"/>
    <w:rPr>
      <w:rFonts w:ascii="Times New Roman" w:eastAsia="仿宋_GB2312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743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4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2023-09-13T16:01:00Z</dcterms:created>
  <dcterms:modified xsi:type="dcterms:W3CDTF">2023-09-13T16:01:00Z</dcterms:modified>
</cp:coreProperties>
</file>