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07" w:rsidRPr="00C74061" w:rsidRDefault="004C05CB">
      <w:pPr>
        <w:jc w:val="center"/>
        <w:rPr>
          <w:rFonts w:asciiTheme="minorEastAsia" w:hAnsiTheme="minorEastAsia" w:cs="微软雅黑"/>
          <w:b/>
          <w:bCs/>
          <w:kern w:val="0"/>
          <w:sz w:val="28"/>
          <w:szCs w:val="28"/>
        </w:rPr>
      </w:pPr>
      <w:r w:rsidRPr="00C74061">
        <w:rPr>
          <w:rFonts w:asciiTheme="minorEastAsia" w:hAnsiTheme="minorEastAsia" w:cs="微软雅黑" w:hint="eastAsia"/>
          <w:b/>
          <w:bCs/>
          <w:kern w:val="0"/>
          <w:sz w:val="28"/>
          <w:szCs w:val="28"/>
        </w:rPr>
        <w:t>海富通基金管理有限公司关于旗下部分基金新增兴业银行股份有限公司为销售机构的公告</w:t>
      </w:r>
    </w:p>
    <w:p w:rsidR="00CC7307" w:rsidRPr="00C74061" w:rsidRDefault="00CC7307">
      <w:pPr>
        <w:jc w:val="center"/>
        <w:rPr>
          <w:rFonts w:asciiTheme="minorEastAsia" w:hAnsiTheme="minorEastAsia" w:cstheme="minorEastAsia"/>
          <w:b/>
          <w:bCs/>
          <w:kern w:val="0"/>
          <w:sz w:val="24"/>
          <w:szCs w:val="24"/>
        </w:rPr>
      </w:pPr>
    </w:p>
    <w:p w:rsidR="00CC7307" w:rsidRPr="006243AF" w:rsidRDefault="004C05CB">
      <w:pPr>
        <w:spacing w:line="360" w:lineRule="auto"/>
        <w:ind w:firstLine="420"/>
        <w:rPr>
          <w:rFonts w:asciiTheme="minorEastAsia" w:hAnsiTheme="minorEastAsia" w:cs="微软雅黑"/>
          <w:sz w:val="24"/>
          <w:szCs w:val="24"/>
        </w:rPr>
      </w:pPr>
      <w:r w:rsidRPr="00C74061">
        <w:rPr>
          <w:rFonts w:asciiTheme="minorEastAsia" w:hAnsiTheme="minorEastAsia" w:cs="微软雅黑" w:hint="eastAsia"/>
          <w:sz w:val="24"/>
          <w:szCs w:val="24"/>
        </w:rPr>
        <w:t>兴</w:t>
      </w:r>
      <w:r w:rsidRPr="006243AF">
        <w:rPr>
          <w:rFonts w:asciiTheme="minorEastAsia" w:hAnsiTheme="minorEastAsia" w:cs="微软雅黑" w:hint="eastAsia"/>
          <w:sz w:val="24"/>
          <w:szCs w:val="24"/>
        </w:rPr>
        <w:t>业银行股份有限公司（以下简称“兴业银行”）的开放式基金销售资格已获中国证券监督管理委员会批准。根据海富通基金管理有限公司日前与兴业银行签署的开放式证券投资基金销售协议，现增加兴业银行为旗下部分基金的销售机构。现将有关事项公告如下：</w:t>
      </w:r>
    </w:p>
    <w:p w:rsidR="00CC7307" w:rsidRPr="006243AF" w:rsidRDefault="00CC7307">
      <w:pPr>
        <w:spacing w:line="360" w:lineRule="auto"/>
        <w:ind w:firstLine="420"/>
        <w:rPr>
          <w:rFonts w:asciiTheme="minorEastAsia" w:hAnsiTheme="minorEastAsia" w:cs="微软雅黑"/>
          <w:sz w:val="24"/>
          <w:szCs w:val="24"/>
        </w:rPr>
      </w:pPr>
    </w:p>
    <w:p w:rsidR="00CC7307" w:rsidRPr="000624EE" w:rsidRDefault="000624EE" w:rsidP="000624EE">
      <w:pPr>
        <w:spacing w:line="360" w:lineRule="auto"/>
        <w:ind w:firstLine="420"/>
        <w:rPr>
          <w:rFonts w:asciiTheme="minorEastAsia" w:hAnsiTheme="minorEastAsia" w:cs="微软雅黑"/>
          <w:b/>
          <w:bCs/>
          <w:sz w:val="24"/>
          <w:szCs w:val="24"/>
        </w:rPr>
      </w:pPr>
      <w:r>
        <w:rPr>
          <w:rFonts w:asciiTheme="minorEastAsia" w:hAnsiTheme="minorEastAsia" w:cs="微软雅黑" w:hint="eastAsia"/>
          <w:b/>
          <w:bCs/>
          <w:sz w:val="24"/>
          <w:szCs w:val="24"/>
        </w:rPr>
        <w:t>一、</w:t>
      </w:r>
      <w:bookmarkStart w:id="0" w:name="_GoBack"/>
      <w:bookmarkEnd w:id="0"/>
      <w:r w:rsidR="004C05CB" w:rsidRPr="000624EE">
        <w:rPr>
          <w:rFonts w:asciiTheme="minorEastAsia" w:hAnsiTheme="minorEastAsia" w:cs="微软雅黑" w:hint="eastAsia"/>
          <w:b/>
          <w:bCs/>
          <w:sz w:val="24"/>
          <w:szCs w:val="24"/>
        </w:rPr>
        <w:t>适用基金</w:t>
      </w:r>
    </w:p>
    <w:tbl>
      <w:tblPr>
        <w:tblStyle w:val="a3"/>
        <w:tblW w:w="9662" w:type="dxa"/>
        <w:tblInd w:w="-231" w:type="dxa"/>
        <w:tblLayout w:type="fixed"/>
        <w:tblLook w:val="04A0"/>
      </w:tblPr>
      <w:tblGrid>
        <w:gridCol w:w="787"/>
        <w:gridCol w:w="1950"/>
        <w:gridCol w:w="6925"/>
      </w:tblGrid>
      <w:tr w:rsidR="00CC7307" w:rsidRPr="006243AF" w:rsidTr="00DB78D9">
        <w:trPr>
          <w:trHeight w:val="290"/>
        </w:trPr>
        <w:tc>
          <w:tcPr>
            <w:tcW w:w="787" w:type="dxa"/>
            <w:noWrap/>
            <w:vAlign w:val="center"/>
          </w:tcPr>
          <w:p w:rsidR="00CC7307" w:rsidRPr="006243AF" w:rsidRDefault="004C05CB" w:rsidP="00DB78D9">
            <w:pPr>
              <w:spacing w:line="360" w:lineRule="auto"/>
              <w:jc w:val="center"/>
              <w:rPr>
                <w:rFonts w:asciiTheme="minorEastAsia" w:hAnsiTheme="minorEastAsia" w:cs="微软雅黑"/>
                <w:b/>
                <w:sz w:val="24"/>
                <w:szCs w:val="24"/>
              </w:rPr>
            </w:pPr>
            <w:r w:rsidRPr="006243AF">
              <w:rPr>
                <w:rFonts w:asciiTheme="minorEastAsia" w:hAnsiTheme="minorEastAsia" w:cs="微软雅黑" w:hint="eastAsia"/>
                <w:b/>
                <w:sz w:val="24"/>
                <w:szCs w:val="24"/>
              </w:rPr>
              <w:t>序号</w:t>
            </w:r>
          </w:p>
        </w:tc>
        <w:tc>
          <w:tcPr>
            <w:tcW w:w="1950" w:type="dxa"/>
            <w:noWrap/>
            <w:vAlign w:val="center"/>
          </w:tcPr>
          <w:p w:rsidR="00CC7307" w:rsidRPr="006243AF" w:rsidRDefault="004C05CB" w:rsidP="00DB78D9">
            <w:pPr>
              <w:spacing w:line="360" w:lineRule="auto"/>
              <w:jc w:val="center"/>
              <w:rPr>
                <w:rFonts w:asciiTheme="minorEastAsia" w:hAnsiTheme="minorEastAsia" w:cs="微软雅黑"/>
                <w:b/>
                <w:sz w:val="24"/>
                <w:szCs w:val="24"/>
              </w:rPr>
            </w:pPr>
            <w:r w:rsidRPr="006243AF">
              <w:rPr>
                <w:rFonts w:asciiTheme="minorEastAsia" w:hAnsiTheme="minorEastAsia" w:cs="微软雅黑" w:hint="eastAsia"/>
                <w:b/>
                <w:sz w:val="24"/>
                <w:szCs w:val="24"/>
              </w:rPr>
              <w:t>基金代码</w:t>
            </w:r>
          </w:p>
        </w:tc>
        <w:tc>
          <w:tcPr>
            <w:tcW w:w="6925" w:type="dxa"/>
            <w:vAlign w:val="center"/>
          </w:tcPr>
          <w:p w:rsidR="00CC7307" w:rsidRPr="006243AF" w:rsidRDefault="004C05CB" w:rsidP="00DB78D9">
            <w:pPr>
              <w:spacing w:line="360" w:lineRule="auto"/>
              <w:jc w:val="center"/>
              <w:rPr>
                <w:rFonts w:asciiTheme="minorEastAsia" w:hAnsiTheme="minorEastAsia" w:cs="微软雅黑"/>
                <w:b/>
                <w:sz w:val="24"/>
                <w:szCs w:val="24"/>
              </w:rPr>
            </w:pPr>
            <w:r w:rsidRPr="006243AF">
              <w:rPr>
                <w:rFonts w:asciiTheme="minorEastAsia" w:hAnsiTheme="minorEastAsia" w:cs="微软雅黑" w:hint="eastAsia"/>
                <w:b/>
                <w:sz w:val="24"/>
                <w:szCs w:val="24"/>
              </w:rPr>
              <w:t>基金名称</w:t>
            </w:r>
          </w:p>
        </w:tc>
      </w:tr>
      <w:tr w:rsidR="00DB78D9" w:rsidRPr="006243AF" w:rsidTr="00987705">
        <w:trPr>
          <w:trHeight w:val="290"/>
        </w:trPr>
        <w:tc>
          <w:tcPr>
            <w:tcW w:w="787" w:type="dxa"/>
            <w:noWrap/>
            <w:vAlign w:val="center"/>
          </w:tcPr>
          <w:p w:rsidR="00DB78D9" w:rsidRPr="00CF43B3" w:rsidRDefault="009D50A0" w:rsidP="00DB78D9">
            <w:pPr>
              <w:spacing w:line="360" w:lineRule="auto"/>
              <w:jc w:val="center"/>
              <w:rPr>
                <w:rFonts w:asciiTheme="minorEastAsia" w:hAnsiTheme="minorEastAsia" w:cs="微软雅黑"/>
                <w:bCs/>
                <w:sz w:val="24"/>
                <w:szCs w:val="24"/>
              </w:rPr>
            </w:pPr>
            <w:r>
              <w:rPr>
                <w:rFonts w:asciiTheme="minorEastAsia" w:hAnsiTheme="minorEastAsia" w:cs="微软雅黑"/>
                <w:bCs/>
                <w:sz w:val="24"/>
                <w:szCs w:val="24"/>
              </w:rPr>
              <w:t>1</w:t>
            </w:r>
          </w:p>
        </w:tc>
        <w:tc>
          <w:tcPr>
            <w:tcW w:w="1950" w:type="dxa"/>
            <w:noWrap/>
            <w:vAlign w:val="center"/>
          </w:tcPr>
          <w:p w:rsidR="00DB78D9" w:rsidRPr="00CF43B3" w:rsidRDefault="00DF6667" w:rsidP="00987705">
            <w:pPr>
              <w:spacing w:line="360" w:lineRule="auto"/>
              <w:jc w:val="center"/>
              <w:rPr>
                <w:rFonts w:asciiTheme="minorEastAsia" w:hAnsiTheme="minorEastAsia" w:cs="微软雅黑"/>
                <w:bCs/>
                <w:sz w:val="24"/>
                <w:szCs w:val="24"/>
              </w:rPr>
            </w:pPr>
            <w:r>
              <w:rPr>
                <w:rFonts w:asciiTheme="minorEastAsia" w:hAnsiTheme="minorEastAsia" w:cs="微软雅黑"/>
                <w:bCs/>
                <w:sz w:val="24"/>
                <w:szCs w:val="24"/>
              </w:rPr>
              <w:t>519034</w:t>
            </w:r>
          </w:p>
        </w:tc>
        <w:tc>
          <w:tcPr>
            <w:tcW w:w="6925" w:type="dxa"/>
            <w:vAlign w:val="center"/>
          </w:tcPr>
          <w:p w:rsidR="00DB78D9" w:rsidRPr="00DB78D9" w:rsidRDefault="008B2EF0" w:rsidP="00DB78D9">
            <w:pPr>
              <w:spacing w:line="360" w:lineRule="auto"/>
              <w:jc w:val="center"/>
              <w:rPr>
                <w:rFonts w:asciiTheme="minorEastAsia" w:hAnsiTheme="minorEastAsia" w:cs="微软雅黑"/>
                <w:bCs/>
                <w:sz w:val="24"/>
                <w:szCs w:val="24"/>
              </w:rPr>
            </w:pPr>
            <w:r w:rsidRPr="008B2EF0">
              <w:rPr>
                <w:rFonts w:asciiTheme="minorEastAsia" w:hAnsiTheme="minorEastAsia" w:cs="微软雅黑" w:hint="eastAsia"/>
                <w:bCs/>
                <w:sz w:val="24"/>
                <w:szCs w:val="24"/>
              </w:rPr>
              <w:t>海富通中证500指数增强型证券投资基金</w:t>
            </w:r>
            <w:r w:rsidR="00DF6667">
              <w:rPr>
                <w:rFonts w:asciiTheme="minorEastAsia" w:hAnsiTheme="minorEastAsia" w:cs="微软雅黑"/>
                <w:bCs/>
                <w:sz w:val="24"/>
                <w:szCs w:val="24"/>
              </w:rPr>
              <w:t>A</w:t>
            </w:r>
            <w:r>
              <w:rPr>
                <w:rFonts w:asciiTheme="minorEastAsia" w:hAnsiTheme="minorEastAsia" w:cs="微软雅黑" w:hint="eastAsia"/>
                <w:bCs/>
                <w:sz w:val="24"/>
                <w:szCs w:val="24"/>
              </w:rPr>
              <w:t>类份额</w:t>
            </w:r>
          </w:p>
        </w:tc>
      </w:tr>
      <w:tr w:rsidR="00DF6667" w:rsidRPr="006243AF" w:rsidTr="00987705">
        <w:trPr>
          <w:trHeight w:val="290"/>
        </w:trPr>
        <w:tc>
          <w:tcPr>
            <w:tcW w:w="787" w:type="dxa"/>
            <w:noWrap/>
            <w:vAlign w:val="center"/>
          </w:tcPr>
          <w:p w:rsidR="00DF6667" w:rsidRDefault="009D50A0" w:rsidP="00DB78D9">
            <w:pPr>
              <w:spacing w:line="360" w:lineRule="auto"/>
              <w:jc w:val="center"/>
              <w:rPr>
                <w:rFonts w:asciiTheme="minorEastAsia" w:hAnsiTheme="minorEastAsia" w:cs="微软雅黑"/>
                <w:bCs/>
                <w:sz w:val="24"/>
                <w:szCs w:val="24"/>
              </w:rPr>
            </w:pPr>
            <w:r>
              <w:rPr>
                <w:rFonts w:asciiTheme="minorEastAsia" w:hAnsiTheme="minorEastAsia" w:cs="微软雅黑"/>
                <w:bCs/>
                <w:sz w:val="24"/>
                <w:szCs w:val="24"/>
              </w:rPr>
              <w:t>2</w:t>
            </w:r>
          </w:p>
        </w:tc>
        <w:tc>
          <w:tcPr>
            <w:tcW w:w="1950" w:type="dxa"/>
            <w:noWrap/>
            <w:vAlign w:val="center"/>
          </w:tcPr>
          <w:p w:rsidR="00DF6667" w:rsidRDefault="00DF6667" w:rsidP="00987705">
            <w:pPr>
              <w:spacing w:line="360" w:lineRule="auto"/>
              <w:jc w:val="center"/>
              <w:rPr>
                <w:rFonts w:asciiTheme="minorEastAsia" w:hAnsiTheme="minorEastAsia" w:cs="微软雅黑"/>
                <w:bCs/>
                <w:sz w:val="24"/>
                <w:szCs w:val="24"/>
              </w:rPr>
            </w:pPr>
            <w:r>
              <w:rPr>
                <w:rFonts w:asciiTheme="minorEastAsia" w:hAnsiTheme="minorEastAsia" w:cs="微软雅黑" w:hint="eastAsia"/>
                <w:bCs/>
                <w:sz w:val="24"/>
                <w:szCs w:val="24"/>
              </w:rPr>
              <w:t>5</w:t>
            </w:r>
            <w:r>
              <w:rPr>
                <w:rFonts w:asciiTheme="minorEastAsia" w:hAnsiTheme="minorEastAsia" w:cs="微软雅黑"/>
                <w:bCs/>
                <w:sz w:val="24"/>
                <w:szCs w:val="24"/>
              </w:rPr>
              <w:t>19601</w:t>
            </w:r>
          </w:p>
        </w:tc>
        <w:tc>
          <w:tcPr>
            <w:tcW w:w="6925" w:type="dxa"/>
            <w:vAlign w:val="center"/>
          </w:tcPr>
          <w:p w:rsidR="00DF6667" w:rsidRPr="008B2EF0" w:rsidRDefault="00DF6667" w:rsidP="00DB78D9">
            <w:pPr>
              <w:spacing w:line="360" w:lineRule="auto"/>
              <w:jc w:val="center"/>
              <w:rPr>
                <w:rFonts w:asciiTheme="minorEastAsia" w:hAnsiTheme="minorEastAsia" w:cs="微软雅黑"/>
                <w:bCs/>
                <w:sz w:val="24"/>
                <w:szCs w:val="24"/>
              </w:rPr>
            </w:pPr>
            <w:r w:rsidRPr="00DF6667">
              <w:rPr>
                <w:rFonts w:asciiTheme="minorEastAsia" w:hAnsiTheme="minorEastAsia" w:cs="微软雅黑" w:hint="eastAsia"/>
                <w:bCs/>
                <w:sz w:val="24"/>
                <w:szCs w:val="24"/>
              </w:rPr>
              <w:t>海富通中国海外精选混合型证券投资基金</w:t>
            </w:r>
          </w:p>
        </w:tc>
      </w:tr>
    </w:tbl>
    <w:p w:rsidR="00CC7307" w:rsidRPr="006243AF" w:rsidRDefault="00CC7307">
      <w:pPr>
        <w:spacing w:line="360" w:lineRule="auto"/>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b/>
          <w:bCs/>
          <w:sz w:val="24"/>
          <w:szCs w:val="24"/>
        </w:rPr>
      </w:pPr>
      <w:r w:rsidRPr="006243AF">
        <w:rPr>
          <w:rFonts w:asciiTheme="minorEastAsia" w:hAnsiTheme="minorEastAsia" w:cs="微软雅黑" w:hint="eastAsia"/>
          <w:b/>
          <w:bCs/>
          <w:sz w:val="24"/>
          <w:szCs w:val="24"/>
        </w:rPr>
        <w:t>二、业务开通时间</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自</w:t>
      </w:r>
      <w:r w:rsidR="00A573B0" w:rsidRPr="006243AF">
        <w:rPr>
          <w:rFonts w:asciiTheme="minorEastAsia" w:hAnsiTheme="minorEastAsia" w:cs="微软雅黑" w:hint="eastAsia"/>
          <w:sz w:val="24"/>
          <w:szCs w:val="24"/>
        </w:rPr>
        <w:t>2023年</w:t>
      </w:r>
      <w:r w:rsidR="00DF6667">
        <w:rPr>
          <w:rFonts w:asciiTheme="minorEastAsia" w:hAnsiTheme="minorEastAsia" w:cs="微软雅黑" w:hint="eastAsia"/>
          <w:sz w:val="24"/>
          <w:szCs w:val="24"/>
        </w:rPr>
        <w:t>9月15日</w:t>
      </w:r>
      <w:r w:rsidRPr="006243AF">
        <w:rPr>
          <w:rFonts w:asciiTheme="minorEastAsia" w:hAnsiTheme="minorEastAsia" w:cs="微软雅黑" w:hint="eastAsia"/>
          <w:sz w:val="24"/>
          <w:szCs w:val="24"/>
        </w:rPr>
        <w:t>起，投资者可在兴业银行办理上述开放式基金的开户、申购、赎回等业务。具体的购买端口、业务流程、办理方式和办理时间等以兴业银行的规定为准。</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b/>
          <w:bCs/>
          <w:sz w:val="24"/>
          <w:szCs w:val="24"/>
        </w:rPr>
      </w:pPr>
      <w:r w:rsidRPr="006243AF">
        <w:rPr>
          <w:rFonts w:asciiTheme="minorEastAsia" w:hAnsiTheme="minorEastAsia" w:cs="微软雅黑" w:hint="eastAsia"/>
          <w:b/>
          <w:bCs/>
          <w:sz w:val="24"/>
          <w:szCs w:val="24"/>
        </w:rPr>
        <w:t>三、适用投资者范围</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符合法律法规及基金合同规定的投资者。</w:t>
      </w:r>
    </w:p>
    <w:p w:rsidR="00CC7307" w:rsidRPr="006243AF" w:rsidRDefault="00CC7307">
      <w:pPr>
        <w:spacing w:line="360" w:lineRule="auto"/>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b/>
          <w:bCs/>
          <w:sz w:val="24"/>
          <w:szCs w:val="24"/>
        </w:rPr>
      </w:pPr>
      <w:r w:rsidRPr="006243AF">
        <w:rPr>
          <w:rFonts w:asciiTheme="minorEastAsia" w:hAnsiTheme="minorEastAsia" w:cs="微软雅黑" w:hint="eastAsia"/>
          <w:b/>
          <w:bCs/>
          <w:sz w:val="24"/>
          <w:szCs w:val="24"/>
        </w:rPr>
        <w:t>四、重要提示</w:t>
      </w:r>
    </w:p>
    <w:p w:rsidR="00CC7307" w:rsidRPr="006243AF" w:rsidRDefault="004C05CB" w:rsidP="00E80E38">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1、投资者欲了解基金的详细信息，请仔细阅读上述开放式基金的基金合同、招募说明书及相关法律文件。</w:t>
      </w:r>
    </w:p>
    <w:p w:rsidR="00CC7307" w:rsidRPr="006243AF" w:rsidRDefault="00E80E38">
      <w:pPr>
        <w:spacing w:line="360" w:lineRule="auto"/>
        <w:ind w:firstLine="420"/>
        <w:rPr>
          <w:rFonts w:asciiTheme="minorEastAsia" w:hAnsiTheme="minorEastAsia" w:cs="微软雅黑"/>
          <w:sz w:val="24"/>
          <w:szCs w:val="24"/>
        </w:rPr>
      </w:pPr>
      <w:r w:rsidRPr="006243AF">
        <w:rPr>
          <w:rFonts w:asciiTheme="minorEastAsia" w:hAnsiTheme="minorEastAsia" w:cs="微软雅黑"/>
          <w:sz w:val="24"/>
          <w:szCs w:val="24"/>
        </w:rPr>
        <w:t>2</w:t>
      </w:r>
      <w:r w:rsidRPr="006243AF">
        <w:rPr>
          <w:rFonts w:asciiTheme="minorEastAsia" w:hAnsiTheme="minorEastAsia" w:cs="微软雅黑" w:hint="eastAsia"/>
          <w:sz w:val="24"/>
          <w:szCs w:val="24"/>
        </w:rPr>
        <w:t>、特别提示投资人关注上述基金产品的基金合同、招募说明书等法律文件及基金管理人的风险提示。</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b/>
          <w:bCs/>
          <w:sz w:val="24"/>
          <w:szCs w:val="24"/>
        </w:rPr>
      </w:pPr>
      <w:r w:rsidRPr="006243AF">
        <w:rPr>
          <w:rFonts w:asciiTheme="minorEastAsia" w:hAnsiTheme="minorEastAsia" w:cs="微软雅黑" w:hint="eastAsia"/>
          <w:b/>
          <w:bCs/>
          <w:sz w:val="24"/>
          <w:szCs w:val="24"/>
        </w:rPr>
        <w:t>五、投资者可通过以下途径咨询有关详情：</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 xml:space="preserve">1、兴业银行股份有限公司 </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lastRenderedPageBreak/>
        <w:t>客户服务电话：95561</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网站：www.cib.com.cn</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2、海富通基金管理有限公司</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客户服务电话：40088-40099（免长途话费）</w:t>
      </w: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网站：www.hftfund.com</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本公告的解释权归海富通基金管理有限公司。</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4C05CB">
      <w:pPr>
        <w:spacing w:line="360" w:lineRule="auto"/>
        <w:ind w:firstLine="420"/>
        <w:rPr>
          <w:rFonts w:asciiTheme="minorEastAsia" w:hAnsiTheme="minorEastAsia" w:cs="微软雅黑"/>
          <w:sz w:val="24"/>
          <w:szCs w:val="24"/>
        </w:rPr>
      </w:pPr>
      <w:r w:rsidRPr="006243AF">
        <w:rPr>
          <w:rFonts w:asciiTheme="minorEastAsia" w:hAnsiTheme="minorEastAsia" w:cs="微软雅黑" w:hint="eastAsia"/>
          <w:sz w:val="24"/>
          <w:szCs w:val="24"/>
        </w:rPr>
        <w:t>特此公告。</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4C05CB">
      <w:pPr>
        <w:spacing w:line="360" w:lineRule="auto"/>
        <w:ind w:firstLine="420"/>
        <w:jc w:val="right"/>
        <w:rPr>
          <w:rFonts w:asciiTheme="minorEastAsia" w:hAnsiTheme="minorEastAsia" w:cs="微软雅黑"/>
          <w:sz w:val="24"/>
          <w:szCs w:val="24"/>
        </w:rPr>
      </w:pPr>
      <w:r w:rsidRPr="006243AF">
        <w:rPr>
          <w:rFonts w:asciiTheme="minorEastAsia" w:hAnsiTheme="minorEastAsia" w:cs="微软雅黑" w:hint="eastAsia"/>
          <w:sz w:val="24"/>
          <w:szCs w:val="24"/>
        </w:rPr>
        <w:t>海富通基金管理有限公司</w:t>
      </w:r>
    </w:p>
    <w:p w:rsidR="00CC7307" w:rsidRPr="006243AF" w:rsidRDefault="004C05CB">
      <w:pPr>
        <w:spacing w:line="360" w:lineRule="auto"/>
        <w:ind w:firstLine="420"/>
        <w:jc w:val="right"/>
        <w:rPr>
          <w:rFonts w:asciiTheme="minorEastAsia" w:hAnsiTheme="minorEastAsia" w:cs="微软雅黑"/>
          <w:sz w:val="24"/>
          <w:szCs w:val="24"/>
        </w:rPr>
      </w:pPr>
      <w:r w:rsidRPr="006243AF">
        <w:rPr>
          <w:rFonts w:asciiTheme="minorEastAsia" w:hAnsiTheme="minorEastAsia" w:cs="微软雅黑" w:hint="eastAsia"/>
          <w:sz w:val="24"/>
          <w:szCs w:val="24"/>
        </w:rPr>
        <w:t>202</w:t>
      </w:r>
      <w:r w:rsidR="00A573B0" w:rsidRPr="006243AF">
        <w:rPr>
          <w:rFonts w:asciiTheme="minorEastAsia" w:hAnsiTheme="minorEastAsia" w:cs="微软雅黑"/>
          <w:sz w:val="24"/>
          <w:szCs w:val="24"/>
        </w:rPr>
        <w:t>3</w:t>
      </w:r>
      <w:r w:rsidRPr="006243AF">
        <w:rPr>
          <w:rFonts w:asciiTheme="minorEastAsia" w:hAnsiTheme="minorEastAsia" w:cs="微软雅黑" w:hint="eastAsia"/>
          <w:sz w:val="24"/>
          <w:szCs w:val="24"/>
        </w:rPr>
        <w:t>年</w:t>
      </w:r>
      <w:r w:rsidR="00DF6667">
        <w:rPr>
          <w:rFonts w:asciiTheme="minorEastAsia" w:hAnsiTheme="minorEastAsia" w:cs="微软雅黑"/>
          <w:sz w:val="24"/>
          <w:szCs w:val="24"/>
        </w:rPr>
        <w:t>9</w:t>
      </w:r>
      <w:r w:rsidR="00CF43B3">
        <w:rPr>
          <w:rFonts w:asciiTheme="minorEastAsia" w:hAnsiTheme="minorEastAsia" w:cs="微软雅黑"/>
          <w:sz w:val="24"/>
          <w:szCs w:val="24"/>
        </w:rPr>
        <w:t>月</w:t>
      </w:r>
      <w:r w:rsidR="00DF6667">
        <w:rPr>
          <w:rFonts w:asciiTheme="minorEastAsia" w:hAnsiTheme="minorEastAsia" w:cs="微软雅黑"/>
          <w:sz w:val="24"/>
          <w:szCs w:val="24"/>
        </w:rPr>
        <w:t>14</w:t>
      </w:r>
      <w:r w:rsidR="00CF43B3">
        <w:rPr>
          <w:rFonts w:asciiTheme="minorEastAsia" w:hAnsiTheme="minorEastAsia" w:cs="微软雅黑"/>
          <w:sz w:val="24"/>
          <w:szCs w:val="24"/>
        </w:rPr>
        <w:t>日</w:t>
      </w:r>
    </w:p>
    <w:p w:rsidR="00CC7307" w:rsidRPr="006243AF" w:rsidRDefault="00CC7307">
      <w:pPr>
        <w:spacing w:line="360" w:lineRule="auto"/>
        <w:ind w:firstLine="420"/>
        <w:rPr>
          <w:rFonts w:asciiTheme="minorEastAsia" w:hAnsiTheme="minorEastAsia" w:cs="微软雅黑"/>
          <w:sz w:val="24"/>
          <w:szCs w:val="24"/>
        </w:rPr>
      </w:pPr>
    </w:p>
    <w:p w:rsidR="00CC7307" w:rsidRPr="006243AF" w:rsidRDefault="00CC7307">
      <w:pPr>
        <w:rPr>
          <w:rFonts w:asciiTheme="minorEastAsia" w:hAnsiTheme="minorEastAsia"/>
          <w:sz w:val="24"/>
          <w:szCs w:val="24"/>
        </w:rPr>
      </w:pPr>
    </w:p>
    <w:sectPr w:rsidR="00CC7307" w:rsidRPr="006243AF" w:rsidSect="001F0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CB" w:rsidRDefault="004C05CB" w:rsidP="00C74061">
      <w:r>
        <w:separator/>
      </w:r>
    </w:p>
  </w:endnote>
  <w:endnote w:type="continuationSeparator" w:id="0">
    <w:p w:rsidR="004C05CB" w:rsidRDefault="004C05CB" w:rsidP="00C74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CB" w:rsidRDefault="004C05CB" w:rsidP="00C74061">
      <w:r>
        <w:separator/>
      </w:r>
    </w:p>
  </w:footnote>
  <w:footnote w:type="continuationSeparator" w:id="0">
    <w:p w:rsidR="004C05CB" w:rsidRDefault="004C05CB" w:rsidP="00C74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C854D8"/>
    <w:rsid w:val="000017F3"/>
    <w:rsid w:val="000624EE"/>
    <w:rsid w:val="001F076B"/>
    <w:rsid w:val="001F7776"/>
    <w:rsid w:val="0038063F"/>
    <w:rsid w:val="004C05CB"/>
    <w:rsid w:val="005C5C59"/>
    <w:rsid w:val="005E44BF"/>
    <w:rsid w:val="006243AF"/>
    <w:rsid w:val="006956DE"/>
    <w:rsid w:val="006D44C7"/>
    <w:rsid w:val="007B0297"/>
    <w:rsid w:val="00870B02"/>
    <w:rsid w:val="008B2EF0"/>
    <w:rsid w:val="009136DD"/>
    <w:rsid w:val="0096218C"/>
    <w:rsid w:val="00987705"/>
    <w:rsid w:val="00996E9F"/>
    <w:rsid w:val="009D50A0"/>
    <w:rsid w:val="00A573B0"/>
    <w:rsid w:val="00A85701"/>
    <w:rsid w:val="00AF6313"/>
    <w:rsid w:val="00B03A5A"/>
    <w:rsid w:val="00C74061"/>
    <w:rsid w:val="00C97F68"/>
    <w:rsid w:val="00CC7307"/>
    <w:rsid w:val="00CF43B3"/>
    <w:rsid w:val="00DB78D9"/>
    <w:rsid w:val="00DF6667"/>
    <w:rsid w:val="00E80E38"/>
    <w:rsid w:val="00EE6D06"/>
    <w:rsid w:val="00FA7787"/>
    <w:rsid w:val="00FB631C"/>
    <w:rsid w:val="31C854D8"/>
    <w:rsid w:val="3C405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7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F0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076B"/>
    <w:pPr>
      <w:ind w:firstLineChars="200" w:firstLine="420"/>
    </w:pPr>
  </w:style>
  <w:style w:type="paragraph" w:styleId="a5">
    <w:name w:val="header"/>
    <w:basedOn w:val="a"/>
    <w:link w:val="Char"/>
    <w:rsid w:val="00C74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4061"/>
    <w:rPr>
      <w:rFonts w:asciiTheme="minorHAnsi" w:eastAsiaTheme="minorEastAsia" w:hAnsiTheme="minorHAnsi" w:cstheme="minorBidi"/>
      <w:kern w:val="2"/>
      <w:sz w:val="18"/>
      <w:szCs w:val="18"/>
    </w:rPr>
  </w:style>
  <w:style w:type="paragraph" w:styleId="a6">
    <w:name w:val="footer"/>
    <w:basedOn w:val="a"/>
    <w:link w:val="Char0"/>
    <w:rsid w:val="00C74061"/>
    <w:pPr>
      <w:tabs>
        <w:tab w:val="center" w:pos="4153"/>
        <w:tab w:val="right" w:pos="8306"/>
      </w:tabs>
      <w:snapToGrid w:val="0"/>
      <w:jc w:val="left"/>
    </w:pPr>
    <w:rPr>
      <w:sz w:val="18"/>
      <w:szCs w:val="18"/>
    </w:rPr>
  </w:style>
  <w:style w:type="character" w:customStyle="1" w:styleId="Char0">
    <w:name w:val="页脚 Char"/>
    <w:basedOn w:val="a0"/>
    <w:link w:val="a6"/>
    <w:rsid w:val="00C7406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header"/>
    <w:basedOn w:val="a"/>
    <w:link w:val="Char"/>
    <w:rsid w:val="00C74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4061"/>
    <w:rPr>
      <w:rFonts w:asciiTheme="minorHAnsi" w:eastAsiaTheme="minorEastAsia" w:hAnsiTheme="minorHAnsi" w:cstheme="minorBidi"/>
      <w:kern w:val="2"/>
      <w:sz w:val="18"/>
      <w:szCs w:val="18"/>
    </w:rPr>
  </w:style>
  <w:style w:type="paragraph" w:styleId="a6">
    <w:name w:val="footer"/>
    <w:basedOn w:val="a"/>
    <w:link w:val="Char0"/>
    <w:rsid w:val="00C74061"/>
    <w:pPr>
      <w:tabs>
        <w:tab w:val="center" w:pos="4153"/>
        <w:tab w:val="right" w:pos="8306"/>
      </w:tabs>
      <w:snapToGrid w:val="0"/>
      <w:jc w:val="left"/>
    </w:pPr>
    <w:rPr>
      <w:sz w:val="18"/>
      <w:szCs w:val="18"/>
    </w:rPr>
  </w:style>
  <w:style w:type="character" w:customStyle="1" w:styleId="Char0">
    <w:name w:val="页脚 Char"/>
    <w:basedOn w:val="a0"/>
    <w:link w:val="a6"/>
    <w:rsid w:val="00C7406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72442785">
      <w:bodyDiv w:val="1"/>
      <w:marLeft w:val="0"/>
      <w:marRight w:val="0"/>
      <w:marTop w:val="0"/>
      <w:marBottom w:val="0"/>
      <w:divBdr>
        <w:top w:val="none" w:sz="0" w:space="0" w:color="auto"/>
        <w:left w:val="none" w:sz="0" w:space="0" w:color="auto"/>
        <w:bottom w:val="none" w:sz="0" w:space="0" w:color="auto"/>
        <w:right w:val="none" w:sz="0" w:space="0" w:color="auto"/>
      </w:divBdr>
    </w:div>
    <w:div w:id="964385066">
      <w:bodyDiv w:val="1"/>
      <w:marLeft w:val="0"/>
      <w:marRight w:val="0"/>
      <w:marTop w:val="0"/>
      <w:marBottom w:val="0"/>
      <w:divBdr>
        <w:top w:val="none" w:sz="0" w:space="0" w:color="auto"/>
        <w:left w:val="none" w:sz="0" w:space="0" w:color="auto"/>
        <w:bottom w:val="none" w:sz="0" w:space="0" w:color="auto"/>
        <w:right w:val="none" w:sz="0" w:space="0" w:color="auto"/>
      </w:divBdr>
    </w:div>
    <w:div w:id="1227647991">
      <w:bodyDiv w:val="1"/>
      <w:marLeft w:val="0"/>
      <w:marRight w:val="0"/>
      <w:marTop w:val="0"/>
      <w:marBottom w:val="0"/>
      <w:divBdr>
        <w:top w:val="none" w:sz="0" w:space="0" w:color="auto"/>
        <w:left w:val="none" w:sz="0" w:space="0" w:color="auto"/>
        <w:bottom w:val="none" w:sz="0" w:space="0" w:color="auto"/>
        <w:right w:val="none" w:sz="0" w:space="0" w:color="auto"/>
      </w:divBdr>
    </w:div>
    <w:div w:id="1350133389">
      <w:bodyDiv w:val="1"/>
      <w:marLeft w:val="0"/>
      <w:marRight w:val="0"/>
      <w:marTop w:val="0"/>
      <w:marBottom w:val="0"/>
      <w:divBdr>
        <w:top w:val="none" w:sz="0" w:space="0" w:color="auto"/>
        <w:left w:val="none" w:sz="0" w:space="0" w:color="auto"/>
        <w:bottom w:val="none" w:sz="0" w:space="0" w:color="auto"/>
        <w:right w:val="none" w:sz="0" w:space="0" w:color="auto"/>
      </w:divBdr>
    </w:div>
    <w:div w:id="1508324990">
      <w:bodyDiv w:val="1"/>
      <w:marLeft w:val="0"/>
      <w:marRight w:val="0"/>
      <w:marTop w:val="0"/>
      <w:marBottom w:val="0"/>
      <w:divBdr>
        <w:top w:val="none" w:sz="0" w:space="0" w:color="auto"/>
        <w:left w:val="none" w:sz="0" w:space="0" w:color="auto"/>
        <w:bottom w:val="none" w:sz="0" w:space="0" w:color="auto"/>
        <w:right w:val="none" w:sz="0" w:space="0" w:color="auto"/>
      </w:divBdr>
    </w:div>
    <w:div w:id="162361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D3529-F019-497F-AB1C-979565FC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4</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dc:creator>
  <cp:lastModifiedBy>ZHONGM</cp:lastModifiedBy>
  <cp:revision>2</cp:revision>
  <dcterms:created xsi:type="dcterms:W3CDTF">2023-09-13T16:01:00Z</dcterms:created>
  <dcterms:modified xsi:type="dcterms:W3CDTF">2023-09-13T16:01:00Z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