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C2" w:rsidRDefault="00730CC2" w:rsidP="00730CC2">
      <w:pPr>
        <w:pStyle w:val="Default"/>
      </w:pPr>
    </w:p>
    <w:p w:rsidR="00730CC2" w:rsidRPr="00730CC2" w:rsidRDefault="00730CC2" w:rsidP="00730CC2">
      <w:pPr>
        <w:pStyle w:val="Default"/>
        <w:jc w:val="center"/>
        <w:rPr>
          <w:rFonts w:ascii="黑体" w:eastAsia="黑体" w:hAnsi="黑体" w:cs="Times New Roman"/>
          <w:bCs/>
          <w:sz w:val="32"/>
          <w:szCs w:val="32"/>
        </w:rPr>
      </w:pPr>
      <w:r w:rsidRPr="00376D28">
        <w:rPr>
          <w:rFonts w:ascii="黑体" w:eastAsia="黑体" w:hAnsi="黑体" w:cs="Times New Roman" w:hint="eastAsia"/>
          <w:bCs/>
          <w:sz w:val="32"/>
          <w:szCs w:val="32"/>
        </w:rPr>
        <w:t>宏利基金管理有限公司</w:t>
      </w:r>
      <w:bookmarkStart w:id="0" w:name="_Hlk143682335"/>
      <w:r w:rsidRPr="00376D28">
        <w:rPr>
          <w:rFonts w:ascii="黑体" w:eastAsia="黑体" w:hAnsi="黑体" w:cs="Times New Roman" w:hint="eastAsia"/>
          <w:bCs/>
          <w:sz w:val="32"/>
          <w:szCs w:val="32"/>
        </w:rPr>
        <w:t>关</w:t>
      </w:r>
      <w:r w:rsidRPr="00730CC2">
        <w:rPr>
          <w:rFonts w:ascii="黑体" w:eastAsia="黑体" w:hAnsi="黑体" w:cs="Times New Roman" w:hint="eastAsia"/>
          <w:bCs/>
          <w:sz w:val="32"/>
          <w:szCs w:val="32"/>
        </w:rPr>
        <w:t>于旗下</w:t>
      </w:r>
      <w:r w:rsidR="009E6C1E">
        <w:rPr>
          <w:rFonts w:ascii="黑体" w:eastAsia="黑体" w:hAnsi="黑体" w:cs="Times New Roman" w:hint="eastAsia"/>
          <w:bCs/>
          <w:sz w:val="32"/>
          <w:szCs w:val="32"/>
        </w:rPr>
        <w:t>部分公开募集证券投资基金明确</w:t>
      </w:r>
      <w:r w:rsidRPr="00730CC2">
        <w:rPr>
          <w:rFonts w:ascii="黑体" w:eastAsia="黑体" w:hAnsi="黑体" w:cs="Times New Roman" w:hint="eastAsia"/>
          <w:bCs/>
          <w:sz w:val="32"/>
          <w:szCs w:val="32"/>
        </w:rPr>
        <w:t>投资范围</w:t>
      </w:r>
      <w:r w:rsidR="009E6C1E">
        <w:rPr>
          <w:rFonts w:ascii="黑体" w:eastAsia="黑体" w:hAnsi="黑体" w:cs="Times New Roman" w:hint="eastAsia"/>
          <w:bCs/>
          <w:sz w:val="32"/>
          <w:szCs w:val="32"/>
        </w:rPr>
        <w:t>包含</w:t>
      </w:r>
      <w:r w:rsidRPr="00730CC2">
        <w:rPr>
          <w:rFonts w:ascii="黑体" w:eastAsia="黑体" w:hAnsi="黑体" w:cs="Times New Roman" w:hint="eastAsia"/>
          <w:bCs/>
          <w:sz w:val="32"/>
          <w:szCs w:val="32"/>
        </w:rPr>
        <w:t>存托凭证并修改基金合同</w:t>
      </w:r>
      <w:r w:rsidR="009E6C1E">
        <w:rPr>
          <w:rFonts w:ascii="黑体" w:eastAsia="黑体" w:hAnsi="黑体" w:cs="Times New Roman" w:hint="eastAsia"/>
          <w:bCs/>
          <w:sz w:val="32"/>
          <w:szCs w:val="32"/>
        </w:rPr>
        <w:t>、</w:t>
      </w:r>
      <w:r w:rsidRPr="00730CC2">
        <w:rPr>
          <w:rFonts w:ascii="黑体" w:eastAsia="黑体" w:hAnsi="黑体" w:cs="Times New Roman" w:hint="eastAsia"/>
          <w:bCs/>
          <w:sz w:val="32"/>
          <w:szCs w:val="32"/>
        </w:rPr>
        <w:t>托管协议的公告</w:t>
      </w:r>
      <w:bookmarkEnd w:id="0"/>
    </w:p>
    <w:p w:rsidR="00730CC2" w:rsidRPr="00730CC2" w:rsidRDefault="00730CC2" w:rsidP="00410B40">
      <w:pPr>
        <w:widowControl/>
        <w:spacing w:line="360" w:lineRule="auto"/>
        <w:ind w:firstLineChars="200" w:firstLine="480"/>
        <w:rPr>
          <w:rFonts w:ascii="Times New Roman" w:eastAsia="宋体" w:hAnsi="Times New Roman" w:cs="Times New Roman"/>
          <w:bCs/>
          <w:sz w:val="24"/>
          <w:szCs w:val="24"/>
        </w:rPr>
      </w:pPr>
      <w:bookmarkStart w:id="1" w:name="_Hlk143682220"/>
      <w:r w:rsidRPr="00730CC2">
        <w:rPr>
          <w:rFonts w:ascii="Times New Roman" w:eastAsia="宋体" w:hAnsi="Times New Roman" w:cs="Times New Roman" w:hint="eastAsia"/>
          <w:bCs/>
          <w:sz w:val="24"/>
          <w:szCs w:val="24"/>
        </w:rPr>
        <w:t>根据《中华人民共和国证券法》、《中华人民共和国证券投资基金法》、《公开</w:t>
      </w:r>
      <w:bookmarkStart w:id="2" w:name="_GoBack"/>
      <w:bookmarkEnd w:id="2"/>
      <w:r w:rsidRPr="00730CC2">
        <w:rPr>
          <w:rFonts w:ascii="Times New Roman" w:eastAsia="宋体" w:hAnsi="Times New Roman" w:cs="Times New Roman" w:hint="eastAsia"/>
          <w:bCs/>
          <w:sz w:val="24"/>
          <w:szCs w:val="24"/>
        </w:rPr>
        <w:t>募集证券投资基金运作管理办法》、《公开募集证券投资基金信息披露管理办法》、《存托凭证发行与交易管理办法（试行）》等法律法规的规定及各基金基金合同的有关约定，</w:t>
      </w:r>
      <w:bookmarkEnd w:id="1"/>
      <w:r w:rsidRPr="00730CC2">
        <w:rPr>
          <w:rFonts w:ascii="Times New Roman" w:eastAsia="宋体" w:hAnsi="Times New Roman" w:cs="Times New Roman" w:hint="eastAsia"/>
          <w:bCs/>
          <w:sz w:val="24"/>
          <w:szCs w:val="24"/>
        </w:rPr>
        <w:t>经与各基金托管人协商一致，</w:t>
      </w:r>
      <w:r>
        <w:rPr>
          <w:rFonts w:ascii="Times New Roman" w:eastAsia="宋体" w:hAnsi="Times New Roman" w:cs="Times New Roman" w:hint="eastAsia"/>
          <w:bCs/>
          <w:sz w:val="24"/>
          <w:szCs w:val="24"/>
        </w:rPr>
        <w:t>宏利</w:t>
      </w:r>
      <w:r w:rsidRPr="00730CC2">
        <w:rPr>
          <w:rFonts w:ascii="Times New Roman" w:eastAsia="宋体" w:hAnsi="Times New Roman" w:cs="Times New Roman" w:hint="eastAsia"/>
          <w:bCs/>
          <w:sz w:val="24"/>
          <w:szCs w:val="24"/>
        </w:rPr>
        <w:t>基金管理有限公司（以下简称</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本基金管理人</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w:t>
      </w:r>
      <w:bookmarkStart w:id="3" w:name="_Hlk143681729"/>
      <w:r w:rsidR="00420F38">
        <w:rPr>
          <w:rFonts w:ascii="Times New Roman" w:eastAsia="宋体" w:hAnsi="Times New Roman" w:cs="Times New Roman" w:hint="eastAsia"/>
          <w:bCs/>
          <w:sz w:val="24"/>
          <w:szCs w:val="24"/>
        </w:rPr>
        <w:t>决定对</w:t>
      </w:r>
      <w:r w:rsidRPr="00730CC2">
        <w:rPr>
          <w:rFonts w:ascii="Times New Roman" w:eastAsia="宋体" w:hAnsi="Times New Roman" w:cs="Times New Roman" w:hint="eastAsia"/>
          <w:bCs/>
          <w:sz w:val="24"/>
          <w:szCs w:val="24"/>
        </w:rPr>
        <w:t>旗下</w:t>
      </w:r>
      <w:r w:rsidR="00007222">
        <w:rPr>
          <w:rFonts w:ascii="Times New Roman" w:eastAsia="宋体" w:hAnsi="Times New Roman" w:cs="Times New Roman" w:hint="eastAsia"/>
          <w:bCs/>
          <w:sz w:val="24"/>
          <w:szCs w:val="24"/>
        </w:rPr>
        <w:t>部分</w:t>
      </w:r>
      <w:r w:rsidR="00EA3554">
        <w:rPr>
          <w:rFonts w:ascii="Times New Roman" w:eastAsia="宋体" w:hAnsi="Times New Roman" w:cs="Times New Roman" w:hint="eastAsia"/>
          <w:bCs/>
          <w:sz w:val="24"/>
          <w:szCs w:val="24"/>
        </w:rPr>
        <w:t>公开募集证券投资基金</w:t>
      </w:r>
      <w:r w:rsidRPr="00730CC2">
        <w:rPr>
          <w:rFonts w:ascii="Times New Roman" w:eastAsia="宋体" w:hAnsi="Times New Roman" w:cs="Times New Roman" w:hint="eastAsia"/>
          <w:bCs/>
          <w:sz w:val="24"/>
          <w:szCs w:val="24"/>
        </w:rPr>
        <w:t>的基金合同</w:t>
      </w:r>
      <w:r w:rsidR="00063A6D">
        <w:rPr>
          <w:rFonts w:ascii="Times New Roman" w:eastAsia="宋体" w:hAnsi="Times New Roman" w:cs="Times New Roman" w:hint="eastAsia"/>
          <w:bCs/>
          <w:sz w:val="24"/>
          <w:szCs w:val="24"/>
        </w:rPr>
        <w:t>、托管协议</w:t>
      </w:r>
      <w:r w:rsidRPr="00730CC2">
        <w:rPr>
          <w:rFonts w:ascii="Times New Roman" w:eastAsia="宋体" w:hAnsi="Times New Roman" w:cs="Times New Roman" w:hint="eastAsia"/>
          <w:bCs/>
          <w:sz w:val="24"/>
          <w:szCs w:val="24"/>
        </w:rPr>
        <w:t>等法律文件</w:t>
      </w:r>
      <w:bookmarkStart w:id="4" w:name="_Hlk143681838"/>
      <w:r w:rsidR="00420F38">
        <w:rPr>
          <w:rFonts w:ascii="Times New Roman" w:eastAsia="宋体" w:hAnsi="Times New Roman" w:cs="Times New Roman" w:hint="eastAsia"/>
          <w:bCs/>
          <w:sz w:val="24"/>
          <w:szCs w:val="24"/>
        </w:rPr>
        <w:t>进行修订</w:t>
      </w:r>
      <w:r w:rsidRPr="00730CC2">
        <w:rPr>
          <w:rFonts w:ascii="Times New Roman" w:eastAsia="宋体" w:hAnsi="Times New Roman" w:cs="Times New Roman" w:hint="eastAsia"/>
          <w:bCs/>
          <w:sz w:val="24"/>
          <w:szCs w:val="24"/>
        </w:rPr>
        <w:t>，</w:t>
      </w:r>
      <w:bookmarkEnd w:id="3"/>
      <w:r w:rsidR="00420F38">
        <w:rPr>
          <w:rFonts w:ascii="Times New Roman" w:eastAsia="宋体" w:hAnsi="Times New Roman" w:cs="Times New Roman" w:hint="eastAsia"/>
          <w:bCs/>
          <w:sz w:val="24"/>
          <w:szCs w:val="24"/>
        </w:rPr>
        <w:t>具体包括</w:t>
      </w:r>
      <w:r w:rsidR="00F01B88">
        <w:rPr>
          <w:rFonts w:ascii="Times New Roman" w:eastAsia="宋体" w:hAnsi="Times New Roman" w:cs="Times New Roman" w:hint="eastAsia"/>
          <w:bCs/>
          <w:sz w:val="24"/>
          <w:szCs w:val="24"/>
        </w:rPr>
        <w:t>明确</w:t>
      </w:r>
      <w:r w:rsidRPr="00730CC2">
        <w:rPr>
          <w:rFonts w:ascii="Times New Roman" w:eastAsia="宋体" w:hAnsi="Times New Roman" w:cs="Times New Roman" w:hint="eastAsia"/>
          <w:bCs/>
          <w:sz w:val="24"/>
          <w:szCs w:val="24"/>
        </w:rPr>
        <w:t>投资范围包含存托凭证、增加存托凭证的投资策略、投资比例限制、估值方法等，并在基金招募说明书（更新）、产品资料概要</w:t>
      </w:r>
      <w:r w:rsidRPr="00730CC2">
        <w:rPr>
          <w:rFonts w:ascii="Times New Roman" w:eastAsia="宋体" w:hAnsi="Times New Roman" w:cs="Times New Roman"/>
          <w:bCs/>
          <w:sz w:val="24"/>
          <w:szCs w:val="24"/>
        </w:rPr>
        <w:t>（更新</w:t>
      </w:r>
      <w:r w:rsidR="00410B40">
        <w:rPr>
          <w:rFonts w:ascii="Times New Roman" w:eastAsia="宋体" w:hAnsi="Times New Roman" w:cs="Times New Roman" w:hint="eastAsia"/>
          <w:bCs/>
          <w:sz w:val="24"/>
          <w:szCs w:val="24"/>
        </w:rPr>
        <w:t>）</w:t>
      </w:r>
      <w:r w:rsidRPr="00730CC2">
        <w:rPr>
          <w:rFonts w:ascii="Times New Roman" w:eastAsia="宋体" w:hAnsi="Times New Roman" w:cs="Times New Roman"/>
          <w:bCs/>
          <w:sz w:val="24"/>
          <w:szCs w:val="24"/>
        </w:rPr>
        <w:t>中增加投资存托凭证的风险揭示。</w:t>
      </w:r>
      <w:r w:rsidR="00410B40" w:rsidRPr="00410B40">
        <w:rPr>
          <w:rFonts w:ascii="Times New Roman" w:eastAsia="宋体" w:hAnsi="Times New Roman" w:cs="Times New Roman" w:hint="eastAsia"/>
          <w:bCs/>
          <w:sz w:val="24"/>
          <w:szCs w:val="24"/>
        </w:rPr>
        <w:t>本次修订</w:t>
      </w:r>
      <w:r w:rsidR="00410B40" w:rsidRPr="00410B40">
        <w:rPr>
          <w:rFonts w:ascii="Times New Roman" w:eastAsia="宋体" w:hAnsi="Times New Roman" w:cs="Times New Roman"/>
          <w:bCs/>
          <w:sz w:val="24"/>
          <w:szCs w:val="24"/>
        </w:rPr>
        <w:t>不改变基金的</w:t>
      </w:r>
      <w:r w:rsidR="00410B40" w:rsidRPr="00410B40">
        <w:rPr>
          <w:rFonts w:ascii="Times New Roman" w:eastAsia="宋体" w:hAnsi="Times New Roman" w:cs="Times New Roman" w:hint="eastAsia"/>
          <w:bCs/>
          <w:sz w:val="24"/>
          <w:szCs w:val="24"/>
        </w:rPr>
        <w:t>投资目标及风险收益特征，符合</w:t>
      </w:r>
      <w:r w:rsidR="00410B40" w:rsidRPr="00410B40">
        <w:rPr>
          <w:rFonts w:ascii="Times New Roman" w:eastAsia="宋体" w:hAnsi="Times New Roman" w:cs="Times New Roman"/>
          <w:bCs/>
          <w:sz w:val="24"/>
          <w:szCs w:val="24"/>
        </w:rPr>
        <w:t>《存托凭证发行与交易管理办法（试行）》的规</w:t>
      </w:r>
      <w:r w:rsidR="00410B40" w:rsidRPr="00410B40">
        <w:rPr>
          <w:rFonts w:ascii="Times New Roman" w:eastAsia="宋体" w:hAnsi="Times New Roman" w:cs="Times New Roman" w:hint="eastAsia"/>
          <w:bCs/>
          <w:sz w:val="24"/>
          <w:szCs w:val="24"/>
        </w:rPr>
        <w:t>定</w:t>
      </w:r>
      <w:bookmarkEnd w:id="4"/>
      <w:r w:rsidR="00116CD2">
        <w:rPr>
          <w:rFonts w:ascii="Times New Roman" w:eastAsia="宋体" w:hAnsi="Times New Roman" w:cs="Times New Roman" w:hint="eastAsia"/>
          <w:bCs/>
          <w:sz w:val="24"/>
          <w:szCs w:val="24"/>
        </w:rPr>
        <w:t>。</w:t>
      </w:r>
      <w:r w:rsidR="00410B40" w:rsidRPr="00410B40">
        <w:rPr>
          <w:rFonts w:ascii="Times New Roman" w:eastAsia="宋体" w:hAnsi="Times New Roman" w:cs="Times New Roman"/>
          <w:bCs/>
          <w:sz w:val="24"/>
          <w:szCs w:val="24"/>
        </w:rPr>
        <w:t>修订将自</w:t>
      </w:r>
      <w:r w:rsidR="00410B40" w:rsidRPr="00410B40">
        <w:rPr>
          <w:rFonts w:ascii="Times New Roman" w:eastAsia="宋体" w:hAnsi="Times New Roman" w:cs="Times New Roman"/>
          <w:bCs/>
          <w:sz w:val="24"/>
          <w:szCs w:val="24"/>
        </w:rPr>
        <w:t>202</w:t>
      </w:r>
      <w:r w:rsidR="00410B40">
        <w:rPr>
          <w:rFonts w:ascii="Times New Roman" w:eastAsia="宋体" w:hAnsi="Times New Roman" w:cs="Times New Roman"/>
          <w:bCs/>
          <w:sz w:val="24"/>
          <w:szCs w:val="24"/>
        </w:rPr>
        <w:t>3</w:t>
      </w:r>
      <w:r w:rsidR="00410B40" w:rsidRPr="00410B40">
        <w:rPr>
          <w:rFonts w:ascii="Times New Roman" w:eastAsia="宋体" w:hAnsi="Times New Roman" w:cs="Times New Roman"/>
          <w:bCs/>
          <w:sz w:val="24"/>
          <w:szCs w:val="24"/>
        </w:rPr>
        <w:t xml:space="preserve"> </w:t>
      </w:r>
      <w:r w:rsidR="00410B40" w:rsidRPr="00410B40">
        <w:rPr>
          <w:rFonts w:ascii="Times New Roman" w:eastAsia="宋体" w:hAnsi="Times New Roman" w:cs="Times New Roman"/>
          <w:bCs/>
          <w:sz w:val="24"/>
          <w:szCs w:val="24"/>
        </w:rPr>
        <w:t>年</w:t>
      </w:r>
      <w:r w:rsidR="00400451">
        <w:rPr>
          <w:rFonts w:ascii="Times New Roman" w:eastAsia="宋体" w:hAnsi="Times New Roman" w:cs="Times New Roman"/>
          <w:bCs/>
          <w:sz w:val="24"/>
          <w:szCs w:val="24"/>
        </w:rPr>
        <w:t>9</w:t>
      </w:r>
      <w:r w:rsidR="00400451" w:rsidRPr="00410B40">
        <w:rPr>
          <w:rFonts w:ascii="Times New Roman" w:eastAsia="宋体" w:hAnsi="Times New Roman" w:cs="Times New Roman"/>
          <w:bCs/>
          <w:sz w:val="24"/>
          <w:szCs w:val="24"/>
        </w:rPr>
        <w:t xml:space="preserve"> </w:t>
      </w:r>
      <w:r w:rsidR="00410B40" w:rsidRPr="00410B40">
        <w:rPr>
          <w:rFonts w:ascii="Times New Roman" w:eastAsia="宋体" w:hAnsi="Times New Roman" w:cs="Times New Roman"/>
          <w:bCs/>
          <w:sz w:val="24"/>
          <w:szCs w:val="24"/>
        </w:rPr>
        <w:t>月</w:t>
      </w:r>
      <w:r w:rsidR="00104445">
        <w:rPr>
          <w:rFonts w:ascii="Times New Roman" w:eastAsia="宋体" w:hAnsi="Times New Roman" w:cs="Times New Roman"/>
          <w:bCs/>
          <w:sz w:val="24"/>
          <w:szCs w:val="24"/>
        </w:rPr>
        <w:t>11</w:t>
      </w:r>
      <w:r w:rsidR="00410B40" w:rsidRPr="00410B40">
        <w:rPr>
          <w:rFonts w:ascii="Times New Roman" w:eastAsia="宋体" w:hAnsi="Times New Roman" w:cs="Times New Roman"/>
          <w:bCs/>
          <w:sz w:val="24"/>
          <w:szCs w:val="24"/>
        </w:rPr>
        <w:t>日起正式生效。</w:t>
      </w:r>
      <w:bookmarkStart w:id="5" w:name="_Hlk143681786"/>
      <w:r w:rsidR="004B1FE9" w:rsidRPr="004B1FE9">
        <w:rPr>
          <w:rFonts w:ascii="Times New Roman" w:eastAsia="宋体" w:hAnsi="Times New Roman" w:cs="Times New Roman" w:hint="eastAsia"/>
          <w:bCs/>
          <w:sz w:val="24"/>
          <w:szCs w:val="24"/>
        </w:rPr>
        <w:t>现将</w:t>
      </w:r>
      <w:r w:rsidR="0015028F">
        <w:rPr>
          <w:rFonts w:ascii="Times New Roman" w:eastAsia="宋体" w:hAnsi="Times New Roman" w:cs="Times New Roman" w:hint="eastAsia"/>
          <w:bCs/>
          <w:sz w:val="24"/>
          <w:szCs w:val="24"/>
        </w:rPr>
        <w:t>相关事宜</w:t>
      </w:r>
      <w:r w:rsidR="004B1FE9" w:rsidRPr="004B1FE9">
        <w:rPr>
          <w:rFonts w:ascii="Times New Roman" w:eastAsia="宋体" w:hAnsi="Times New Roman" w:cs="Times New Roman"/>
          <w:bCs/>
          <w:sz w:val="24"/>
          <w:szCs w:val="24"/>
        </w:rPr>
        <w:t>公告如下：</w:t>
      </w:r>
      <w:bookmarkEnd w:id="5"/>
    </w:p>
    <w:p w:rsidR="00730CC2" w:rsidRPr="004B1FE9" w:rsidRDefault="00730CC2" w:rsidP="00730CC2">
      <w:pPr>
        <w:widowControl/>
        <w:spacing w:line="360" w:lineRule="auto"/>
        <w:ind w:firstLineChars="200" w:firstLine="482"/>
        <w:rPr>
          <w:rFonts w:ascii="Times New Roman" w:eastAsia="宋体" w:hAnsi="Times New Roman" w:cs="Times New Roman"/>
          <w:b/>
          <w:sz w:val="24"/>
          <w:szCs w:val="24"/>
        </w:rPr>
      </w:pPr>
      <w:bookmarkStart w:id="6" w:name="_Hlk143681994"/>
      <w:r w:rsidRPr="004B1FE9">
        <w:rPr>
          <w:rFonts w:ascii="Times New Roman" w:eastAsia="宋体" w:hAnsi="Times New Roman" w:cs="Times New Roman" w:hint="eastAsia"/>
          <w:b/>
          <w:sz w:val="24"/>
          <w:szCs w:val="24"/>
        </w:rPr>
        <w:t>一、</w:t>
      </w:r>
      <w:r w:rsidRPr="004B1FE9">
        <w:rPr>
          <w:rFonts w:ascii="Times New Roman" w:eastAsia="宋体" w:hAnsi="Times New Roman" w:cs="Times New Roman"/>
          <w:b/>
          <w:sz w:val="24"/>
          <w:szCs w:val="24"/>
        </w:rPr>
        <w:t xml:space="preserve"> </w:t>
      </w:r>
      <w:r w:rsidRPr="004B1FE9">
        <w:rPr>
          <w:rFonts w:ascii="Times New Roman" w:eastAsia="宋体" w:hAnsi="Times New Roman" w:cs="Times New Roman" w:hint="eastAsia"/>
          <w:b/>
          <w:sz w:val="24"/>
          <w:szCs w:val="24"/>
        </w:rPr>
        <w:t>修订基金范围</w:t>
      </w:r>
    </w:p>
    <w:tbl>
      <w:tblPr>
        <w:tblW w:w="881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4"/>
        <w:gridCol w:w="6946"/>
      </w:tblGrid>
      <w:tr w:rsidR="00730CC2" w:rsidRPr="00730CC2" w:rsidTr="002B4D09">
        <w:trPr>
          <w:trHeight w:val="223"/>
        </w:trPr>
        <w:tc>
          <w:tcPr>
            <w:tcW w:w="1864" w:type="dxa"/>
          </w:tcPr>
          <w:p w:rsidR="00730CC2" w:rsidRPr="00730CC2" w:rsidRDefault="00730CC2" w:rsidP="002B4D09">
            <w:pPr>
              <w:widowControl/>
              <w:spacing w:line="360" w:lineRule="auto"/>
              <w:jc w:val="center"/>
              <w:rPr>
                <w:rFonts w:ascii="Times New Roman" w:eastAsia="宋体" w:hAnsi="Times New Roman" w:cs="Times New Roman"/>
                <w:bCs/>
                <w:sz w:val="24"/>
                <w:szCs w:val="24"/>
              </w:rPr>
            </w:pPr>
            <w:bookmarkStart w:id="7" w:name="_Hlk143682018"/>
            <w:r w:rsidRPr="00730CC2">
              <w:rPr>
                <w:rFonts w:ascii="Times New Roman" w:eastAsia="宋体" w:hAnsi="Times New Roman" w:cs="Times New Roman" w:hint="eastAsia"/>
                <w:bCs/>
                <w:sz w:val="24"/>
                <w:szCs w:val="24"/>
              </w:rPr>
              <w:t>基金主代码</w:t>
            </w:r>
          </w:p>
        </w:tc>
        <w:tc>
          <w:tcPr>
            <w:tcW w:w="6946" w:type="dxa"/>
          </w:tcPr>
          <w:p w:rsidR="00730CC2" w:rsidRPr="00730CC2" w:rsidRDefault="00730CC2" w:rsidP="002B4D09">
            <w:pPr>
              <w:widowControl/>
              <w:spacing w:line="360" w:lineRule="auto"/>
              <w:jc w:val="center"/>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基金产品名称</w:t>
            </w:r>
          </w:p>
        </w:tc>
      </w:tr>
      <w:bookmarkEnd w:id="7"/>
      <w:tr w:rsidR="00537794" w:rsidRPr="00730CC2" w:rsidTr="002B4D09">
        <w:trPr>
          <w:trHeight w:val="105"/>
        </w:trPr>
        <w:tc>
          <w:tcPr>
            <w:tcW w:w="1864" w:type="dxa"/>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000507</w:t>
            </w:r>
          </w:p>
        </w:tc>
        <w:tc>
          <w:tcPr>
            <w:tcW w:w="6946" w:type="dxa"/>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宏利宏达混合型证券投资基金</w:t>
            </w:r>
          </w:p>
        </w:tc>
      </w:tr>
      <w:tr w:rsidR="00537794" w:rsidRPr="00730CC2" w:rsidTr="002B4D09">
        <w:trPr>
          <w:trHeight w:val="105"/>
        </w:trPr>
        <w:tc>
          <w:tcPr>
            <w:tcW w:w="1864" w:type="dxa"/>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000828</w:t>
            </w:r>
          </w:p>
        </w:tc>
        <w:tc>
          <w:tcPr>
            <w:tcW w:w="6946" w:type="dxa"/>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宏利转型机遇股票型证券投资基金</w:t>
            </w:r>
          </w:p>
        </w:tc>
      </w:tr>
      <w:tr w:rsidR="00537794" w:rsidRPr="00730CC2" w:rsidTr="002B4D09">
        <w:trPr>
          <w:trHeight w:val="105"/>
        </w:trPr>
        <w:tc>
          <w:tcPr>
            <w:tcW w:w="1864" w:type="dxa"/>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001017</w:t>
            </w:r>
          </w:p>
        </w:tc>
        <w:tc>
          <w:tcPr>
            <w:tcW w:w="6946" w:type="dxa"/>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宏利改革动力量化策略灵活配置混合型证券投资基金</w:t>
            </w:r>
          </w:p>
        </w:tc>
      </w:tr>
      <w:tr w:rsidR="00537794" w:rsidRPr="00730CC2" w:rsidTr="002B4D09">
        <w:trPr>
          <w:trHeight w:val="105"/>
        </w:trPr>
        <w:tc>
          <w:tcPr>
            <w:tcW w:w="1864" w:type="dxa"/>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001170</w:t>
            </w:r>
          </w:p>
        </w:tc>
        <w:tc>
          <w:tcPr>
            <w:tcW w:w="6946" w:type="dxa"/>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宏利复兴伟业灵活配置混合型证券投资基金</w:t>
            </w:r>
          </w:p>
        </w:tc>
      </w:tr>
      <w:tr w:rsidR="00537794" w:rsidRPr="00730CC2" w:rsidTr="002B4D09">
        <w:trPr>
          <w:trHeight w:val="105"/>
        </w:trPr>
        <w:tc>
          <w:tcPr>
            <w:tcW w:w="1864" w:type="dxa"/>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001254</w:t>
            </w:r>
          </w:p>
        </w:tc>
        <w:tc>
          <w:tcPr>
            <w:tcW w:w="6946" w:type="dxa"/>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宏利新起点灵活配置混合型证券投资基金</w:t>
            </w:r>
          </w:p>
        </w:tc>
      </w:tr>
      <w:tr w:rsidR="00537794" w:rsidRPr="00730CC2" w:rsidTr="002B4D09">
        <w:trPr>
          <w:trHeight w:val="105"/>
        </w:trPr>
        <w:tc>
          <w:tcPr>
            <w:tcW w:w="1864" w:type="dxa"/>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001267</w:t>
            </w:r>
          </w:p>
        </w:tc>
        <w:tc>
          <w:tcPr>
            <w:tcW w:w="6946" w:type="dxa"/>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宏利蓝筹价值混合型证券投资基金</w:t>
            </w:r>
          </w:p>
        </w:tc>
      </w:tr>
      <w:tr w:rsidR="00537794" w:rsidRPr="00730CC2" w:rsidTr="002B4D09">
        <w:trPr>
          <w:trHeight w:val="105"/>
        </w:trPr>
        <w:tc>
          <w:tcPr>
            <w:tcW w:w="1864" w:type="dxa"/>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001418</w:t>
            </w:r>
          </w:p>
        </w:tc>
        <w:tc>
          <w:tcPr>
            <w:tcW w:w="6946" w:type="dxa"/>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宏利创益灵活配置混合型证券投资基金</w:t>
            </w:r>
          </w:p>
        </w:tc>
      </w:tr>
      <w:tr w:rsidR="00537794" w:rsidRPr="00730CC2" w:rsidTr="002B4D09">
        <w:trPr>
          <w:trHeight w:val="105"/>
        </w:trPr>
        <w:tc>
          <w:tcPr>
            <w:tcW w:w="1864" w:type="dxa"/>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003501</w:t>
            </w:r>
          </w:p>
        </w:tc>
        <w:tc>
          <w:tcPr>
            <w:tcW w:w="6946" w:type="dxa"/>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宏利睿智稳健灵活配置混合型证券投资基金</w:t>
            </w:r>
          </w:p>
        </w:tc>
      </w:tr>
      <w:tr w:rsidR="00537794" w:rsidRPr="00730CC2" w:rsidTr="002B4D09">
        <w:trPr>
          <w:trHeight w:val="105"/>
        </w:trPr>
        <w:tc>
          <w:tcPr>
            <w:tcW w:w="1864" w:type="dxa"/>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005903</w:t>
            </w:r>
          </w:p>
        </w:tc>
        <w:tc>
          <w:tcPr>
            <w:tcW w:w="6946" w:type="dxa"/>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宏利绩优增长灵活配置混合型证券投资基金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008353</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宏利消费行业量化精选混合型证券投资基金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008928</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宏利中证主要消费红利指数型证券投资基金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009141</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宏利价值长青混合型证券投资基金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lastRenderedPageBreak/>
              <w:t>010135</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宏利高研发创新</w:t>
            </w:r>
            <w:r w:rsidRPr="00537794">
              <w:rPr>
                <w:rFonts w:ascii="Times New Roman" w:eastAsia="宋体" w:hAnsi="Times New Roman" w:cs="Times New Roman"/>
                <w:bCs/>
                <w:sz w:val="24"/>
                <w:szCs w:val="24"/>
              </w:rPr>
              <w:t>6</w:t>
            </w:r>
            <w:r w:rsidRPr="00537794">
              <w:rPr>
                <w:rFonts w:ascii="Times New Roman" w:eastAsia="宋体" w:hAnsi="Times New Roman" w:cs="Times New Roman"/>
                <w:bCs/>
                <w:sz w:val="24"/>
                <w:szCs w:val="24"/>
              </w:rPr>
              <w:t>个月持有期混合型证券投资基金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010845</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宏利波控回报</w:t>
            </w:r>
            <w:r w:rsidRPr="00537794">
              <w:rPr>
                <w:rFonts w:ascii="Times New Roman" w:eastAsia="宋体" w:hAnsi="Times New Roman" w:cs="Times New Roman"/>
                <w:bCs/>
                <w:sz w:val="24"/>
                <w:szCs w:val="24"/>
              </w:rPr>
              <w:t>12</w:t>
            </w:r>
            <w:r w:rsidRPr="00537794">
              <w:rPr>
                <w:rFonts w:ascii="Times New Roman" w:eastAsia="宋体" w:hAnsi="Times New Roman" w:cs="Times New Roman"/>
                <w:bCs/>
                <w:sz w:val="24"/>
                <w:szCs w:val="24"/>
              </w:rPr>
              <w:t>个月持有期混合型证券投资基金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011431</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宏利消费服务混合型证券投资基金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162201</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宏利价值优化型成长类行业混合型证券投资基金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162202</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宏利价值优化型周期类行业混合型证券投资基金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162203</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宏利价值优化型稳定类行业混合型证券投资基金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162204</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宏利行业精选混合型证券投资基金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162205</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宏利风险预算混合型证券投资基金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162207</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宏利效率优选混合型证券投资基金</w:t>
            </w:r>
            <w:r w:rsidR="00FA2042" w:rsidRPr="00537794">
              <w:rPr>
                <w:rFonts w:ascii="Times New Roman" w:eastAsia="宋体" w:hAnsi="Times New Roman" w:cs="Times New Roman"/>
                <w:bCs/>
                <w:sz w:val="24"/>
                <w:szCs w:val="24"/>
              </w:rPr>
              <w:t>（</w:t>
            </w:r>
            <w:r w:rsidRPr="00537794">
              <w:rPr>
                <w:rFonts w:ascii="Times New Roman" w:eastAsia="宋体" w:hAnsi="Times New Roman" w:cs="Times New Roman"/>
                <w:bCs/>
                <w:sz w:val="24"/>
                <w:szCs w:val="24"/>
              </w:rPr>
              <w:t>LOF</w:t>
            </w:r>
            <w:r w:rsidR="00FA2042">
              <w:rPr>
                <w:rFonts w:ascii="Times New Roman" w:eastAsia="宋体" w:hAnsi="Times New Roman" w:cs="Times New Roman" w:hint="eastAsia"/>
                <w:bCs/>
                <w:sz w:val="24"/>
                <w:szCs w:val="24"/>
              </w:rPr>
              <w:t>）</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162208</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宏利首选企业股票型证券投资基金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162209</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宏利市值优选混合型证券投资基金</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162211</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宏利品质生活灵活配置混合型证券投资基金</w:t>
            </w:r>
            <w:r w:rsidRPr="00537794">
              <w:rPr>
                <w:rFonts w:ascii="Times New Roman" w:eastAsia="宋体" w:hAnsi="Times New Roman" w:cs="Times New Roman"/>
                <w:bCs/>
                <w:sz w:val="24"/>
                <w:szCs w:val="24"/>
              </w:rPr>
              <w:t xml:space="preserve"> </w:t>
            </w:r>
          </w:p>
        </w:tc>
      </w:tr>
      <w:tr w:rsidR="00537794" w:rsidRPr="004B1FE9" w:rsidTr="002B4D09">
        <w:trPr>
          <w:trHeight w:val="105"/>
        </w:trPr>
        <w:tc>
          <w:tcPr>
            <w:tcW w:w="1864" w:type="dxa"/>
            <w:tcBorders>
              <w:top w:val="single" w:sz="4" w:space="0" w:color="auto"/>
              <w:left w:val="single" w:sz="4" w:space="0" w:color="auto"/>
              <w:bottom w:val="single" w:sz="4" w:space="0" w:color="auto"/>
              <w:right w:val="single" w:sz="4" w:space="0" w:color="auto"/>
            </w:tcBorders>
          </w:tcPr>
          <w:p w:rsidR="00537794"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162212</w:t>
            </w:r>
          </w:p>
        </w:tc>
        <w:tc>
          <w:tcPr>
            <w:tcW w:w="6946" w:type="dxa"/>
            <w:tcBorders>
              <w:top w:val="single" w:sz="4" w:space="0" w:color="auto"/>
              <w:left w:val="single" w:sz="4" w:space="0" w:color="auto"/>
              <w:bottom w:val="single" w:sz="4" w:space="0" w:color="auto"/>
              <w:right w:val="single" w:sz="4" w:space="0" w:color="auto"/>
            </w:tcBorders>
          </w:tcPr>
          <w:p w:rsidR="00537794" w:rsidRPr="004B1FE9"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宏利红利先锋混合型证券投资基金</w:t>
            </w:r>
          </w:p>
        </w:tc>
      </w:tr>
      <w:tr w:rsidR="00537794" w:rsidRPr="006E0EBF" w:rsidTr="006E0EBF">
        <w:trPr>
          <w:trHeight w:val="105"/>
        </w:trPr>
        <w:tc>
          <w:tcPr>
            <w:tcW w:w="1864" w:type="dxa"/>
            <w:tcBorders>
              <w:top w:val="single" w:sz="4" w:space="0" w:color="auto"/>
              <w:left w:val="single" w:sz="4" w:space="0" w:color="auto"/>
              <w:bottom w:val="single" w:sz="4" w:space="0" w:color="auto"/>
              <w:right w:val="single" w:sz="4" w:space="0" w:color="auto"/>
            </w:tcBorders>
            <w:shd w:val="clear" w:color="auto" w:fill="auto"/>
          </w:tcPr>
          <w:p w:rsidR="00537794" w:rsidRPr="006E0EBF"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162213</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rsidR="00537794" w:rsidRPr="006E0EBF"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宏利沪深</w:t>
            </w:r>
            <w:r w:rsidRPr="00537794">
              <w:rPr>
                <w:rFonts w:ascii="Times New Roman" w:eastAsia="宋体" w:hAnsi="Times New Roman" w:cs="Times New Roman"/>
                <w:bCs/>
                <w:sz w:val="24"/>
                <w:szCs w:val="24"/>
              </w:rPr>
              <w:t>300</w:t>
            </w:r>
            <w:r w:rsidRPr="00537794">
              <w:rPr>
                <w:rFonts w:ascii="Times New Roman" w:eastAsia="宋体" w:hAnsi="Times New Roman" w:cs="Times New Roman"/>
                <w:bCs/>
                <w:sz w:val="24"/>
                <w:szCs w:val="24"/>
              </w:rPr>
              <w:t>指数增强型证券投资基金</w:t>
            </w:r>
          </w:p>
        </w:tc>
      </w:tr>
      <w:tr w:rsidR="00537794" w:rsidRPr="006E0EBF" w:rsidTr="006E0EBF">
        <w:trPr>
          <w:trHeight w:val="105"/>
        </w:trPr>
        <w:tc>
          <w:tcPr>
            <w:tcW w:w="1864" w:type="dxa"/>
            <w:tcBorders>
              <w:top w:val="single" w:sz="4" w:space="0" w:color="auto"/>
              <w:left w:val="single" w:sz="4" w:space="0" w:color="auto"/>
              <w:bottom w:val="single" w:sz="4" w:space="0" w:color="auto"/>
              <w:right w:val="single" w:sz="4" w:space="0" w:color="auto"/>
            </w:tcBorders>
            <w:shd w:val="clear" w:color="auto" w:fill="auto"/>
          </w:tcPr>
          <w:p w:rsidR="00537794" w:rsidRPr="006E0EBF"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162214</w:t>
            </w:r>
          </w:p>
        </w:tc>
        <w:tc>
          <w:tcPr>
            <w:tcW w:w="6946" w:type="dxa"/>
            <w:tcBorders>
              <w:top w:val="single" w:sz="4" w:space="0" w:color="auto"/>
              <w:left w:val="single" w:sz="4" w:space="0" w:color="auto"/>
              <w:bottom w:val="single" w:sz="4" w:space="0" w:color="auto"/>
              <w:right w:val="single" w:sz="4" w:space="0" w:color="auto"/>
            </w:tcBorders>
            <w:shd w:val="clear" w:color="000000" w:fill="FFFFFF"/>
          </w:tcPr>
          <w:p w:rsidR="00537794" w:rsidRPr="006E0EBF"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宏利领先中小盘混合型证券投资基金</w:t>
            </w:r>
          </w:p>
        </w:tc>
      </w:tr>
      <w:tr w:rsidR="00537794" w:rsidRPr="006E0EBF" w:rsidTr="006E0EBF">
        <w:trPr>
          <w:trHeight w:val="105"/>
        </w:trPr>
        <w:tc>
          <w:tcPr>
            <w:tcW w:w="1864" w:type="dxa"/>
            <w:tcBorders>
              <w:top w:val="single" w:sz="4" w:space="0" w:color="auto"/>
              <w:left w:val="single" w:sz="4" w:space="0" w:color="auto"/>
              <w:bottom w:val="single" w:sz="4" w:space="0" w:color="auto"/>
              <w:right w:val="single" w:sz="4" w:space="0" w:color="auto"/>
            </w:tcBorders>
            <w:shd w:val="clear" w:color="auto" w:fill="auto"/>
          </w:tcPr>
          <w:p w:rsidR="00537794" w:rsidRPr="006E0EBF"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162216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37794" w:rsidRPr="006E0EBF"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宏利中证</w:t>
            </w:r>
            <w:r w:rsidRPr="00537794">
              <w:rPr>
                <w:rFonts w:ascii="Times New Roman" w:eastAsia="宋体" w:hAnsi="Times New Roman" w:cs="Times New Roman"/>
                <w:bCs/>
                <w:sz w:val="24"/>
                <w:szCs w:val="24"/>
              </w:rPr>
              <w:t>500</w:t>
            </w:r>
            <w:r w:rsidRPr="00537794">
              <w:rPr>
                <w:rFonts w:ascii="Times New Roman" w:eastAsia="宋体" w:hAnsi="Times New Roman" w:cs="Times New Roman"/>
                <w:bCs/>
                <w:sz w:val="24"/>
                <w:szCs w:val="24"/>
              </w:rPr>
              <w:t>指数增强型证券投资基金（</w:t>
            </w:r>
            <w:r w:rsidRPr="00537794">
              <w:rPr>
                <w:rFonts w:ascii="Times New Roman" w:eastAsia="宋体" w:hAnsi="Times New Roman" w:cs="Times New Roman"/>
                <w:bCs/>
                <w:sz w:val="24"/>
                <w:szCs w:val="24"/>
              </w:rPr>
              <w:t>LOF</w:t>
            </w:r>
            <w:r w:rsidR="00FA2042">
              <w:rPr>
                <w:rFonts w:ascii="Times New Roman" w:eastAsia="宋体" w:hAnsi="Times New Roman" w:cs="Times New Roman" w:hint="eastAsia"/>
                <w:bCs/>
                <w:sz w:val="24"/>
                <w:szCs w:val="24"/>
              </w:rPr>
              <w:t>）</w:t>
            </w:r>
          </w:p>
        </w:tc>
      </w:tr>
      <w:tr w:rsidR="00537794" w:rsidRPr="006E0EBF" w:rsidTr="006E0EBF">
        <w:trPr>
          <w:trHeight w:val="105"/>
        </w:trPr>
        <w:tc>
          <w:tcPr>
            <w:tcW w:w="1864" w:type="dxa"/>
            <w:tcBorders>
              <w:top w:val="single" w:sz="4" w:space="0" w:color="auto"/>
              <w:left w:val="single" w:sz="4" w:space="0" w:color="auto"/>
              <w:bottom w:val="single" w:sz="4" w:space="0" w:color="auto"/>
              <w:right w:val="single" w:sz="4" w:space="0" w:color="auto"/>
            </w:tcBorders>
            <w:shd w:val="clear" w:color="auto" w:fill="auto"/>
          </w:tcPr>
          <w:p w:rsidR="00537794" w:rsidRPr="006E0EBF"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229002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37794" w:rsidRPr="006E0EBF" w:rsidRDefault="00537794" w:rsidP="00537794">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宏利逆向策略混合型证券投资基金</w:t>
            </w:r>
          </w:p>
        </w:tc>
      </w:tr>
      <w:tr w:rsidR="007F4D4C" w:rsidRPr="006E0EBF" w:rsidTr="006E0EBF">
        <w:trPr>
          <w:trHeight w:val="105"/>
        </w:trPr>
        <w:tc>
          <w:tcPr>
            <w:tcW w:w="1864" w:type="dxa"/>
            <w:tcBorders>
              <w:top w:val="single" w:sz="4" w:space="0" w:color="auto"/>
              <w:left w:val="single" w:sz="4" w:space="0" w:color="auto"/>
              <w:bottom w:val="single" w:sz="4" w:space="0" w:color="auto"/>
              <w:right w:val="single" w:sz="4" w:space="0" w:color="auto"/>
            </w:tcBorders>
            <w:shd w:val="clear" w:color="auto" w:fill="auto"/>
          </w:tcPr>
          <w:p w:rsidR="007F4D4C" w:rsidRPr="00537794" w:rsidRDefault="007F4D4C" w:rsidP="007F4D4C">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005221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F4D4C" w:rsidRPr="00537794" w:rsidRDefault="007F4D4C" w:rsidP="007F4D4C">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宏利全能优选混合型基金中基金</w:t>
            </w:r>
            <w:r w:rsidR="00FA2042" w:rsidRPr="00537794">
              <w:rPr>
                <w:rFonts w:ascii="Times New Roman" w:eastAsia="宋体" w:hAnsi="Times New Roman" w:cs="Times New Roman"/>
                <w:bCs/>
                <w:sz w:val="24"/>
                <w:szCs w:val="24"/>
              </w:rPr>
              <w:t>（</w:t>
            </w:r>
            <w:r w:rsidRPr="00537794">
              <w:rPr>
                <w:rFonts w:ascii="Times New Roman" w:eastAsia="宋体" w:hAnsi="Times New Roman" w:cs="Times New Roman"/>
                <w:bCs/>
                <w:sz w:val="24"/>
                <w:szCs w:val="24"/>
              </w:rPr>
              <w:t>FOF</w:t>
            </w:r>
            <w:r w:rsidR="00FA2042">
              <w:rPr>
                <w:rFonts w:ascii="Times New Roman" w:eastAsia="宋体" w:hAnsi="Times New Roman" w:cs="Times New Roman" w:hint="eastAsia"/>
                <w:bCs/>
                <w:sz w:val="24"/>
                <w:szCs w:val="24"/>
              </w:rPr>
              <w:t>）</w:t>
            </w:r>
          </w:p>
        </w:tc>
      </w:tr>
      <w:tr w:rsidR="007F4D4C" w:rsidRPr="006E0EBF" w:rsidTr="006E0EBF">
        <w:trPr>
          <w:trHeight w:val="105"/>
        </w:trPr>
        <w:tc>
          <w:tcPr>
            <w:tcW w:w="1864" w:type="dxa"/>
            <w:tcBorders>
              <w:top w:val="single" w:sz="4" w:space="0" w:color="auto"/>
              <w:left w:val="single" w:sz="4" w:space="0" w:color="auto"/>
              <w:bottom w:val="single" w:sz="4" w:space="0" w:color="auto"/>
              <w:right w:val="single" w:sz="4" w:space="0" w:color="auto"/>
            </w:tcBorders>
            <w:shd w:val="clear" w:color="auto" w:fill="auto"/>
          </w:tcPr>
          <w:p w:rsidR="007F4D4C" w:rsidRPr="006E0EBF" w:rsidRDefault="007F4D4C" w:rsidP="007F4D4C">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006306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F4D4C" w:rsidRPr="006E0EBF" w:rsidRDefault="007F4D4C" w:rsidP="007F4D4C">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宏利泰和平衡养老目标三年持有期混合型基金中基金（</w:t>
            </w:r>
            <w:r w:rsidRPr="00537794">
              <w:rPr>
                <w:rFonts w:ascii="Times New Roman" w:eastAsia="宋体" w:hAnsi="Times New Roman" w:cs="Times New Roman"/>
                <w:bCs/>
                <w:sz w:val="24"/>
                <w:szCs w:val="24"/>
              </w:rPr>
              <w:t>FOF</w:t>
            </w:r>
            <w:r>
              <w:rPr>
                <w:rFonts w:ascii="Times New Roman" w:eastAsia="宋体" w:hAnsi="Times New Roman" w:cs="Times New Roman" w:hint="eastAsia"/>
                <w:bCs/>
                <w:sz w:val="24"/>
                <w:szCs w:val="24"/>
              </w:rPr>
              <w:t>）</w:t>
            </w:r>
          </w:p>
        </w:tc>
      </w:tr>
      <w:tr w:rsidR="007F4D4C" w:rsidRPr="006E0EBF" w:rsidTr="006E0EBF">
        <w:trPr>
          <w:trHeight w:val="105"/>
        </w:trPr>
        <w:tc>
          <w:tcPr>
            <w:tcW w:w="1864" w:type="dxa"/>
            <w:tcBorders>
              <w:top w:val="single" w:sz="4" w:space="0" w:color="auto"/>
              <w:left w:val="single" w:sz="4" w:space="0" w:color="auto"/>
              <w:bottom w:val="single" w:sz="4" w:space="0" w:color="auto"/>
              <w:right w:val="single" w:sz="4" w:space="0" w:color="auto"/>
            </w:tcBorders>
            <w:shd w:val="clear" w:color="auto" w:fill="auto"/>
          </w:tcPr>
          <w:p w:rsidR="007F4D4C" w:rsidRPr="006E0EBF" w:rsidRDefault="007F4D4C" w:rsidP="007F4D4C">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009355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7F4D4C" w:rsidRPr="006E0EBF" w:rsidRDefault="007F4D4C" w:rsidP="007F4D4C">
            <w:pPr>
              <w:widowControl/>
              <w:spacing w:line="360" w:lineRule="auto"/>
              <w:jc w:val="center"/>
              <w:rPr>
                <w:rFonts w:ascii="Times New Roman" w:eastAsia="宋体" w:hAnsi="Times New Roman" w:cs="Times New Roman"/>
                <w:bCs/>
                <w:sz w:val="24"/>
                <w:szCs w:val="24"/>
              </w:rPr>
            </w:pPr>
            <w:r w:rsidRPr="00537794">
              <w:rPr>
                <w:rFonts w:ascii="Times New Roman" w:eastAsia="宋体" w:hAnsi="Times New Roman" w:cs="Times New Roman"/>
                <w:bCs/>
                <w:sz w:val="24"/>
                <w:szCs w:val="24"/>
              </w:rPr>
              <w:t>宏利泰和稳健养老目标一年持有期混合型基金中基金（</w:t>
            </w:r>
            <w:r w:rsidRPr="00537794">
              <w:rPr>
                <w:rFonts w:ascii="Times New Roman" w:eastAsia="宋体" w:hAnsi="Times New Roman" w:cs="Times New Roman"/>
                <w:bCs/>
                <w:sz w:val="24"/>
                <w:szCs w:val="24"/>
              </w:rPr>
              <w:t>FOF</w:t>
            </w:r>
            <w:r>
              <w:rPr>
                <w:rFonts w:ascii="Times New Roman" w:eastAsia="宋体" w:hAnsi="Times New Roman" w:cs="Times New Roman" w:hint="eastAsia"/>
                <w:bCs/>
                <w:sz w:val="24"/>
                <w:szCs w:val="24"/>
              </w:rPr>
              <w:t>）</w:t>
            </w:r>
          </w:p>
        </w:tc>
      </w:tr>
    </w:tbl>
    <w:p w:rsidR="00730CC2" w:rsidRPr="004B1FE9" w:rsidRDefault="00730CC2" w:rsidP="00730CC2">
      <w:pPr>
        <w:widowControl/>
        <w:spacing w:line="360" w:lineRule="auto"/>
        <w:ind w:firstLineChars="200" w:firstLine="482"/>
        <w:rPr>
          <w:rFonts w:ascii="Times New Roman" w:eastAsia="宋体" w:hAnsi="Times New Roman" w:cs="Times New Roman"/>
          <w:b/>
          <w:sz w:val="24"/>
          <w:szCs w:val="24"/>
        </w:rPr>
      </w:pPr>
      <w:r w:rsidRPr="004B1FE9">
        <w:rPr>
          <w:rFonts w:ascii="Times New Roman" w:eastAsia="宋体" w:hAnsi="Times New Roman" w:cs="Times New Roman" w:hint="eastAsia"/>
          <w:b/>
          <w:sz w:val="24"/>
          <w:szCs w:val="24"/>
        </w:rPr>
        <w:t>二、</w:t>
      </w:r>
      <w:r w:rsidRPr="004B1FE9">
        <w:rPr>
          <w:rFonts w:ascii="Times New Roman" w:eastAsia="宋体" w:hAnsi="Times New Roman" w:cs="Times New Roman"/>
          <w:b/>
          <w:sz w:val="24"/>
          <w:szCs w:val="24"/>
        </w:rPr>
        <w:t xml:space="preserve"> </w:t>
      </w:r>
      <w:r w:rsidRPr="004B1FE9">
        <w:rPr>
          <w:rFonts w:ascii="Times New Roman" w:eastAsia="宋体" w:hAnsi="Times New Roman" w:cs="Times New Roman" w:hint="eastAsia"/>
          <w:b/>
          <w:sz w:val="24"/>
          <w:szCs w:val="24"/>
        </w:rPr>
        <w:t>基金合同等法律文件的主要修订内容</w:t>
      </w:r>
    </w:p>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（一）在基金合同的</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前言</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章节增加：</w:t>
      </w:r>
    </w:p>
    <w:p w:rsidR="00730CC2" w:rsidRPr="00DB3ABC" w:rsidRDefault="00730CC2" w:rsidP="00DB3ABC">
      <w:pPr>
        <w:widowControl/>
        <w:spacing w:line="360" w:lineRule="auto"/>
        <w:ind w:firstLineChars="200" w:firstLine="482"/>
        <w:rPr>
          <w:rFonts w:ascii="Times New Roman" w:eastAsia="宋体" w:hAnsi="Times New Roman" w:cs="Times New Roman"/>
          <w:b/>
          <w:sz w:val="24"/>
          <w:szCs w:val="24"/>
        </w:rPr>
      </w:pPr>
      <w:r w:rsidRPr="00DB3ABC">
        <w:rPr>
          <w:rFonts w:ascii="Times New Roman" w:eastAsia="宋体" w:hAnsi="Times New Roman" w:cs="Times New Roman"/>
          <w:b/>
          <w:sz w:val="24"/>
          <w:szCs w:val="24"/>
        </w:rPr>
        <w:t>“</w:t>
      </w:r>
      <w:bookmarkStart w:id="8" w:name="_Hlk143679209"/>
      <w:r w:rsidR="00DB3ABC" w:rsidRPr="00DB3ABC">
        <w:rPr>
          <w:rFonts w:ascii="Times New Roman" w:eastAsia="宋体" w:hAnsi="Times New Roman" w:cs="Times New Roman" w:hint="eastAsia"/>
          <w:b/>
          <w:sz w:val="24"/>
          <w:szCs w:val="24"/>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w:t>
      </w:r>
      <w:bookmarkEnd w:id="8"/>
      <w:r w:rsidRPr="00DB3ABC">
        <w:rPr>
          <w:rFonts w:ascii="Times New Roman" w:eastAsia="宋体" w:hAnsi="Times New Roman" w:cs="Times New Roman"/>
          <w:b/>
          <w:sz w:val="24"/>
          <w:szCs w:val="24"/>
        </w:rPr>
        <w:t>”</w:t>
      </w:r>
    </w:p>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（二）对基金合同的</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基金的投资</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章节的修订</w:t>
      </w:r>
    </w:p>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bCs/>
          <w:sz w:val="24"/>
          <w:szCs w:val="24"/>
        </w:rPr>
        <w:t>1</w:t>
      </w:r>
      <w:r w:rsidRPr="00730CC2">
        <w:rPr>
          <w:rFonts w:ascii="Times New Roman" w:eastAsia="宋体" w:hAnsi="Times New Roman" w:cs="Times New Roman" w:hint="eastAsia"/>
          <w:bCs/>
          <w:sz w:val="24"/>
          <w:szCs w:val="24"/>
        </w:rPr>
        <w:t>、</w:t>
      </w:r>
      <w:r w:rsidRPr="00730CC2">
        <w:rPr>
          <w:rFonts w:ascii="Times New Roman" w:eastAsia="宋体" w:hAnsi="Times New Roman" w:cs="Times New Roman"/>
          <w:bCs/>
          <w:sz w:val="24"/>
          <w:szCs w:val="24"/>
        </w:rPr>
        <w:t xml:space="preserve"> </w:t>
      </w:r>
      <w:r w:rsidRPr="00730CC2">
        <w:rPr>
          <w:rFonts w:ascii="Times New Roman" w:eastAsia="宋体" w:hAnsi="Times New Roman" w:cs="Times New Roman" w:hint="eastAsia"/>
          <w:bCs/>
          <w:sz w:val="24"/>
          <w:szCs w:val="24"/>
        </w:rPr>
        <w:t>明确</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投资范围</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中包含存托凭证。以</w:t>
      </w:r>
      <w:r w:rsidR="004B1FE9" w:rsidRPr="004B1FE9">
        <w:rPr>
          <w:rFonts w:ascii="Times New Roman" w:eastAsia="宋体" w:hAnsi="Times New Roman" w:cs="Times New Roman" w:hint="eastAsia"/>
          <w:bCs/>
          <w:sz w:val="24"/>
          <w:szCs w:val="24"/>
        </w:rPr>
        <w:t>宏利中证</w:t>
      </w:r>
      <w:r w:rsidR="004B1FE9" w:rsidRPr="004B1FE9">
        <w:rPr>
          <w:rFonts w:ascii="Times New Roman" w:eastAsia="宋体" w:hAnsi="Times New Roman" w:cs="Times New Roman"/>
          <w:bCs/>
          <w:sz w:val="24"/>
          <w:szCs w:val="24"/>
        </w:rPr>
        <w:t>500</w:t>
      </w:r>
      <w:r w:rsidR="004B1FE9" w:rsidRPr="004B1FE9">
        <w:rPr>
          <w:rFonts w:ascii="Times New Roman" w:eastAsia="宋体" w:hAnsi="Times New Roman" w:cs="Times New Roman"/>
          <w:bCs/>
          <w:sz w:val="24"/>
          <w:szCs w:val="24"/>
        </w:rPr>
        <w:t>指数增强型证券投资基金</w:t>
      </w:r>
      <w:r w:rsidR="004B1FE9" w:rsidRPr="004B1FE9">
        <w:rPr>
          <w:rFonts w:ascii="Times New Roman" w:eastAsia="宋体" w:hAnsi="Times New Roman" w:cs="Times New Roman"/>
          <w:bCs/>
          <w:sz w:val="24"/>
          <w:szCs w:val="24"/>
        </w:rPr>
        <w:t>(LOF)</w:t>
      </w:r>
      <w:r w:rsidRPr="00730CC2">
        <w:rPr>
          <w:rFonts w:ascii="Times New Roman" w:eastAsia="宋体" w:hAnsi="Times New Roman" w:cs="Times New Roman" w:hint="eastAsia"/>
          <w:bCs/>
          <w:sz w:val="24"/>
          <w:szCs w:val="24"/>
        </w:rPr>
        <w:t>为例，将</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投资范围</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修订为：</w:t>
      </w:r>
    </w:p>
    <w:p w:rsidR="00730CC2" w:rsidRPr="00730CC2" w:rsidRDefault="00730CC2" w:rsidP="002B4D09">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bCs/>
          <w:sz w:val="24"/>
          <w:szCs w:val="24"/>
        </w:rPr>
        <w:lastRenderedPageBreak/>
        <w:t>“</w:t>
      </w:r>
      <w:r w:rsidR="004B1FE9" w:rsidRPr="004B1FE9">
        <w:rPr>
          <w:rFonts w:ascii="Times New Roman" w:eastAsia="宋体" w:hAnsi="Times New Roman" w:cs="Times New Roman" w:hint="eastAsia"/>
          <w:bCs/>
          <w:sz w:val="24"/>
          <w:szCs w:val="24"/>
        </w:rPr>
        <w:t>本基金的投资范围为具有良好流动性的金融工具，包括国内依法发行上市的股票</w:t>
      </w:r>
      <w:r w:rsidR="004B1FE9" w:rsidRPr="004B1FE9">
        <w:rPr>
          <w:rFonts w:ascii="Times New Roman" w:eastAsia="宋体" w:hAnsi="Times New Roman" w:cs="Times New Roman"/>
          <w:bCs/>
          <w:sz w:val="24"/>
          <w:szCs w:val="24"/>
        </w:rPr>
        <w:t>(</w:t>
      </w:r>
      <w:r w:rsidR="004B1FE9" w:rsidRPr="004B1FE9">
        <w:rPr>
          <w:rFonts w:ascii="Times New Roman" w:eastAsia="宋体" w:hAnsi="Times New Roman" w:cs="Times New Roman"/>
          <w:bCs/>
          <w:sz w:val="24"/>
          <w:szCs w:val="24"/>
        </w:rPr>
        <w:t>包括</w:t>
      </w:r>
      <w:r w:rsidR="007B007C" w:rsidRPr="007B007C">
        <w:rPr>
          <w:rFonts w:ascii="Times New Roman" w:eastAsia="宋体" w:hAnsi="Times New Roman" w:cs="Times New Roman"/>
          <w:b/>
          <w:bCs/>
          <w:sz w:val="24"/>
          <w:szCs w:val="24"/>
        </w:rPr>
        <w:t>中小板</w:t>
      </w:r>
      <w:r w:rsidR="007B007C" w:rsidRPr="004B1FE9">
        <w:rPr>
          <w:rFonts w:ascii="Times New Roman" w:eastAsia="宋体" w:hAnsi="Times New Roman" w:cs="Times New Roman"/>
          <w:bCs/>
          <w:sz w:val="24"/>
          <w:szCs w:val="24"/>
        </w:rPr>
        <w:t>、</w:t>
      </w:r>
      <w:r w:rsidR="004B1FE9" w:rsidRPr="004B1FE9">
        <w:rPr>
          <w:rFonts w:ascii="Times New Roman" w:eastAsia="宋体" w:hAnsi="Times New Roman" w:cs="Times New Roman"/>
          <w:bCs/>
          <w:sz w:val="24"/>
          <w:szCs w:val="24"/>
        </w:rPr>
        <w:t>创业板及其他经中国证监会核准上市的股票</w:t>
      </w:r>
      <w:r w:rsidR="005D2C2B">
        <w:rPr>
          <w:rFonts w:ascii="Times New Roman" w:eastAsia="宋体" w:hAnsi="Times New Roman" w:cs="Times New Roman" w:hint="eastAsia"/>
          <w:bCs/>
          <w:sz w:val="24"/>
          <w:szCs w:val="24"/>
        </w:rPr>
        <w:t>、</w:t>
      </w:r>
      <w:r w:rsidR="005D2C2B" w:rsidRPr="002B4D09">
        <w:rPr>
          <w:rFonts w:ascii="Times New Roman" w:eastAsia="宋体" w:hAnsi="Times New Roman" w:cs="Times New Roman" w:hint="eastAsia"/>
          <w:b/>
          <w:bCs/>
          <w:sz w:val="24"/>
          <w:szCs w:val="24"/>
        </w:rPr>
        <w:t>存托凭证</w:t>
      </w:r>
      <w:r w:rsidR="004B1FE9" w:rsidRPr="004B1FE9">
        <w:rPr>
          <w:rFonts w:ascii="Times New Roman" w:eastAsia="宋体" w:hAnsi="Times New Roman" w:cs="Times New Roman"/>
          <w:bCs/>
          <w:sz w:val="24"/>
          <w:szCs w:val="24"/>
        </w:rPr>
        <w:t>)</w:t>
      </w:r>
      <w:r w:rsidR="004B1FE9" w:rsidRPr="004B1FE9">
        <w:rPr>
          <w:rFonts w:ascii="Times New Roman" w:eastAsia="宋体" w:hAnsi="Times New Roman" w:cs="Times New Roman"/>
          <w:bCs/>
          <w:sz w:val="24"/>
          <w:szCs w:val="24"/>
        </w:rPr>
        <w:t>、债券</w:t>
      </w:r>
      <w:r w:rsidR="004B1FE9" w:rsidRPr="004B1FE9">
        <w:rPr>
          <w:rFonts w:ascii="Times New Roman" w:eastAsia="宋体" w:hAnsi="Times New Roman" w:cs="Times New Roman"/>
          <w:bCs/>
          <w:sz w:val="24"/>
          <w:szCs w:val="24"/>
        </w:rPr>
        <w:t>(</w:t>
      </w:r>
      <w:r w:rsidR="004B1FE9" w:rsidRPr="004B1FE9">
        <w:rPr>
          <w:rFonts w:ascii="Times New Roman" w:eastAsia="宋体" w:hAnsi="Times New Roman" w:cs="Times New Roman"/>
          <w:bCs/>
          <w:sz w:val="24"/>
          <w:szCs w:val="24"/>
        </w:rPr>
        <w:t>包括国债、央行票据、金融债、地方政府债、企业债、公司债、短期融资券、超短期融资券、中期票据、次级债券、可交换债券、可转换债券等</w:t>
      </w:r>
      <w:r w:rsidR="004B1FE9" w:rsidRPr="004B1FE9">
        <w:rPr>
          <w:rFonts w:ascii="Times New Roman" w:eastAsia="宋体" w:hAnsi="Times New Roman" w:cs="Times New Roman"/>
          <w:bCs/>
          <w:sz w:val="24"/>
          <w:szCs w:val="24"/>
        </w:rPr>
        <w:t>)</w:t>
      </w:r>
      <w:r w:rsidR="004B1FE9" w:rsidRPr="004B1FE9">
        <w:rPr>
          <w:rFonts w:ascii="Times New Roman" w:eastAsia="宋体" w:hAnsi="Times New Roman" w:cs="Times New Roman"/>
          <w:bCs/>
          <w:sz w:val="24"/>
          <w:szCs w:val="24"/>
        </w:rPr>
        <w:t>、债券回购、资产支持证券、股指期货、货币市场工具、同业存单及法律法规或中国证监会允许基金投资的其他金融工具。</w:t>
      </w:r>
      <w:r w:rsidRPr="00730CC2">
        <w:rPr>
          <w:rFonts w:ascii="Times New Roman" w:eastAsia="宋体" w:hAnsi="Times New Roman" w:cs="Times New Roman"/>
          <w:bCs/>
          <w:sz w:val="24"/>
          <w:szCs w:val="24"/>
        </w:rPr>
        <w:t>”</w:t>
      </w:r>
    </w:p>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bCs/>
          <w:sz w:val="24"/>
          <w:szCs w:val="24"/>
        </w:rPr>
        <w:t>2</w:t>
      </w:r>
      <w:r w:rsidRPr="00730CC2">
        <w:rPr>
          <w:rFonts w:ascii="Times New Roman" w:eastAsia="宋体" w:hAnsi="Times New Roman" w:cs="Times New Roman" w:hint="eastAsia"/>
          <w:bCs/>
          <w:sz w:val="24"/>
          <w:szCs w:val="24"/>
        </w:rPr>
        <w:t>、</w:t>
      </w:r>
      <w:r w:rsidRPr="00730CC2">
        <w:rPr>
          <w:rFonts w:ascii="Times New Roman" w:eastAsia="宋体" w:hAnsi="Times New Roman" w:cs="Times New Roman"/>
          <w:bCs/>
          <w:sz w:val="24"/>
          <w:szCs w:val="24"/>
        </w:rPr>
        <w:t xml:space="preserve"> </w:t>
      </w:r>
      <w:r w:rsidRPr="00730CC2">
        <w:rPr>
          <w:rFonts w:ascii="Times New Roman" w:eastAsia="宋体" w:hAnsi="Times New Roman" w:cs="Times New Roman" w:hint="eastAsia"/>
          <w:bCs/>
          <w:sz w:val="24"/>
          <w:szCs w:val="24"/>
        </w:rPr>
        <w:t>在投资策略部分增加存托凭证投资策略，表述如下：</w:t>
      </w:r>
    </w:p>
    <w:p w:rsidR="00730CC2" w:rsidRPr="00730CC2" w:rsidRDefault="002B4D09" w:rsidP="002B4D09">
      <w:pPr>
        <w:widowControl/>
        <w:spacing w:line="360" w:lineRule="auto"/>
        <w:ind w:firstLineChars="200" w:firstLine="480"/>
        <w:rPr>
          <w:rFonts w:ascii="Times New Roman" w:eastAsia="宋体" w:hAnsi="Times New Roman" w:cs="Times New Roman"/>
          <w:bCs/>
          <w:sz w:val="24"/>
          <w:szCs w:val="24"/>
        </w:rPr>
      </w:pPr>
      <w:bookmarkStart w:id="9" w:name="_Hlk143679681"/>
      <w:r w:rsidRPr="002B4D09">
        <w:rPr>
          <w:rFonts w:ascii="Times New Roman" w:eastAsia="宋体" w:hAnsi="Times New Roman" w:cs="Times New Roman" w:hint="eastAsia"/>
          <w:bCs/>
          <w:sz w:val="24"/>
          <w:szCs w:val="24"/>
        </w:rPr>
        <w:t>“</w:t>
      </w:r>
      <w:r w:rsidRPr="002B4D09">
        <w:rPr>
          <w:rFonts w:ascii="Times New Roman" w:eastAsia="宋体" w:hAnsi="Times New Roman" w:cs="Times New Roman" w:hint="eastAsia"/>
          <w:b/>
          <w:sz w:val="24"/>
          <w:szCs w:val="24"/>
        </w:rPr>
        <w:t>对于存托凭证投资，本基金将在深入研究的基础上，通过定性分析和定量分析相结合的方式，筛选具有比较优势的存托凭证作为投资标的。</w:t>
      </w:r>
      <w:r w:rsidRPr="002B4D09">
        <w:rPr>
          <w:rFonts w:ascii="Times New Roman" w:eastAsia="宋体" w:hAnsi="Times New Roman" w:cs="Times New Roman" w:hint="eastAsia"/>
          <w:bCs/>
          <w:sz w:val="24"/>
          <w:szCs w:val="24"/>
        </w:rPr>
        <w:t>”（非指数基金，表述为：“</w:t>
      </w:r>
      <w:r w:rsidRPr="002B4D09">
        <w:rPr>
          <w:rFonts w:ascii="Times New Roman" w:eastAsia="宋体" w:hAnsi="Times New Roman" w:cs="Times New Roman" w:hint="eastAsia"/>
          <w:b/>
          <w:sz w:val="24"/>
          <w:szCs w:val="24"/>
        </w:rPr>
        <w:t>本基金投资存托凭证的策略依照上述境内上市交易的股票投资策略执行。</w:t>
      </w:r>
      <w:r w:rsidRPr="002B4D09">
        <w:rPr>
          <w:rFonts w:ascii="Times New Roman" w:eastAsia="宋体" w:hAnsi="Times New Roman" w:cs="Times New Roman" w:hint="eastAsia"/>
          <w:bCs/>
          <w:sz w:val="24"/>
          <w:szCs w:val="24"/>
        </w:rPr>
        <w:t>”）</w:t>
      </w:r>
      <w:bookmarkEnd w:id="9"/>
    </w:p>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bCs/>
          <w:sz w:val="24"/>
          <w:szCs w:val="24"/>
        </w:rPr>
        <w:t>3</w:t>
      </w:r>
      <w:r w:rsidRPr="00730CC2">
        <w:rPr>
          <w:rFonts w:ascii="Times New Roman" w:eastAsia="宋体" w:hAnsi="Times New Roman" w:cs="Times New Roman" w:hint="eastAsia"/>
          <w:bCs/>
          <w:sz w:val="24"/>
          <w:szCs w:val="24"/>
        </w:rPr>
        <w:t>、在</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投资限制</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中增加存托凭证投资限制，描述如下：</w:t>
      </w:r>
    </w:p>
    <w:p w:rsidR="00730CC2" w:rsidRPr="00730CC2" w:rsidRDefault="00730CC2" w:rsidP="002D3E6F">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bCs/>
          <w:sz w:val="24"/>
          <w:szCs w:val="24"/>
        </w:rPr>
        <w:t>“</w:t>
      </w:r>
      <w:bookmarkStart w:id="10" w:name="_Hlk143679828"/>
      <w:r w:rsidR="002D3E6F" w:rsidRPr="002D3E6F">
        <w:rPr>
          <w:rFonts w:ascii="Times New Roman" w:eastAsia="宋体" w:hAnsi="Times New Roman" w:cs="Times New Roman" w:hint="eastAsia"/>
          <w:b/>
          <w:sz w:val="24"/>
          <w:szCs w:val="24"/>
        </w:rPr>
        <w:t>本基金投资存托凭证的比例限制依照</w:t>
      </w:r>
      <w:r w:rsidR="00B95487">
        <w:rPr>
          <w:rFonts w:ascii="Times New Roman" w:eastAsia="宋体" w:hAnsi="Times New Roman" w:cs="Times New Roman" w:hint="eastAsia"/>
          <w:b/>
          <w:sz w:val="24"/>
          <w:szCs w:val="24"/>
        </w:rPr>
        <w:t>境内</w:t>
      </w:r>
      <w:r w:rsidR="002D3E6F" w:rsidRPr="002D3E6F">
        <w:rPr>
          <w:rFonts w:ascii="Times New Roman" w:eastAsia="宋体" w:hAnsi="Times New Roman" w:cs="Times New Roman" w:hint="eastAsia"/>
          <w:b/>
          <w:sz w:val="24"/>
          <w:szCs w:val="24"/>
        </w:rPr>
        <w:t>上市的股票执行，与</w:t>
      </w:r>
      <w:r w:rsidR="00B95487">
        <w:rPr>
          <w:rFonts w:ascii="Times New Roman" w:eastAsia="宋体" w:hAnsi="Times New Roman" w:cs="Times New Roman" w:hint="eastAsia"/>
          <w:b/>
          <w:sz w:val="24"/>
          <w:szCs w:val="24"/>
        </w:rPr>
        <w:t>境内</w:t>
      </w:r>
      <w:r w:rsidR="002D3E6F" w:rsidRPr="002D3E6F">
        <w:rPr>
          <w:rFonts w:ascii="Times New Roman" w:eastAsia="宋体" w:hAnsi="Times New Roman" w:cs="Times New Roman" w:hint="eastAsia"/>
          <w:b/>
          <w:sz w:val="24"/>
          <w:szCs w:val="24"/>
        </w:rPr>
        <w:t>上市的股票合并计算。</w:t>
      </w:r>
      <w:bookmarkEnd w:id="10"/>
      <w:r w:rsidRPr="00730CC2">
        <w:rPr>
          <w:rFonts w:ascii="Times New Roman" w:eastAsia="宋体" w:hAnsi="Times New Roman" w:cs="Times New Roman"/>
          <w:bCs/>
          <w:sz w:val="24"/>
          <w:szCs w:val="24"/>
        </w:rPr>
        <w:t>”</w:t>
      </w:r>
    </w:p>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（三）在</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基金资产估值</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部分的</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估值方法</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中增加存托凭证估值方法，表述如下：</w:t>
      </w:r>
    </w:p>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bCs/>
          <w:sz w:val="24"/>
          <w:szCs w:val="24"/>
        </w:rPr>
        <w:t>“</w:t>
      </w:r>
      <w:bookmarkStart w:id="11" w:name="_Hlk143679945"/>
      <w:r w:rsidRPr="00C85519">
        <w:rPr>
          <w:rFonts w:ascii="Times New Roman" w:eastAsia="宋体" w:hAnsi="Times New Roman" w:cs="Times New Roman" w:hint="eastAsia"/>
          <w:b/>
          <w:sz w:val="24"/>
          <w:szCs w:val="24"/>
        </w:rPr>
        <w:t>本基金投资存托凭证的估值核算，依照境内上市交易的股票执行。</w:t>
      </w:r>
      <w:bookmarkEnd w:id="11"/>
      <w:r w:rsidRPr="00730CC2">
        <w:rPr>
          <w:rFonts w:ascii="Times New Roman" w:eastAsia="宋体" w:hAnsi="Times New Roman" w:cs="Times New Roman"/>
          <w:bCs/>
          <w:sz w:val="24"/>
          <w:szCs w:val="24"/>
        </w:rPr>
        <w:t>”</w:t>
      </w:r>
    </w:p>
    <w:p w:rsidR="00C85519" w:rsidRPr="00C85519" w:rsidRDefault="00730CC2" w:rsidP="00C85519">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（四）</w:t>
      </w:r>
      <w:r w:rsidR="00C85519" w:rsidRPr="00C85519">
        <w:rPr>
          <w:rFonts w:ascii="Times New Roman" w:eastAsia="宋体" w:hAnsi="Times New Roman" w:cs="Times New Roman" w:hint="eastAsia"/>
          <w:bCs/>
          <w:sz w:val="24"/>
          <w:szCs w:val="24"/>
        </w:rPr>
        <w:t>在基金招募说明书（更新）的“重要提示”部分增加投资存托凭证的风险揭示如下：</w:t>
      </w:r>
    </w:p>
    <w:p w:rsidR="00730CC2" w:rsidRPr="00730CC2" w:rsidRDefault="00C85519" w:rsidP="00C85519">
      <w:pPr>
        <w:widowControl/>
        <w:spacing w:line="360" w:lineRule="auto"/>
        <w:ind w:firstLineChars="200" w:firstLine="480"/>
        <w:rPr>
          <w:rFonts w:ascii="Times New Roman" w:eastAsia="宋体" w:hAnsi="Times New Roman" w:cs="Times New Roman"/>
          <w:bCs/>
          <w:sz w:val="24"/>
          <w:szCs w:val="24"/>
        </w:rPr>
      </w:pPr>
      <w:r w:rsidRPr="00C85519">
        <w:rPr>
          <w:rFonts w:ascii="Times New Roman" w:eastAsia="宋体" w:hAnsi="Times New Roman" w:cs="Times New Roman" w:hint="eastAsia"/>
          <w:bCs/>
          <w:sz w:val="24"/>
          <w:szCs w:val="24"/>
        </w:rPr>
        <w:t>“</w:t>
      </w:r>
      <w:r w:rsidR="00CE56FE" w:rsidRPr="00DB3ABC">
        <w:rPr>
          <w:rFonts w:ascii="Times New Roman" w:eastAsia="宋体" w:hAnsi="Times New Roman" w:cs="Times New Roman" w:hint="eastAsia"/>
          <w:b/>
          <w:sz w:val="24"/>
          <w:szCs w:val="24"/>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w:t>
      </w:r>
      <w:r w:rsidRPr="00C85519">
        <w:rPr>
          <w:rFonts w:ascii="Times New Roman" w:eastAsia="宋体" w:hAnsi="Times New Roman" w:cs="Times New Roman" w:hint="eastAsia"/>
          <w:bCs/>
          <w:sz w:val="24"/>
          <w:szCs w:val="24"/>
        </w:rPr>
        <w:t>”</w:t>
      </w:r>
    </w:p>
    <w:p w:rsidR="00CE56FE" w:rsidRPr="00CE56FE" w:rsidRDefault="00CE56FE" w:rsidP="00CE56FE">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（五）</w:t>
      </w:r>
      <w:r w:rsidRPr="00CE56FE">
        <w:rPr>
          <w:rFonts w:ascii="Times New Roman" w:eastAsia="宋体" w:hAnsi="Times New Roman" w:cs="Times New Roman"/>
          <w:bCs/>
          <w:sz w:val="24"/>
          <w:szCs w:val="24"/>
        </w:rPr>
        <w:t>在基金招募说明书（更新）的</w:t>
      </w:r>
      <w:r w:rsidRPr="00CE56FE">
        <w:rPr>
          <w:rFonts w:ascii="Times New Roman" w:eastAsia="宋体" w:hAnsi="Times New Roman" w:cs="Times New Roman"/>
          <w:bCs/>
          <w:sz w:val="24"/>
          <w:szCs w:val="24"/>
        </w:rPr>
        <w:t>“</w:t>
      </w:r>
      <w:r w:rsidRPr="00CE56FE">
        <w:rPr>
          <w:rFonts w:ascii="Times New Roman" w:eastAsia="宋体" w:hAnsi="Times New Roman" w:cs="Times New Roman"/>
          <w:bCs/>
          <w:sz w:val="24"/>
          <w:szCs w:val="24"/>
        </w:rPr>
        <w:t>风险揭示</w:t>
      </w:r>
      <w:r w:rsidRPr="00CE56FE">
        <w:rPr>
          <w:rFonts w:ascii="Times New Roman" w:eastAsia="宋体" w:hAnsi="Times New Roman" w:cs="Times New Roman"/>
          <w:bCs/>
          <w:sz w:val="24"/>
          <w:szCs w:val="24"/>
        </w:rPr>
        <w:t>”</w:t>
      </w:r>
      <w:r w:rsidRPr="00CE56FE">
        <w:rPr>
          <w:rFonts w:ascii="Times New Roman" w:eastAsia="宋体" w:hAnsi="Times New Roman" w:cs="Times New Roman"/>
          <w:bCs/>
          <w:sz w:val="24"/>
          <w:szCs w:val="24"/>
        </w:rPr>
        <w:t>部分增加投资存托凭证的</w:t>
      </w:r>
      <w:r w:rsidRPr="00CE56FE">
        <w:rPr>
          <w:rFonts w:ascii="Times New Roman" w:eastAsia="宋体" w:hAnsi="Times New Roman" w:cs="Times New Roman" w:hint="eastAsia"/>
          <w:bCs/>
          <w:sz w:val="24"/>
          <w:szCs w:val="24"/>
        </w:rPr>
        <w:t>风险揭示如下：</w:t>
      </w:r>
    </w:p>
    <w:p w:rsidR="00CE56FE" w:rsidRPr="00CE56FE" w:rsidRDefault="00CE56FE" w:rsidP="00CE56FE">
      <w:pPr>
        <w:widowControl/>
        <w:spacing w:line="360" w:lineRule="auto"/>
        <w:ind w:firstLineChars="200" w:firstLine="480"/>
        <w:rPr>
          <w:rFonts w:ascii="Times New Roman" w:eastAsia="宋体" w:hAnsi="Times New Roman" w:cs="Times New Roman"/>
          <w:bCs/>
          <w:sz w:val="24"/>
          <w:szCs w:val="24"/>
        </w:rPr>
      </w:pPr>
      <w:r w:rsidRPr="00CE56FE">
        <w:rPr>
          <w:rFonts w:ascii="Times New Roman" w:eastAsia="宋体" w:hAnsi="Times New Roman" w:cs="Times New Roman" w:hint="eastAsia"/>
          <w:bCs/>
          <w:sz w:val="24"/>
          <w:szCs w:val="24"/>
        </w:rPr>
        <w:t>“</w:t>
      </w:r>
      <w:bookmarkStart w:id="12" w:name="_Hlk143680805"/>
      <w:r w:rsidRPr="00CE56FE">
        <w:rPr>
          <w:rFonts w:ascii="Times New Roman" w:eastAsia="宋体" w:hAnsi="Times New Roman" w:cs="Times New Roman" w:hint="eastAsia"/>
          <w:b/>
          <w:sz w:val="24"/>
          <w:szCs w:val="24"/>
        </w:rPr>
        <w:t>本基金的投资范围包括存托凭证，除与其他仅投资于境内</w:t>
      </w:r>
      <w:r w:rsidRPr="00CE56FE">
        <w:rPr>
          <w:rFonts w:ascii="Times New Roman" w:eastAsia="宋体" w:hAnsi="Times New Roman" w:cs="Times New Roman"/>
          <w:b/>
          <w:sz w:val="24"/>
          <w:szCs w:val="24"/>
        </w:rPr>
        <w:t>市场股票的基</w:t>
      </w:r>
      <w:r w:rsidRPr="00CE56FE">
        <w:rPr>
          <w:rFonts w:ascii="Times New Roman" w:eastAsia="宋体" w:hAnsi="Times New Roman" w:cs="Times New Roman" w:hint="eastAsia"/>
          <w:b/>
          <w:sz w:val="24"/>
          <w:szCs w:val="24"/>
        </w:rPr>
        <w:t>金所面临的共同风险外，</w:t>
      </w:r>
      <w:r w:rsidR="00B95487" w:rsidRPr="00B95487">
        <w:rPr>
          <w:rFonts w:ascii="Times New Roman" w:eastAsia="宋体" w:hAnsi="Times New Roman" w:cs="Times New Roman" w:hint="eastAsia"/>
          <w:b/>
          <w:bCs/>
          <w:sz w:val="24"/>
          <w:szCs w:val="24"/>
        </w:rPr>
        <w:t>若本基金投资存托凭证的，</w:t>
      </w:r>
      <w:r w:rsidRPr="00CE56FE">
        <w:rPr>
          <w:rFonts w:ascii="Times New Roman" w:eastAsia="宋体" w:hAnsi="Times New Roman" w:cs="Times New Roman" w:hint="eastAsia"/>
          <w:b/>
          <w:sz w:val="24"/>
          <w:szCs w:val="24"/>
        </w:rPr>
        <w:t>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w:t>
      </w:r>
      <w:r w:rsidRPr="00CE56FE">
        <w:rPr>
          <w:rFonts w:ascii="Times New Roman" w:eastAsia="宋体" w:hAnsi="Times New Roman" w:cs="Times New Roman"/>
          <w:b/>
          <w:sz w:val="24"/>
          <w:szCs w:val="24"/>
        </w:rPr>
        <w:t>内外证券交易机制、法律制度、监管环境差异可能导致的其他风</w:t>
      </w:r>
      <w:r w:rsidRPr="00CE56FE">
        <w:rPr>
          <w:rFonts w:ascii="Times New Roman" w:eastAsia="宋体" w:hAnsi="Times New Roman" w:cs="Times New Roman" w:hint="eastAsia"/>
          <w:b/>
          <w:sz w:val="24"/>
          <w:szCs w:val="24"/>
        </w:rPr>
        <w:t>险。</w:t>
      </w:r>
      <w:bookmarkEnd w:id="12"/>
      <w:r w:rsidRPr="00CE56FE">
        <w:rPr>
          <w:rFonts w:ascii="Times New Roman" w:eastAsia="宋体" w:hAnsi="Times New Roman" w:cs="Times New Roman" w:hint="eastAsia"/>
          <w:bCs/>
          <w:sz w:val="24"/>
          <w:szCs w:val="24"/>
        </w:rPr>
        <w:t>”</w:t>
      </w:r>
    </w:p>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（六）</w:t>
      </w:r>
      <w:r w:rsidR="00CE56FE" w:rsidRPr="00CE56FE">
        <w:rPr>
          <w:rFonts w:ascii="Times New Roman" w:eastAsia="宋体" w:hAnsi="Times New Roman" w:cs="Times New Roman" w:hint="eastAsia"/>
          <w:bCs/>
          <w:sz w:val="24"/>
          <w:szCs w:val="24"/>
        </w:rPr>
        <w:t>因上述修订导致的序号变化顺序调整，</w:t>
      </w:r>
      <w:r w:rsidRPr="00730CC2">
        <w:rPr>
          <w:rFonts w:ascii="Times New Roman" w:eastAsia="宋体" w:hAnsi="Times New Roman" w:cs="Times New Roman" w:hint="eastAsia"/>
          <w:bCs/>
          <w:sz w:val="24"/>
          <w:szCs w:val="24"/>
        </w:rPr>
        <w:t>托管协议、基金招募说明书（更新）、基金产品资料概要进行相应修改。</w:t>
      </w:r>
    </w:p>
    <w:bookmarkEnd w:id="6"/>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本次修订系根据《存托凭证发行与交易管理办法（试行）》而作出，符合相关法律法规的规定，修订自</w:t>
      </w:r>
      <w:r w:rsidRPr="00730CC2">
        <w:rPr>
          <w:rFonts w:ascii="Times New Roman" w:eastAsia="宋体" w:hAnsi="Times New Roman" w:cs="Times New Roman"/>
          <w:bCs/>
          <w:sz w:val="24"/>
          <w:szCs w:val="24"/>
        </w:rPr>
        <w:t>202</w:t>
      </w:r>
      <w:r w:rsidR="00CE56FE">
        <w:rPr>
          <w:rFonts w:ascii="Times New Roman" w:eastAsia="宋体" w:hAnsi="Times New Roman" w:cs="Times New Roman"/>
          <w:bCs/>
          <w:sz w:val="24"/>
          <w:szCs w:val="24"/>
        </w:rPr>
        <w:t>3</w:t>
      </w:r>
      <w:r w:rsidRPr="00730CC2">
        <w:rPr>
          <w:rFonts w:ascii="Times New Roman" w:eastAsia="宋体" w:hAnsi="Times New Roman" w:cs="Times New Roman" w:hint="eastAsia"/>
          <w:bCs/>
          <w:sz w:val="24"/>
          <w:szCs w:val="24"/>
        </w:rPr>
        <w:t>年</w:t>
      </w:r>
      <w:r w:rsidR="00104445">
        <w:rPr>
          <w:rFonts w:ascii="Times New Roman" w:eastAsia="宋体" w:hAnsi="Times New Roman" w:cs="Times New Roman"/>
          <w:bCs/>
          <w:sz w:val="24"/>
          <w:szCs w:val="24"/>
        </w:rPr>
        <w:t>9</w:t>
      </w:r>
      <w:r w:rsidRPr="00730CC2">
        <w:rPr>
          <w:rFonts w:ascii="Times New Roman" w:eastAsia="宋体" w:hAnsi="Times New Roman" w:cs="Times New Roman" w:hint="eastAsia"/>
          <w:bCs/>
          <w:sz w:val="24"/>
          <w:szCs w:val="24"/>
        </w:rPr>
        <w:t>月</w:t>
      </w:r>
      <w:r w:rsidR="00104445">
        <w:rPr>
          <w:rFonts w:ascii="Times New Roman" w:eastAsia="宋体" w:hAnsi="Times New Roman" w:cs="Times New Roman"/>
          <w:bCs/>
          <w:sz w:val="24"/>
          <w:szCs w:val="24"/>
        </w:rPr>
        <w:t>11</w:t>
      </w:r>
      <w:r w:rsidRPr="00730CC2">
        <w:rPr>
          <w:rFonts w:ascii="Times New Roman" w:eastAsia="宋体" w:hAnsi="Times New Roman" w:cs="Times New Roman" w:hint="eastAsia"/>
          <w:bCs/>
          <w:sz w:val="24"/>
          <w:szCs w:val="24"/>
        </w:rPr>
        <w:t>日起生效。投资者可登录本基金管理人网站（</w:t>
      </w:r>
      <w:r w:rsidR="000E6126" w:rsidRPr="000E6126">
        <w:rPr>
          <w:rFonts w:ascii="Times New Roman" w:eastAsia="宋体" w:hAnsi="Times New Roman" w:cs="Times New Roman"/>
          <w:bCs/>
          <w:sz w:val="24"/>
          <w:szCs w:val="24"/>
        </w:rPr>
        <w:t>https://www.manulifefund.com.cn/</w:t>
      </w:r>
      <w:r w:rsidRPr="00730CC2">
        <w:rPr>
          <w:rFonts w:ascii="Times New Roman" w:eastAsia="宋体" w:hAnsi="Times New Roman" w:cs="Times New Roman" w:hint="eastAsia"/>
          <w:bCs/>
          <w:sz w:val="24"/>
          <w:szCs w:val="24"/>
        </w:rPr>
        <w:t>）查阅修订后的基金合同、托管协议、招募说明书（更新）、基金产品资料概要等法律文件，也可拨打本基金管理人客户服务电话（</w:t>
      </w:r>
      <w:r w:rsidR="004B1FE9" w:rsidRPr="004B1FE9">
        <w:rPr>
          <w:rFonts w:ascii="Times New Roman" w:eastAsia="宋体" w:hAnsi="Times New Roman" w:cs="Times New Roman"/>
          <w:bCs/>
          <w:sz w:val="24"/>
          <w:szCs w:val="24"/>
        </w:rPr>
        <w:t>4006-988-888</w:t>
      </w:r>
      <w:r w:rsidRPr="00730CC2">
        <w:rPr>
          <w:rFonts w:ascii="Times New Roman" w:eastAsia="宋体" w:hAnsi="Times New Roman" w:cs="Times New Roman" w:hint="eastAsia"/>
          <w:bCs/>
          <w:sz w:val="24"/>
          <w:szCs w:val="24"/>
        </w:rPr>
        <w:t>）了解相关信息。</w:t>
      </w:r>
    </w:p>
    <w:p w:rsidR="00A24C4D" w:rsidRDefault="00A24C4D" w:rsidP="00730CC2">
      <w:pPr>
        <w:widowControl/>
        <w:spacing w:line="360" w:lineRule="auto"/>
        <w:ind w:firstLineChars="200" w:firstLine="480"/>
        <w:rPr>
          <w:rFonts w:ascii="Times New Roman" w:eastAsia="宋体" w:hAnsi="Times New Roman" w:cs="Times New Roman"/>
          <w:bCs/>
          <w:sz w:val="24"/>
          <w:szCs w:val="24"/>
        </w:rPr>
      </w:pPr>
    </w:p>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风险提示</w:t>
      </w:r>
    </w:p>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买者自负</w:t>
      </w:r>
      <w:r w:rsidRPr="00730CC2">
        <w:rPr>
          <w:rFonts w:ascii="Times New Roman" w:eastAsia="宋体" w:hAnsi="Times New Roman" w:cs="Times New Roman"/>
          <w:bCs/>
          <w:sz w:val="24"/>
          <w:szCs w:val="24"/>
        </w:rPr>
        <w:t>”</w:t>
      </w:r>
      <w:r w:rsidRPr="00730CC2">
        <w:rPr>
          <w:rFonts w:ascii="Times New Roman" w:eastAsia="宋体" w:hAnsi="Times New Roman" w:cs="Times New Roman" w:hint="eastAsia"/>
          <w:bCs/>
          <w:sz w:val="24"/>
          <w:szCs w:val="24"/>
        </w:rPr>
        <w:t>原则，在做出投资决策后，基金运营状况与基金净值变化引致的投资风险，由投资者自行负担。</w:t>
      </w:r>
    </w:p>
    <w:p w:rsidR="00730CC2" w:rsidRP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投资者在投资基金之前，请仔细阅读基金的基金产品资料概要、招募说明书和基金合同等信息披露文件，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w:t>
      </w:r>
    </w:p>
    <w:p w:rsidR="00730CC2" w:rsidRDefault="00730CC2" w:rsidP="00730CC2">
      <w:pPr>
        <w:widowControl/>
        <w:spacing w:line="360" w:lineRule="auto"/>
        <w:ind w:firstLineChars="200" w:firstLine="480"/>
        <w:rPr>
          <w:rFonts w:ascii="Times New Roman" w:eastAsia="宋体" w:hAnsi="Times New Roman" w:cs="Times New Roman"/>
          <w:bCs/>
          <w:sz w:val="24"/>
          <w:szCs w:val="24"/>
        </w:rPr>
      </w:pPr>
      <w:r w:rsidRPr="00730CC2">
        <w:rPr>
          <w:rFonts w:ascii="Times New Roman" w:eastAsia="宋体" w:hAnsi="Times New Roman" w:cs="Times New Roman" w:hint="eastAsia"/>
          <w:bCs/>
          <w:sz w:val="24"/>
          <w:szCs w:val="24"/>
        </w:rPr>
        <w:t>特此公告</w:t>
      </w:r>
      <w:r w:rsidR="004B1FE9">
        <w:rPr>
          <w:rFonts w:ascii="Times New Roman" w:eastAsia="宋体" w:hAnsi="Times New Roman" w:cs="Times New Roman" w:hint="eastAsia"/>
          <w:bCs/>
          <w:sz w:val="24"/>
          <w:szCs w:val="24"/>
        </w:rPr>
        <w:t>。</w:t>
      </w:r>
    </w:p>
    <w:p w:rsidR="004B1FE9" w:rsidRPr="000819BB" w:rsidRDefault="004B1FE9" w:rsidP="004B1FE9">
      <w:pPr>
        <w:widowControl/>
        <w:spacing w:line="360" w:lineRule="auto"/>
        <w:ind w:right="120" w:firstLineChars="100" w:firstLine="240"/>
        <w:jc w:val="right"/>
        <w:rPr>
          <w:rFonts w:ascii="宋体" w:eastAsia="宋体" w:hAnsi="宋体" w:cs="Times New Roman"/>
          <w:bCs/>
          <w:sz w:val="24"/>
          <w:szCs w:val="24"/>
        </w:rPr>
      </w:pPr>
      <w:r>
        <w:rPr>
          <w:rFonts w:ascii="宋体" w:eastAsia="宋体" w:hAnsi="宋体" w:cs="Times New Roman" w:hint="eastAsia"/>
          <w:bCs/>
          <w:sz w:val="24"/>
          <w:szCs w:val="24"/>
        </w:rPr>
        <w:t xml:space="preserve"> </w:t>
      </w:r>
      <w:r w:rsidRPr="000819BB">
        <w:rPr>
          <w:rFonts w:ascii="宋体" w:eastAsia="宋体" w:hAnsi="宋体" w:cs="Times New Roman" w:hint="eastAsia"/>
          <w:bCs/>
          <w:sz w:val="24"/>
          <w:szCs w:val="24"/>
        </w:rPr>
        <w:t>宏利基金管理有限公司</w:t>
      </w:r>
    </w:p>
    <w:p w:rsidR="00152566" w:rsidRPr="004B1FE9" w:rsidRDefault="004B1FE9" w:rsidP="004B1FE9">
      <w:pPr>
        <w:widowControl/>
        <w:spacing w:line="360" w:lineRule="auto"/>
        <w:ind w:right="120" w:firstLineChars="100" w:firstLine="240"/>
        <w:jc w:val="right"/>
        <w:rPr>
          <w:rFonts w:ascii="宋体" w:eastAsia="宋体" w:hAnsi="宋体" w:cs="Times New Roman"/>
          <w:bCs/>
          <w:sz w:val="24"/>
          <w:szCs w:val="24"/>
        </w:rPr>
      </w:pPr>
      <w:r w:rsidRPr="000819BB">
        <w:rPr>
          <w:rFonts w:ascii="宋体" w:eastAsia="宋体" w:hAnsi="宋体" w:cs="Times New Roman"/>
          <w:bCs/>
          <w:sz w:val="24"/>
          <w:szCs w:val="24"/>
        </w:rPr>
        <w:t xml:space="preserve">                                          </w:t>
      </w:r>
      <w:r w:rsidR="00104445" w:rsidRPr="000819BB">
        <w:rPr>
          <w:rFonts w:ascii="宋体" w:eastAsia="宋体" w:hAnsi="宋体" w:cs="Times New Roman"/>
          <w:bCs/>
          <w:sz w:val="24"/>
          <w:szCs w:val="24"/>
        </w:rPr>
        <w:t>2023</w:t>
      </w:r>
      <w:r w:rsidR="00104445" w:rsidRPr="000819BB">
        <w:rPr>
          <w:rFonts w:ascii="宋体" w:eastAsia="宋体" w:hAnsi="宋体" w:cs="Times New Roman" w:hint="eastAsia"/>
          <w:bCs/>
          <w:sz w:val="24"/>
          <w:szCs w:val="24"/>
        </w:rPr>
        <w:t>年</w:t>
      </w:r>
      <w:r w:rsidR="00104445">
        <w:rPr>
          <w:rFonts w:ascii="宋体" w:eastAsia="宋体" w:hAnsi="宋体" w:cs="Times New Roman"/>
          <w:bCs/>
          <w:sz w:val="24"/>
          <w:szCs w:val="24"/>
        </w:rPr>
        <w:t>9</w:t>
      </w:r>
      <w:r w:rsidR="00104445" w:rsidRPr="000819BB">
        <w:rPr>
          <w:rFonts w:ascii="宋体" w:eastAsia="宋体" w:hAnsi="宋体" w:cs="Times New Roman" w:hint="eastAsia"/>
          <w:bCs/>
          <w:sz w:val="24"/>
          <w:szCs w:val="24"/>
        </w:rPr>
        <w:t>月</w:t>
      </w:r>
      <w:r w:rsidR="00104445">
        <w:rPr>
          <w:rFonts w:ascii="宋体" w:eastAsia="宋体" w:hAnsi="宋体" w:cs="Times New Roman"/>
          <w:bCs/>
          <w:sz w:val="24"/>
          <w:szCs w:val="24"/>
        </w:rPr>
        <w:t>9</w:t>
      </w:r>
      <w:r w:rsidRPr="000819BB">
        <w:rPr>
          <w:rFonts w:ascii="宋体" w:eastAsia="宋体" w:hAnsi="宋体" w:cs="Times New Roman" w:hint="eastAsia"/>
          <w:bCs/>
          <w:sz w:val="24"/>
          <w:szCs w:val="24"/>
        </w:rPr>
        <w:t>日</w:t>
      </w:r>
    </w:p>
    <w:sectPr w:rsidR="00152566" w:rsidRPr="004B1FE9" w:rsidSect="001274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A0" w:rsidRDefault="003328A0" w:rsidP="00C9293B">
      <w:r>
        <w:separator/>
      </w:r>
    </w:p>
  </w:endnote>
  <w:endnote w:type="continuationSeparator" w:id="0">
    <w:p w:rsidR="003328A0" w:rsidRDefault="003328A0" w:rsidP="00C9293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A0" w:rsidRDefault="003328A0" w:rsidP="00C9293B">
      <w:r>
        <w:separator/>
      </w:r>
    </w:p>
  </w:footnote>
  <w:footnote w:type="continuationSeparator" w:id="0">
    <w:p w:rsidR="003328A0" w:rsidRDefault="003328A0" w:rsidP="00C929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00C4"/>
    <w:rsid w:val="00007222"/>
    <w:rsid w:val="00063A6D"/>
    <w:rsid w:val="000B2BAC"/>
    <w:rsid w:val="000E6126"/>
    <w:rsid w:val="00104445"/>
    <w:rsid w:val="00116CD2"/>
    <w:rsid w:val="00127482"/>
    <w:rsid w:val="00127C02"/>
    <w:rsid w:val="0015028F"/>
    <w:rsid w:val="00152566"/>
    <w:rsid w:val="0018110C"/>
    <w:rsid w:val="001B6ABE"/>
    <w:rsid w:val="00282022"/>
    <w:rsid w:val="002B4D09"/>
    <w:rsid w:val="002D3E6F"/>
    <w:rsid w:val="003328A0"/>
    <w:rsid w:val="003470E6"/>
    <w:rsid w:val="00400451"/>
    <w:rsid w:val="00410B40"/>
    <w:rsid w:val="00420F38"/>
    <w:rsid w:val="0043083C"/>
    <w:rsid w:val="004B1FE9"/>
    <w:rsid w:val="00537794"/>
    <w:rsid w:val="005D2C2B"/>
    <w:rsid w:val="00632F40"/>
    <w:rsid w:val="006D337D"/>
    <w:rsid w:val="006E0EBF"/>
    <w:rsid w:val="00730CC2"/>
    <w:rsid w:val="00763ED0"/>
    <w:rsid w:val="007B007C"/>
    <w:rsid w:val="007F4D4C"/>
    <w:rsid w:val="00824077"/>
    <w:rsid w:val="00834004"/>
    <w:rsid w:val="008B7A81"/>
    <w:rsid w:val="008C663F"/>
    <w:rsid w:val="0090218D"/>
    <w:rsid w:val="00965D38"/>
    <w:rsid w:val="009E0C04"/>
    <w:rsid w:val="009E6C1E"/>
    <w:rsid w:val="00A24C4D"/>
    <w:rsid w:val="00A40618"/>
    <w:rsid w:val="00A944F9"/>
    <w:rsid w:val="00AB0784"/>
    <w:rsid w:val="00AD2DA5"/>
    <w:rsid w:val="00AD5EF4"/>
    <w:rsid w:val="00B06C7F"/>
    <w:rsid w:val="00B2072B"/>
    <w:rsid w:val="00B6466E"/>
    <w:rsid w:val="00B800C4"/>
    <w:rsid w:val="00B95487"/>
    <w:rsid w:val="00C85519"/>
    <w:rsid w:val="00C85A89"/>
    <w:rsid w:val="00C9293B"/>
    <w:rsid w:val="00CE56FE"/>
    <w:rsid w:val="00D01411"/>
    <w:rsid w:val="00D15781"/>
    <w:rsid w:val="00D30677"/>
    <w:rsid w:val="00DB3ABC"/>
    <w:rsid w:val="00E94CE8"/>
    <w:rsid w:val="00EA3554"/>
    <w:rsid w:val="00F01B88"/>
    <w:rsid w:val="00F43D87"/>
    <w:rsid w:val="00FA20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0CC2"/>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C92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93B"/>
    <w:rPr>
      <w:sz w:val="18"/>
      <w:szCs w:val="18"/>
    </w:rPr>
  </w:style>
  <w:style w:type="paragraph" w:styleId="a4">
    <w:name w:val="footer"/>
    <w:basedOn w:val="a"/>
    <w:link w:val="Char0"/>
    <w:uiPriority w:val="99"/>
    <w:unhideWhenUsed/>
    <w:rsid w:val="00C9293B"/>
    <w:pPr>
      <w:tabs>
        <w:tab w:val="center" w:pos="4153"/>
        <w:tab w:val="right" w:pos="8306"/>
      </w:tabs>
      <w:snapToGrid w:val="0"/>
      <w:jc w:val="left"/>
    </w:pPr>
    <w:rPr>
      <w:sz w:val="18"/>
      <w:szCs w:val="18"/>
    </w:rPr>
  </w:style>
  <w:style w:type="character" w:customStyle="1" w:styleId="Char0">
    <w:name w:val="页脚 Char"/>
    <w:basedOn w:val="a0"/>
    <w:link w:val="a4"/>
    <w:uiPriority w:val="99"/>
    <w:rsid w:val="00C9293B"/>
    <w:rPr>
      <w:sz w:val="18"/>
      <w:szCs w:val="18"/>
    </w:rPr>
  </w:style>
  <w:style w:type="paragraph" w:styleId="a5">
    <w:name w:val="Balloon Text"/>
    <w:basedOn w:val="a"/>
    <w:link w:val="Char1"/>
    <w:uiPriority w:val="99"/>
    <w:semiHidden/>
    <w:unhideWhenUsed/>
    <w:rsid w:val="0090218D"/>
    <w:rPr>
      <w:sz w:val="18"/>
      <w:szCs w:val="18"/>
    </w:rPr>
  </w:style>
  <w:style w:type="character" w:customStyle="1" w:styleId="Char1">
    <w:name w:val="批注框文本 Char"/>
    <w:basedOn w:val="a0"/>
    <w:link w:val="a5"/>
    <w:uiPriority w:val="99"/>
    <w:semiHidden/>
    <w:rsid w:val="0090218D"/>
    <w:rPr>
      <w:sz w:val="18"/>
      <w:szCs w:val="18"/>
    </w:rPr>
  </w:style>
  <w:style w:type="character" w:styleId="a6">
    <w:name w:val="annotation reference"/>
    <w:basedOn w:val="a0"/>
    <w:uiPriority w:val="99"/>
    <w:semiHidden/>
    <w:unhideWhenUsed/>
    <w:rsid w:val="0090218D"/>
    <w:rPr>
      <w:sz w:val="21"/>
      <w:szCs w:val="21"/>
    </w:rPr>
  </w:style>
  <w:style w:type="paragraph" w:styleId="a7">
    <w:name w:val="annotation text"/>
    <w:basedOn w:val="a"/>
    <w:link w:val="Char2"/>
    <w:uiPriority w:val="99"/>
    <w:semiHidden/>
    <w:unhideWhenUsed/>
    <w:rsid w:val="0090218D"/>
    <w:pPr>
      <w:jc w:val="left"/>
    </w:pPr>
  </w:style>
  <w:style w:type="character" w:customStyle="1" w:styleId="Char2">
    <w:name w:val="批注文字 Char"/>
    <w:basedOn w:val="a0"/>
    <w:link w:val="a7"/>
    <w:uiPriority w:val="99"/>
    <w:semiHidden/>
    <w:rsid w:val="0090218D"/>
  </w:style>
  <w:style w:type="paragraph" w:styleId="a8">
    <w:name w:val="annotation subject"/>
    <w:basedOn w:val="a7"/>
    <w:next w:val="a7"/>
    <w:link w:val="Char3"/>
    <w:uiPriority w:val="99"/>
    <w:semiHidden/>
    <w:unhideWhenUsed/>
    <w:rsid w:val="0090218D"/>
    <w:rPr>
      <w:b/>
      <w:bCs/>
    </w:rPr>
  </w:style>
  <w:style w:type="character" w:customStyle="1" w:styleId="Char3">
    <w:name w:val="批注主题 Char"/>
    <w:basedOn w:val="Char2"/>
    <w:link w:val="a8"/>
    <w:uiPriority w:val="99"/>
    <w:semiHidden/>
    <w:rsid w:val="0090218D"/>
    <w:rPr>
      <w:b/>
      <w:bCs/>
    </w:rPr>
  </w:style>
  <w:style w:type="paragraph" w:styleId="a9">
    <w:name w:val="Revision"/>
    <w:hidden/>
    <w:uiPriority w:val="99"/>
    <w:semiHidden/>
    <w:rsid w:val="009E0C04"/>
  </w:style>
</w:styles>
</file>

<file path=word/webSettings.xml><?xml version="1.0" encoding="utf-8"?>
<w:webSettings xmlns:r="http://schemas.openxmlformats.org/officeDocument/2006/relationships" xmlns:w="http://schemas.openxmlformats.org/wordprocessingml/2006/main">
  <w:divs>
    <w:div w:id="13655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2657</Characters>
  <Application>Microsoft Office Word</Application>
  <DocSecurity>4</DocSecurity>
  <Lines>22</Lines>
  <Paragraphs>6</Paragraphs>
  <ScaleCrop>false</ScaleCrop>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张诺</dc:creator>
  <cp:keywords/>
  <dc:description/>
  <cp:lastModifiedBy>ZHONGM</cp:lastModifiedBy>
  <cp:revision>2</cp:revision>
  <cp:lastPrinted>2023-09-08T06:05:00Z</cp:lastPrinted>
  <dcterms:created xsi:type="dcterms:W3CDTF">2023-09-08T16:01:00Z</dcterms:created>
  <dcterms:modified xsi:type="dcterms:W3CDTF">2023-09-08T16:01:00Z</dcterms:modified>
</cp:coreProperties>
</file>