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EB" w:rsidRPr="008625C7" w:rsidRDefault="009F4614" w:rsidP="000C3E28">
      <w:pPr>
        <w:spacing w:beforeLines="50" w:line="360" w:lineRule="auto"/>
        <w:jc w:val="center"/>
        <w:rPr>
          <w:rFonts w:asciiTheme="minorEastAsia" w:hAnsiTheme="minorEastAsia" w:cs="Times New Roman"/>
          <w:b/>
          <w:sz w:val="28"/>
          <w:szCs w:val="28"/>
        </w:rPr>
      </w:pPr>
      <w:r w:rsidRPr="008625C7">
        <w:rPr>
          <w:rFonts w:asciiTheme="minorEastAsia" w:hAnsiTheme="minorEastAsia" w:cs="Times New Roman" w:hint="eastAsia"/>
          <w:b/>
          <w:sz w:val="28"/>
          <w:szCs w:val="28"/>
        </w:rPr>
        <w:t>关于</w:t>
      </w:r>
      <w:r w:rsidR="00B262D5" w:rsidRPr="008625C7">
        <w:rPr>
          <w:rFonts w:asciiTheme="minorEastAsia" w:hAnsiTheme="minorEastAsia" w:cs="Times New Roman" w:hint="eastAsia"/>
          <w:b/>
          <w:sz w:val="28"/>
          <w:szCs w:val="28"/>
        </w:rPr>
        <w:t>长城量化小盘股票型证券投资基金</w:t>
      </w:r>
      <w:r w:rsidR="00843E9E" w:rsidRPr="008625C7">
        <w:rPr>
          <w:rFonts w:asciiTheme="minorEastAsia" w:hAnsiTheme="minorEastAsia" w:cs="Times New Roman" w:hint="eastAsia"/>
          <w:b/>
          <w:sz w:val="28"/>
          <w:szCs w:val="28"/>
        </w:rPr>
        <w:t>增设基金份额并相应修改基金合同及托管协议的公告</w:t>
      </w:r>
    </w:p>
    <w:p w:rsidR="00070F08" w:rsidRPr="00BC1E90" w:rsidRDefault="00070F08" w:rsidP="008625C7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B1384D" w:rsidRPr="00BD493A" w:rsidRDefault="00823C2C" w:rsidP="00BC1E9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为更好地满足广大投资者的需求，长城基金管理有限公司（以下简称“本基金管理人”）经与基金托管人中国建设银行股份有限公司协商一致，</w:t>
      </w:r>
      <w:r w:rsidR="00BC1E90" w:rsidRPr="00BD493A">
        <w:rPr>
          <w:rFonts w:ascii="宋体" w:eastAsia="宋体" w:hAnsi="宋体" w:hint="eastAsia"/>
          <w:szCs w:val="21"/>
        </w:rPr>
        <w:t>决定自</w:t>
      </w:r>
      <w:r w:rsidR="009F4614" w:rsidRPr="00BD493A">
        <w:rPr>
          <w:rFonts w:ascii="宋体" w:eastAsia="宋体" w:hAnsi="宋体" w:hint="eastAsia"/>
          <w:szCs w:val="21"/>
        </w:rPr>
        <w:t>202</w:t>
      </w:r>
      <w:r w:rsidR="009F4614">
        <w:rPr>
          <w:rFonts w:ascii="宋体" w:eastAsia="宋体" w:hAnsi="宋体"/>
          <w:szCs w:val="21"/>
        </w:rPr>
        <w:t>3</w:t>
      </w:r>
      <w:r w:rsidR="00BC1E90" w:rsidRPr="00BD493A">
        <w:rPr>
          <w:rFonts w:ascii="宋体" w:eastAsia="宋体" w:hAnsi="宋体" w:hint="eastAsia"/>
          <w:szCs w:val="21"/>
        </w:rPr>
        <w:t>年</w:t>
      </w:r>
      <w:r w:rsidR="00F71579">
        <w:rPr>
          <w:rFonts w:ascii="宋体" w:eastAsia="宋体" w:hAnsi="宋体"/>
          <w:szCs w:val="21"/>
        </w:rPr>
        <w:t>9</w:t>
      </w:r>
      <w:r w:rsidR="00BC1E90" w:rsidRPr="00BD493A">
        <w:rPr>
          <w:rFonts w:ascii="宋体" w:eastAsia="宋体" w:hAnsi="宋体" w:hint="eastAsia"/>
          <w:szCs w:val="21"/>
        </w:rPr>
        <w:t>月</w:t>
      </w:r>
      <w:r w:rsidR="00F71579">
        <w:rPr>
          <w:rFonts w:ascii="宋体" w:eastAsia="宋体" w:hAnsi="宋体"/>
          <w:szCs w:val="21"/>
        </w:rPr>
        <w:t>11</w:t>
      </w:r>
      <w:r w:rsidR="00BC1E90" w:rsidRPr="00BD493A">
        <w:rPr>
          <w:rFonts w:ascii="宋体" w:eastAsia="宋体" w:hAnsi="宋体" w:hint="eastAsia"/>
          <w:szCs w:val="21"/>
        </w:rPr>
        <w:t>日起，</w:t>
      </w:r>
      <w:r>
        <w:rPr>
          <w:rFonts w:ascii="宋体" w:eastAsia="宋体" w:hAnsi="宋体" w:hint="eastAsia"/>
          <w:szCs w:val="21"/>
        </w:rPr>
        <w:t>为</w:t>
      </w:r>
      <w:r w:rsidR="00B262D5" w:rsidRPr="00B262D5">
        <w:rPr>
          <w:rFonts w:ascii="宋体" w:eastAsia="宋体" w:hAnsi="宋体" w:hint="eastAsia"/>
          <w:szCs w:val="21"/>
        </w:rPr>
        <w:t>长城量化小盘股票型证券投资基金</w:t>
      </w:r>
      <w:r w:rsidR="00B262D5">
        <w:rPr>
          <w:rFonts w:ascii="宋体" w:eastAsia="宋体" w:hAnsi="宋体" w:hint="eastAsia"/>
          <w:szCs w:val="21"/>
        </w:rPr>
        <w:t>（以下简称“本基金”）</w:t>
      </w:r>
      <w:r w:rsidR="00BC1E90" w:rsidRPr="00BD493A">
        <w:rPr>
          <w:rFonts w:ascii="宋体" w:eastAsia="宋体" w:hAnsi="宋体" w:hint="eastAsia"/>
          <w:szCs w:val="21"/>
        </w:rPr>
        <w:t>增设C类基金份额，并相应</w:t>
      </w:r>
      <w:r w:rsidR="003A7084">
        <w:rPr>
          <w:rFonts w:ascii="宋体" w:eastAsia="宋体" w:hAnsi="宋体" w:hint="eastAsia"/>
          <w:szCs w:val="21"/>
        </w:rPr>
        <w:t>修改</w:t>
      </w:r>
      <w:r w:rsidR="00BC1E90" w:rsidRPr="00BD493A">
        <w:rPr>
          <w:rFonts w:ascii="宋体" w:eastAsia="宋体" w:hAnsi="宋体" w:hint="eastAsia"/>
          <w:szCs w:val="21"/>
        </w:rPr>
        <w:t>基金合同</w:t>
      </w:r>
      <w:r w:rsidR="00CA4377" w:rsidRPr="00BD493A">
        <w:rPr>
          <w:rFonts w:ascii="宋体" w:eastAsia="宋体" w:hAnsi="宋体" w:hint="eastAsia"/>
          <w:szCs w:val="21"/>
        </w:rPr>
        <w:t>及托管协议</w:t>
      </w:r>
      <w:r w:rsidR="00BC1E90" w:rsidRPr="00BD493A">
        <w:rPr>
          <w:rFonts w:ascii="宋体" w:eastAsia="宋体" w:hAnsi="宋体" w:hint="eastAsia"/>
          <w:szCs w:val="21"/>
        </w:rPr>
        <w:t>的相关条款。现将具体事宜公告如下：</w:t>
      </w:r>
    </w:p>
    <w:p w:rsidR="004838EE" w:rsidRDefault="004838EE" w:rsidP="003C56B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一、</w:t>
      </w:r>
      <w:r w:rsidR="00C03046">
        <w:rPr>
          <w:rFonts w:asciiTheme="minorEastAsia" w:hAnsiTheme="minorEastAsia" w:hint="eastAsia"/>
          <w:kern w:val="0"/>
          <w:szCs w:val="28"/>
        </w:rPr>
        <w:t>增设基金份额的情况</w:t>
      </w:r>
    </w:p>
    <w:p w:rsidR="00F74F63" w:rsidRDefault="00F74F63" w:rsidP="00F74F63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1、本基金在现有基金份额的基础上增设C类基金份额，原基金份额转为A类基金份额。A类基金份额在投资者申购时收取申购费，但不</w:t>
      </w:r>
      <w:r w:rsidR="001C7093">
        <w:rPr>
          <w:rFonts w:ascii="宋体" w:eastAsia="宋体" w:hAnsi="宋体" w:hint="eastAsia"/>
          <w:szCs w:val="21"/>
        </w:rPr>
        <w:t>从本类别基金资产中计提销售服务费、赎回时根据持有期限收取</w:t>
      </w:r>
      <w:r w:rsidR="002D1918">
        <w:rPr>
          <w:rFonts w:ascii="宋体" w:eastAsia="宋体" w:hAnsi="宋体" w:hint="eastAsia"/>
          <w:szCs w:val="21"/>
        </w:rPr>
        <w:t>赎回费</w:t>
      </w:r>
      <w:r>
        <w:rPr>
          <w:rFonts w:ascii="宋体" w:eastAsia="宋体" w:hAnsi="宋体" w:hint="eastAsia"/>
          <w:szCs w:val="21"/>
        </w:rPr>
        <w:t>；C类基金份额在投资者申购时不收取申购费，从本类别基金资产中计</w:t>
      </w:r>
      <w:r w:rsidR="001C7093">
        <w:rPr>
          <w:rFonts w:ascii="宋体" w:eastAsia="宋体" w:hAnsi="宋体" w:hint="eastAsia"/>
          <w:szCs w:val="21"/>
        </w:rPr>
        <w:t>提销售服务费、赎回时根据持有期限收取</w:t>
      </w:r>
      <w:r w:rsidR="002D1918">
        <w:rPr>
          <w:rFonts w:ascii="宋体" w:eastAsia="宋体" w:hAnsi="宋体" w:hint="eastAsia"/>
          <w:szCs w:val="21"/>
        </w:rPr>
        <w:t>赎回费</w:t>
      </w:r>
      <w:r>
        <w:rPr>
          <w:rFonts w:ascii="宋体" w:eastAsia="宋体" w:hAnsi="宋体" w:hint="eastAsia"/>
          <w:szCs w:val="21"/>
        </w:rPr>
        <w:t>。</w:t>
      </w:r>
      <w:bookmarkStart w:id="0" w:name="_GoBack"/>
      <w:bookmarkEnd w:id="0"/>
    </w:p>
    <w:p w:rsidR="00F74F63" w:rsidRDefault="00F74F63" w:rsidP="00F74F63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Theme="minorEastAsia" w:hAnsiTheme="minorEastAsia" w:hint="eastAsia"/>
          <w:szCs w:val="21"/>
        </w:rPr>
        <w:t>2、本基金A类基金份额、C类基金份额分别设置基金代码，分别计算和公告基金份额净值。A类基金份额基金代码为</w:t>
      </w:r>
      <w:r w:rsidRPr="00F74F63">
        <w:rPr>
          <w:rFonts w:asciiTheme="minorEastAsia" w:hAnsiTheme="minorEastAsia"/>
          <w:szCs w:val="21"/>
        </w:rPr>
        <w:t>007903</w:t>
      </w:r>
      <w:r>
        <w:rPr>
          <w:rFonts w:asciiTheme="minorEastAsia" w:hAnsiTheme="minorEastAsia" w:hint="eastAsia"/>
          <w:szCs w:val="21"/>
        </w:rPr>
        <w:t>，C类基金份额基金代码为</w:t>
      </w:r>
      <w:r w:rsidRPr="00F74F63">
        <w:rPr>
          <w:rFonts w:asciiTheme="minorEastAsia" w:hAnsiTheme="minorEastAsia"/>
          <w:szCs w:val="21"/>
        </w:rPr>
        <w:t>019272</w:t>
      </w:r>
      <w:r>
        <w:rPr>
          <w:rFonts w:asciiTheme="minorEastAsia" w:hAnsiTheme="minorEastAsia" w:hint="eastAsia"/>
          <w:szCs w:val="21"/>
        </w:rPr>
        <w:t>。</w:t>
      </w:r>
    </w:p>
    <w:p w:rsidR="00673DF3" w:rsidRPr="00C84753" w:rsidRDefault="00F74F63" w:rsidP="00673DF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 w:rsidR="009347BA" w:rsidRPr="00BD493A">
        <w:rPr>
          <w:rFonts w:ascii="宋体" w:eastAsia="宋体" w:hAnsi="宋体" w:hint="eastAsia"/>
          <w:szCs w:val="21"/>
        </w:rPr>
        <w:t>、</w:t>
      </w:r>
      <w:r w:rsidR="00B262D5">
        <w:rPr>
          <w:rFonts w:ascii="宋体" w:eastAsia="宋体" w:hAnsi="宋体" w:hint="eastAsia"/>
          <w:szCs w:val="21"/>
        </w:rPr>
        <w:t>本基金</w:t>
      </w:r>
      <w:r w:rsidR="00673DF3" w:rsidRPr="00C84753">
        <w:rPr>
          <w:rFonts w:asciiTheme="minorEastAsia" w:hAnsiTheme="minorEastAsia"/>
          <w:szCs w:val="21"/>
        </w:rPr>
        <w:t>C类基金份额不收取申购费，</w:t>
      </w:r>
      <w:r w:rsidR="00673DF3" w:rsidRPr="00C84753">
        <w:rPr>
          <w:rFonts w:asciiTheme="minorEastAsia" w:hAnsiTheme="minorEastAsia" w:hint="eastAsia"/>
          <w:szCs w:val="21"/>
        </w:rPr>
        <w:t>按</w:t>
      </w:r>
      <w:r w:rsidR="00673DF3" w:rsidRPr="00C84753">
        <w:rPr>
          <w:rFonts w:asciiTheme="minorEastAsia" w:hAnsiTheme="minorEastAsia"/>
          <w:szCs w:val="21"/>
        </w:rPr>
        <w:t>0.</w:t>
      </w:r>
      <w:r w:rsidR="00673DF3">
        <w:rPr>
          <w:rFonts w:asciiTheme="minorEastAsia" w:hAnsiTheme="minorEastAsia"/>
          <w:szCs w:val="21"/>
        </w:rPr>
        <w:t>6</w:t>
      </w:r>
      <w:r w:rsidR="00673DF3" w:rsidRPr="00C84753">
        <w:rPr>
          <w:rFonts w:asciiTheme="minorEastAsia" w:hAnsiTheme="minorEastAsia"/>
          <w:szCs w:val="21"/>
        </w:rPr>
        <w:t>%</w:t>
      </w:r>
      <w:r w:rsidR="00673DF3" w:rsidRPr="00C84753">
        <w:rPr>
          <w:rFonts w:asciiTheme="minorEastAsia" w:hAnsiTheme="minorEastAsia" w:hint="eastAsia"/>
          <w:szCs w:val="21"/>
        </w:rPr>
        <w:t>的年费率从本类别基金资产中计提销售服务费</w:t>
      </w:r>
      <w:r w:rsidR="00673DF3" w:rsidRPr="00C84753">
        <w:rPr>
          <w:rFonts w:asciiTheme="minorEastAsia" w:hAnsiTheme="minorEastAsia"/>
          <w:szCs w:val="21"/>
        </w:rPr>
        <w:t>，C类基金份额</w:t>
      </w:r>
      <w:r w:rsidR="002D1918">
        <w:rPr>
          <w:rFonts w:asciiTheme="minorEastAsia" w:hAnsiTheme="minorEastAsia" w:hint="eastAsia"/>
          <w:szCs w:val="21"/>
        </w:rPr>
        <w:t>赎回费</w:t>
      </w:r>
      <w:r w:rsidR="00673DF3" w:rsidRPr="00C84753">
        <w:rPr>
          <w:rFonts w:asciiTheme="minorEastAsia" w:hAnsiTheme="minorEastAsia" w:hint="eastAsia"/>
          <w:szCs w:val="21"/>
        </w:rPr>
        <w:t>率如下：</w:t>
      </w:r>
    </w:p>
    <w:tbl>
      <w:tblPr>
        <w:tblW w:w="33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5"/>
        <w:gridCol w:w="2835"/>
      </w:tblGrid>
      <w:tr w:rsidR="00673DF3" w:rsidRPr="003E1CF0" w:rsidTr="001F51BB">
        <w:trPr>
          <w:tblHeader/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73DF3" w:rsidRPr="003E1CF0" w:rsidRDefault="00673DF3" w:rsidP="005C6604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EF2231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持有期限（T）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73DF3" w:rsidRPr="003E1CF0" w:rsidRDefault="002D1918" w:rsidP="002D1918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  <w:t>赎回费</w:t>
            </w:r>
            <w:r w:rsidR="00673DF3" w:rsidRPr="003E1CF0"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  <w:t>率</w:t>
            </w:r>
          </w:p>
        </w:tc>
      </w:tr>
      <w:tr w:rsidR="00673DF3" w:rsidRPr="003E1CF0" w:rsidTr="001F51BB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73DF3" w:rsidRPr="003E1CF0" w:rsidRDefault="00673DF3" w:rsidP="005C6604">
            <w:pPr>
              <w:spacing w:line="360" w:lineRule="auto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F2231">
              <w:rPr>
                <w:rFonts w:asciiTheme="minorEastAsia" w:hAnsiTheme="minorEastAsia" w:cs="Times New Roman" w:hint="eastAsia"/>
                <w:sz w:val="20"/>
                <w:szCs w:val="20"/>
              </w:rPr>
              <w:t>T＜7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天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73DF3" w:rsidRPr="003E1CF0" w:rsidRDefault="00673DF3" w:rsidP="005C6604">
            <w:pPr>
              <w:spacing w:line="360" w:lineRule="auto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1CF0">
              <w:rPr>
                <w:rFonts w:asciiTheme="minorEastAsia" w:hAnsiTheme="minorEastAsia" w:cs="Times New Roman"/>
                <w:sz w:val="20"/>
                <w:szCs w:val="20"/>
              </w:rPr>
              <w:t>1.5%</w:t>
            </w:r>
          </w:p>
        </w:tc>
      </w:tr>
      <w:tr w:rsidR="00673DF3" w:rsidRPr="003E1CF0" w:rsidTr="001F51BB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3DF3" w:rsidRPr="003E1CF0" w:rsidRDefault="00673DF3" w:rsidP="005C6604">
            <w:pPr>
              <w:spacing w:line="360" w:lineRule="auto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3373">
              <w:rPr>
                <w:rFonts w:asciiTheme="minorEastAsia" w:hAnsiTheme="minorEastAsia" w:cs="Times New Roman"/>
                <w:sz w:val="20"/>
                <w:szCs w:val="20"/>
              </w:rPr>
              <w:t>7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天</w:t>
            </w:r>
            <w:r w:rsidRPr="00183373">
              <w:rPr>
                <w:rFonts w:asciiTheme="minorEastAsia" w:hAnsiTheme="minorEastAsia" w:cs="Times New Roman" w:hint="eastAsia"/>
                <w:sz w:val="20"/>
                <w:szCs w:val="20"/>
              </w:rPr>
              <w:t>≤</w:t>
            </w:r>
            <w:r w:rsidRPr="00183373">
              <w:rPr>
                <w:rFonts w:asciiTheme="minorEastAsia" w:hAnsiTheme="minorEastAsia" w:cs="Times New Roman"/>
                <w:sz w:val="20"/>
                <w:szCs w:val="20"/>
              </w:rPr>
              <w:t>T</w:t>
            </w:r>
            <w:r w:rsidRPr="00183373">
              <w:rPr>
                <w:rFonts w:asciiTheme="minorEastAsia" w:hAnsiTheme="minorEastAsia" w:cs="Times New Roman" w:hint="eastAsia"/>
                <w:sz w:val="20"/>
                <w:szCs w:val="20"/>
              </w:rPr>
              <w:t>＜</w:t>
            </w:r>
            <w:r w:rsidRPr="00183373">
              <w:rPr>
                <w:rFonts w:asciiTheme="minorEastAsia" w:hAnsiTheme="minorEastAsia" w:cs="Times New Roman"/>
                <w:sz w:val="20"/>
                <w:szCs w:val="20"/>
              </w:rPr>
              <w:t>30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天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73DF3" w:rsidRPr="003E1CF0" w:rsidRDefault="00673DF3" w:rsidP="005C6604">
            <w:pPr>
              <w:spacing w:line="360" w:lineRule="auto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1CF0">
              <w:rPr>
                <w:rFonts w:asciiTheme="minorEastAsia" w:hAnsiTheme="minorEastAsia" w:cs="Times New Roman"/>
                <w:sz w:val="20"/>
                <w:szCs w:val="20"/>
              </w:rPr>
              <w:t>0.5%</w:t>
            </w:r>
          </w:p>
        </w:tc>
      </w:tr>
      <w:tr w:rsidR="00673DF3" w:rsidRPr="003E1CF0" w:rsidTr="001F51BB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73DF3" w:rsidRPr="003E1CF0" w:rsidRDefault="00673DF3" w:rsidP="005C6604">
            <w:pPr>
              <w:spacing w:line="360" w:lineRule="auto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3373">
              <w:rPr>
                <w:rFonts w:asciiTheme="minorEastAsia" w:hAnsiTheme="minorEastAsia" w:cs="Times New Roman"/>
                <w:sz w:val="20"/>
                <w:szCs w:val="20"/>
              </w:rPr>
              <w:t>30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天</w:t>
            </w:r>
            <w:r w:rsidRPr="00183373">
              <w:rPr>
                <w:rFonts w:asciiTheme="minorEastAsia" w:hAnsiTheme="minorEastAsia" w:cs="Times New Roman" w:hint="eastAsia"/>
                <w:sz w:val="20"/>
                <w:szCs w:val="20"/>
              </w:rPr>
              <w:t>≤</w:t>
            </w:r>
            <w:r w:rsidRPr="00183373">
              <w:rPr>
                <w:rFonts w:asciiTheme="minorEastAsia" w:hAnsiTheme="minorEastAsia" w:cs="Times New Roman"/>
                <w:sz w:val="20"/>
                <w:szCs w:val="20"/>
              </w:rPr>
              <w:t>T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73DF3" w:rsidRPr="003E1CF0" w:rsidRDefault="00673DF3" w:rsidP="005C6604">
            <w:pPr>
              <w:spacing w:line="360" w:lineRule="auto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1CF0">
              <w:rPr>
                <w:rFonts w:asciiTheme="minorEastAsia" w:hAnsiTheme="minorEastAsia" w:cs="Times New Roman"/>
                <w:sz w:val="20"/>
                <w:szCs w:val="20"/>
              </w:rPr>
              <w:t>0</w:t>
            </w:r>
          </w:p>
        </w:tc>
      </w:tr>
    </w:tbl>
    <w:p w:rsidR="00673DF3" w:rsidRDefault="00673DF3" w:rsidP="00673DF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B20B1A">
        <w:rPr>
          <w:rFonts w:asciiTheme="minorEastAsia" w:hAnsiTheme="minorEastAsia" w:hint="eastAsia"/>
          <w:szCs w:val="21"/>
        </w:rPr>
        <w:t>C类基金份额的</w:t>
      </w:r>
      <w:r w:rsidR="002D1918">
        <w:rPr>
          <w:rFonts w:asciiTheme="minorEastAsia" w:hAnsiTheme="minorEastAsia" w:hint="eastAsia"/>
          <w:szCs w:val="21"/>
        </w:rPr>
        <w:t>赎回费用</w:t>
      </w:r>
      <w:r w:rsidRPr="00B20B1A">
        <w:rPr>
          <w:rFonts w:asciiTheme="minorEastAsia" w:hAnsiTheme="minorEastAsia" w:hint="eastAsia"/>
          <w:szCs w:val="21"/>
        </w:rPr>
        <w:t>由赎回C类基金份额的基金份额持有人承担，在基金份额持有人赎回C类基金份额时收取。对C类基金份额持有人收取的</w:t>
      </w:r>
      <w:r w:rsidR="002D1918">
        <w:rPr>
          <w:rFonts w:asciiTheme="minorEastAsia" w:hAnsiTheme="minorEastAsia" w:hint="eastAsia"/>
          <w:szCs w:val="21"/>
        </w:rPr>
        <w:t>赎回费</w:t>
      </w:r>
      <w:r w:rsidRPr="00B20B1A">
        <w:rPr>
          <w:rFonts w:asciiTheme="minorEastAsia" w:hAnsiTheme="minorEastAsia" w:hint="eastAsia"/>
          <w:szCs w:val="21"/>
        </w:rPr>
        <w:t>全额计入基金财产。</w:t>
      </w:r>
    </w:p>
    <w:p w:rsidR="00673DF3" w:rsidRPr="00673DF3" w:rsidRDefault="00F74F63" w:rsidP="00673DF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 w:rsidR="00673DF3" w:rsidRPr="00673DF3">
        <w:rPr>
          <w:rFonts w:asciiTheme="minorEastAsia" w:hAnsiTheme="minorEastAsia" w:hint="eastAsia"/>
          <w:szCs w:val="21"/>
        </w:rPr>
        <w:t>、</w:t>
      </w:r>
      <w:r w:rsidR="00B262D5">
        <w:rPr>
          <w:rFonts w:ascii="宋体" w:eastAsia="宋体" w:hAnsi="宋体" w:hint="eastAsia"/>
          <w:szCs w:val="21"/>
        </w:rPr>
        <w:t>本基金</w:t>
      </w:r>
      <w:r w:rsidR="00673DF3" w:rsidRPr="00673DF3">
        <w:rPr>
          <w:rFonts w:asciiTheme="minorEastAsia" w:hAnsiTheme="minorEastAsia" w:hint="eastAsia"/>
          <w:szCs w:val="21"/>
        </w:rPr>
        <w:t>将对A类基金份额和C类基金份额的资产合并进行投资管理。</w:t>
      </w:r>
    </w:p>
    <w:p w:rsidR="004838EE" w:rsidRDefault="00673DF3" w:rsidP="00673DF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673DF3">
        <w:rPr>
          <w:rFonts w:asciiTheme="minorEastAsia" w:hAnsiTheme="minorEastAsia" w:hint="eastAsia"/>
          <w:szCs w:val="21"/>
        </w:rPr>
        <w:t>5、</w:t>
      </w:r>
      <w:r w:rsidR="00B262D5">
        <w:rPr>
          <w:rFonts w:ascii="宋体" w:eastAsia="宋体" w:hAnsi="宋体" w:hint="eastAsia"/>
          <w:szCs w:val="21"/>
        </w:rPr>
        <w:t>本基金</w:t>
      </w:r>
      <w:r w:rsidRPr="00673DF3">
        <w:rPr>
          <w:rFonts w:asciiTheme="minorEastAsia" w:hAnsiTheme="minorEastAsia" w:hint="eastAsia"/>
          <w:szCs w:val="21"/>
        </w:rPr>
        <w:t>各类基金份额在费用收取上不同，其对应的可供分配利润可能有所不同。</w:t>
      </w:r>
      <w:r w:rsidR="00B262D5">
        <w:rPr>
          <w:rFonts w:ascii="宋体" w:eastAsia="宋体" w:hAnsi="宋体" w:hint="eastAsia"/>
          <w:szCs w:val="21"/>
        </w:rPr>
        <w:t>本基金</w:t>
      </w:r>
      <w:r w:rsidRPr="00673DF3">
        <w:rPr>
          <w:rFonts w:asciiTheme="minorEastAsia" w:hAnsiTheme="minorEastAsia" w:hint="eastAsia"/>
          <w:szCs w:val="21"/>
        </w:rPr>
        <w:t>同一类别每份基金份额享有同等分配权。</w:t>
      </w:r>
    </w:p>
    <w:p w:rsidR="0076563B" w:rsidRDefault="0076563B" w:rsidP="0076563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二、基金合同、托管协议等的修改内容</w:t>
      </w:r>
    </w:p>
    <w:p w:rsidR="0076563B" w:rsidRDefault="0076563B" w:rsidP="0076563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经与基金托管人协商一致，本基金管理人决定对本基金基金合同、托管协议中涉及增设C类基金份额的内容进行修改，同时更新基金管理人信息，并</w:t>
      </w:r>
      <w:r>
        <w:rPr>
          <w:rFonts w:asciiTheme="minorEastAsia" w:hAnsiTheme="minorEastAsia" w:hint="eastAsia"/>
          <w:szCs w:val="28"/>
        </w:rPr>
        <w:t>根据基金实际运作情况更新相</w:t>
      </w:r>
      <w:r>
        <w:rPr>
          <w:rFonts w:asciiTheme="minorEastAsia" w:hAnsiTheme="minorEastAsia" w:hint="eastAsia"/>
          <w:szCs w:val="28"/>
        </w:rPr>
        <w:lastRenderedPageBreak/>
        <w:t>关内容</w:t>
      </w:r>
      <w:r>
        <w:rPr>
          <w:rFonts w:ascii="宋体" w:eastAsia="宋体" w:hAnsi="宋体" w:hint="eastAsia"/>
          <w:szCs w:val="21"/>
        </w:rPr>
        <w:t>。修改后的本基金基金合同、托管协议自2023年9月1</w:t>
      </w:r>
      <w:r>
        <w:rPr>
          <w:rFonts w:ascii="宋体" w:eastAsia="宋体" w:hAnsi="宋体"/>
          <w:szCs w:val="21"/>
        </w:rPr>
        <w:t>1</w:t>
      </w:r>
      <w:r>
        <w:rPr>
          <w:rFonts w:ascii="宋体" w:eastAsia="宋体" w:hAnsi="宋体" w:hint="eastAsia"/>
          <w:szCs w:val="21"/>
        </w:rPr>
        <w:t>日起生效。</w:t>
      </w:r>
    </w:p>
    <w:p w:rsidR="0076563B" w:rsidRDefault="0076563B" w:rsidP="0076563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本基金管理人将在本基金更新的招募说明书、基金产品资料概要中对涉及上述修改的内容进行相应更新。</w:t>
      </w:r>
    </w:p>
    <w:p w:rsidR="0076563B" w:rsidRDefault="0076563B" w:rsidP="0076563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三、重要提示</w:t>
      </w:r>
    </w:p>
    <w:p w:rsidR="0076563B" w:rsidRDefault="0076563B" w:rsidP="0076563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1、</w:t>
      </w:r>
      <w:r>
        <w:rPr>
          <w:rFonts w:asciiTheme="minorEastAsia" w:hAnsiTheme="minorEastAsia" w:hint="eastAsia"/>
          <w:szCs w:val="21"/>
        </w:rPr>
        <w:t>本次本基金因增设C类基金份额而对基金合同作出的修改，属于基金合同约定的无需召开基金份额持有人大会的事项，其余修改亦</w:t>
      </w:r>
      <w:r>
        <w:rPr>
          <w:rFonts w:ascii="宋体" w:eastAsia="宋体" w:hAnsi="宋体" w:hint="eastAsia"/>
          <w:szCs w:val="21"/>
        </w:rPr>
        <w:t>不涉及原有基金合同当事人之间权利义务的变化且</w:t>
      </w:r>
      <w:r>
        <w:rPr>
          <w:rFonts w:asciiTheme="minorEastAsia" w:hAnsiTheme="minorEastAsia" w:hint="eastAsia"/>
          <w:szCs w:val="21"/>
        </w:rPr>
        <w:t>对原有基金份额持有人利益无实质性不利影响，</w:t>
      </w:r>
      <w:r>
        <w:rPr>
          <w:rFonts w:ascii="宋体" w:eastAsia="宋体" w:hAnsi="宋体" w:hint="eastAsia"/>
          <w:szCs w:val="21"/>
        </w:rPr>
        <w:t>可由基金管理人和基金托管人协商后修改。以上修改均无需经基金份额持有人大会表决，本基金管理人已按法律法规规定及基金合同约定履行了必要的程序。</w:t>
      </w:r>
    </w:p>
    <w:p w:rsidR="0076563B" w:rsidRDefault="0076563B" w:rsidP="0076563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Theme="minorEastAsia" w:hAnsiTheme="minorEastAsia" w:hint="eastAsia"/>
          <w:szCs w:val="21"/>
        </w:rPr>
        <w:t>2、本公告仅对本基金增设C类基金份额的有关事项予以说明。投资者欲了解本基金的详细情况，请仔细阅读刊登于本基金管理人网站（http://www.ccfund.com.cn）及中国证监会基金电子披露网站（http://eid.csrc.gov.cn/fund/）的本基金基金合同、招募说明书及基金产品资料概要等信息披露文件和相关业务公告。</w:t>
      </w:r>
    </w:p>
    <w:p w:rsidR="0076563B" w:rsidRDefault="0076563B" w:rsidP="0076563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3、投资者在销售机构办理基金的投资事务，具体办理规则及程序请遵循销售机构的规定。</w:t>
      </w:r>
    </w:p>
    <w:p w:rsidR="0076563B" w:rsidRDefault="0076563B" w:rsidP="0076563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Theme="minorEastAsia" w:hAnsiTheme="minorEastAsia" w:hint="eastAsia"/>
          <w:szCs w:val="21"/>
        </w:rPr>
        <w:t>4、投资者可以通过拨打本基金管理人客服热线（400-8868-666）或登录本基金管理人网站获取相关信息。</w:t>
      </w:r>
    </w:p>
    <w:p w:rsidR="0076563B" w:rsidRDefault="0076563B" w:rsidP="0076563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特此公告。</w:t>
      </w:r>
    </w:p>
    <w:p w:rsidR="0076563B" w:rsidRDefault="0076563B" w:rsidP="0076563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76563B" w:rsidRDefault="0076563B" w:rsidP="0076563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76563B" w:rsidRDefault="0076563B" w:rsidP="0076563B">
      <w:pPr>
        <w:spacing w:line="360" w:lineRule="auto"/>
        <w:ind w:firstLineChars="200" w:firstLine="420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长城基金管理有限公司</w:t>
      </w:r>
    </w:p>
    <w:p w:rsidR="00967FAD" w:rsidRPr="00BD493A" w:rsidRDefault="0076563B" w:rsidP="0076563B">
      <w:pPr>
        <w:spacing w:line="360" w:lineRule="auto"/>
        <w:ind w:firstLineChars="200" w:firstLine="420"/>
        <w:jc w:val="right"/>
        <w:rPr>
          <w:rFonts w:ascii="宋体" w:eastAsia="宋体" w:hAnsi="宋体"/>
          <w:szCs w:val="21"/>
        </w:rPr>
      </w:pPr>
      <w:r>
        <w:rPr>
          <w:rFonts w:asciiTheme="minorEastAsia" w:hAnsiTheme="minorEastAsia" w:hint="eastAsia"/>
          <w:szCs w:val="21"/>
        </w:rPr>
        <w:t>2023年9月8日</w:t>
      </w:r>
    </w:p>
    <w:sectPr w:rsidR="00967FAD" w:rsidRPr="00BD493A" w:rsidSect="003B2E44">
      <w:footerReference w:type="default" r:id="rId8"/>
      <w:pgSz w:w="11907" w:h="16839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332" w:rsidRDefault="00F81332" w:rsidP="007864CB">
      <w:r>
        <w:separator/>
      </w:r>
    </w:p>
  </w:endnote>
  <w:endnote w:type="continuationSeparator" w:id="0">
    <w:p w:rsidR="00F81332" w:rsidRDefault="00F81332" w:rsidP="00786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27964"/>
      <w:docPartObj>
        <w:docPartGallery w:val="Page Numbers (Bottom of Page)"/>
        <w:docPartUnique/>
      </w:docPartObj>
    </w:sdtPr>
    <w:sdtContent>
      <w:p w:rsidR="00BD493A" w:rsidRDefault="00CF77C0" w:rsidP="00BD493A">
        <w:pPr>
          <w:pStyle w:val="a6"/>
          <w:jc w:val="center"/>
        </w:pPr>
        <w:r>
          <w:fldChar w:fldCharType="begin"/>
        </w:r>
        <w:r w:rsidR="00BD493A">
          <w:instrText>PAGE   \* MERGEFORMAT</w:instrText>
        </w:r>
        <w:r>
          <w:fldChar w:fldCharType="separate"/>
        </w:r>
        <w:r w:rsidR="000C3E28" w:rsidRPr="000C3E28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332" w:rsidRDefault="00F81332" w:rsidP="007864CB">
      <w:r>
        <w:separator/>
      </w:r>
    </w:p>
  </w:footnote>
  <w:footnote w:type="continuationSeparator" w:id="0">
    <w:p w:rsidR="00F81332" w:rsidRDefault="00F81332" w:rsidP="007864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4861"/>
    <w:multiLevelType w:val="hybridMultilevel"/>
    <w:tmpl w:val="659EE44E"/>
    <w:lvl w:ilvl="0" w:tplc="8C06629A">
      <w:start w:val="1"/>
      <w:numFmt w:val="japaneseCounting"/>
      <w:lvlText w:val="%1、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A302FBB4">
      <w:start w:val="1"/>
      <w:numFmt w:val="japaneseCounting"/>
      <w:lvlText w:val="%2、"/>
      <w:lvlJc w:val="left"/>
      <w:pPr>
        <w:tabs>
          <w:tab w:val="num" w:pos="1259"/>
        </w:tabs>
        <w:ind w:left="1259" w:hanging="480"/>
      </w:pPr>
      <w:rPr>
        <w:rFonts w:hint="eastAsia"/>
      </w:rPr>
    </w:lvl>
    <w:lvl w:ilvl="2" w:tplc="16DEB512">
      <w:start w:val="4"/>
      <w:numFmt w:val="decimal"/>
      <w:lvlText w:val="%3、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1">
    <w:nsid w:val="5C185EF5"/>
    <w:multiLevelType w:val="multilevel"/>
    <w:tmpl w:val="5FDCDE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chineseCountingThousand"/>
      <w:pStyle w:val="3"/>
      <w:suff w:val="nothing"/>
      <w:lvlText w:val="（%3）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nothing"/>
      <w:lvlText w:val="（%5）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A66"/>
    <w:rsid w:val="00006F93"/>
    <w:rsid w:val="00010CAF"/>
    <w:rsid w:val="00010D68"/>
    <w:rsid w:val="0001318B"/>
    <w:rsid w:val="00020FF4"/>
    <w:rsid w:val="00022F3F"/>
    <w:rsid w:val="00026ACD"/>
    <w:rsid w:val="0002765F"/>
    <w:rsid w:val="00032F8F"/>
    <w:rsid w:val="00037619"/>
    <w:rsid w:val="000439C9"/>
    <w:rsid w:val="00043EEE"/>
    <w:rsid w:val="00047B05"/>
    <w:rsid w:val="00050274"/>
    <w:rsid w:val="00050498"/>
    <w:rsid w:val="000539B1"/>
    <w:rsid w:val="00062232"/>
    <w:rsid w:val="0006291E"/>
    <w:rsid w:val="00066442"/>
    <w:rsid w:val="00066528"/>
    <w:rsid w:val="00070F08"/>
    <w:rsid w:val="000711C6"/>
    <w:rsid w:val="00071B5A"/>
    <w:rsid w:val="00081970"/>
    <w:rsid w:val="000950D3"/>
    <w:rsid w:val="00095528"/>
    <w:rsid w:val="000A15DC"/>
    <w:rsid w:val="000C33A7"/>
    <w:rsid w:val="000C3E28"/>
    <w:rsid w:val="000C4550"/>
    <w:rsid w:val="000C7782"/>
    <w:rsid w:val="000D1C43"/>
    <w:rsid w:val="000E1BBB"/>
    <w:rsid w:val="000E5F93"/>
    <w:rsid w:val="000F15A8"/>
    <w:rsid w:val="000F3BCA"/>
    <w:rsid w:val="000F50C9"/>
    <w:rsid w:val="000F7013"/>
    <w:rsid w:val="001038D5"/>
    <w:rsid w:val="00107F9C"/>
    <w:rsid w:val="00114553"/>
    <w:rsid w:val="00115250"/>
    <w:rsid w:val="00115A38"/>
    <w:rsid w:val="001176A8"/>
    <w:rsid w:val="00127AAD"/>
    <w:rsid w:val="00130DC0"/>
    <w:rsid w:val="00142ED8"/>
    <w:rsid w:val="0014355E"/>
    <w:rsid w:val="0015034D"/>
    <w:rsid w:val="001704FB"/>
    <w:rsid w:val="0017078E"/>
    <w:rsid w:val="00171B8A"/>
    <w:rsid w:val="00172F00"/>
    <w:rsid w:val="00173BAD"/>
    <w:rsid w:val="00182385"/>
    <w:rsid w:val="00182B63"/>
    <w:rsid w:val="0018355E"/>
    <w:rsid w:val="00185123"/>
    <w:rsid w:val="0019475F"/>
    <w:rsid w:val="00196CC8"/>
    <w:rsid w:val="001A6F33"/>
    <w:rsid w:val="001A79F8"/>
    <w:rsid w:val="001A7D41"/>
    <w:rsid w:val="001B4310"/>
    <w:rsid w:val="001C6A70"/>
    <w:rsid w:val="001C7093"/>
    <w:rsid w:val="001D5F9F"/>
    <w:rsid w:val="001D6A9F"/>
    <w:rsid w:val="001F0DA2"/>
    <w:rsid w:val="001F51BB"/>
    <w:rsid w:val="00201929"/>
    <w:rsid w:val="00205CC2"/>
    <w:rsid w:val="00207414"/>
    <w:rsid w:val="00207798"/>
    <w:rsid w:val="002154D5"/>
    <w:rsid w:val="00241565"/>
    <w:rsid w:val="00243D40"/>
    <w:rsid w:val="0024422A"/>
    <w:rsid w:val="00250193"/>
    <w:rsid w:val="00252679"/>
    <w:rsid w:val="0025536C"/>
    <w:rsid w:val="0025658F"/>
    <w:rsid w:val="00257182"/>
    <w:rsid w:val="00264CCE"/>
    <w:rsid w:val="002672F8"/>
    <w:rsid w:val="002703BB"/>
    <w:rsid w:val="00270E8D"/>
    <w:rsid w:val="00274FF0"/>
    <w:rsid w:val="00280BD0"/>
    <w:rsid w:val="00282153"/>
    <w:rsid w:val="00291447"/>
    <w:rsid w:val="002A3B7A"/>
    <w:rsid w:val="002A7BB7"/>
    <w:rsid w:val="002B5BD2"/>
    <w:rsid w:val="002C329E"/>
    <w:rsid w:val="002C6831"/>
    <w:rsid w:val="002C685B"/>
    <w:rsid w:val="002D1918"/>
    <w:rsid w:val="002D1A27"/>
    <w:rsid w:val="002E0849"/>
    <w:rsid w:val="002E4E24"/>
    <w:rsid w:val="002E6593"/>
    <w:rsid w:val="002F113D"/>
    <w:rsid w:val="002F1730"/>
    <w:rsid w:val="002F67BF"/>
    <w:rsid w:val="00304C99"/>
    <w:rsid w:val="00310722"/>
    <w:rsid w:val="00310B12"/>
    <w:rsid w:val="003117A1"/>
    <w:rsid w:val="00313D4B"/>
    <w:rsid w:val="003200C6"/>
    <w:rsid w:val="00322A50"/>
    <w:rsid w:val="003257FD"/>
    <w:rsid w:val="00333287"/>
    <w:rsid w:val="00343D04"/>
    <w:rsid w:val="0034651A"/>
    <w:rsid w:val="00365246"/>
    <w:rsid w:val="00370AF7"/>
    <w:rsid w:val="00371A6F"/>
    <w:rsid w:val="00371F91"/>
    <w:rsid w:val="003819D1"/>
    <w:rsid w:val="003908B5"/>
    <w:rsid w:val="003932D7"/>
    <w:rsid w:val="0039397F"/>
    <w:rsid w:val="003A0571"/>
    <w:rsid w:val="003A7084"/>
    <w:rsid w:val="003A7BB0"/>
    <w:rsid w:val="003B2E44"/>
    <w:rsid w:val="003B5113"/>
    <w:rsid w:val="003C0F38"/>
    <w:rsid w:val="003C56B9"/>
    <w:rsid w:val="003E2110"/>
    <w:rsid w:val="003F32E4"/>
    <w:rsid w:val="003F3EE2"/>
    <w:rsid w:val="00400640"/>
    <w:rsid w:val="00415F2C"/>
    <w:rsid w:val="004213B4"/>
    <w:rsid w:val="00430518"/>
    <w:rsid w:val="00430C84"/>
    <w:rsid w:val="004324A8"/>
    <w:rsid w:val="00435EAD"/>
    <w:rsid w:val="00442828"/>
    <w:rsid w:val="00444A51"/>
    <w:rsid w:val="00446896"/>
    <w:rsid w:val="0045139A"/>
    <w:rsid w:val="0045459C"/>
    <w:rsid w:val="0045532C"/>
    <w:rsid w:val="00460FEF"/>
    <w:rsid w:val="0046368F"/>
    <w:rsid w:val="00465ABB"/>
    <w:rsid w:val="004819A2"/>
    <w:rsid w:val="0048334A"/>
    <w:rsid w:val="004838EE"/>
    <w:rsid w:val="004859D0"/>
    <w:rsid w:val="004871FC"/>
    <w:rsid w:val="00490740"/>
    <w:rsid w:val="00490956"/>
    <w:rsid w:val="00492569"/>
    <w:rsid w:val="00492E75"/>
    <w:rsid w:val="00496B2D"/>
    <w:rsid w:val="00496B3A"/>
    <w:rsid w:val="00497C8B"/>
    <w:rsid w:val="004A1789"/>
    <w:rsid w:val="004A25A7"/>
    <w:rsid w:val="004A3701"/>
    <w:rsid w:val="004A3C9B"/>
    <w:rsid w:val="004A652B"/>
    <w:rsid w:val="004B7723"/>
    <w:rsid w:val="004B7EAF"/>
    <w:rsid w:val="004C1303"/>
    <w:rsid w:val="004C3A94"/>
    <w:rsid w:val="004C6B92"/>
    <w:rsid w:val="004D1519"/>
    <w:rsid w:val="004E1BC2"/>
    <w:rsid w:val="004E2D17"/>
    <w:rsid w:val="004E7256"/>
    <w:rsid w:val="004F0D10"/>
    <w:rsid w:val="004F4252"/>
    <w:rsid w:val="0050185C"/>
    <w:rsid w:val="005060BF"/>
    <w:rsid w:val="005061C7"/>
    <w:rsid w:val="0051375D"/>
    <w:rsid w:val="005145E4"/>
    <w:rsid w:val="0051678E"/>
    <w:rsid w:val="00521FE4"/>
    <w:rsid w:val="0053083D"/>
    <w:rsid w:val="00531D6C"/>
    <w:rsid w:val="0053400B"/>
    <w:rsid w:val="005349DE"/>
    <w:rsid w:val="00537065"/>
    <w:rsid w:val="00541095"/>
    <w:rsid w:val="00542B74"/>
    <w:rsid w:val="00560058"/>
    <w:rsid w:val="005603E6"/>
    <w:rsid w:val="00560B24"/>
    <w:rsid w:val="00561055"/>
    <w:rsid w:val="00561841"/>
    <w:rsid w:val="00570399"/>
    <w:rsid w:val="00570EDB"/>
    <w:rsid w:val="00571919"/>
    <w:rsid w:val="00583282"/>
    <w:rsid w:val="00583CF5"/>
    <w:rsid w:val="00585AF3"/>
    <w:rsid w:val="005920EB"/>
    <w:rsid w:val="00594FF8"/>
    <w:rsid w:val="00595227"/>
    <w:rsid w:val="005963CC"/>
    <w:rsid w:val="005B2899"/>
    <w:rsid w:val="005B622A"/>
    <w:rsid w:val="005B6B53"/>
    <w:rsid w:val="005C5E27"/>
    <w:rsid w:val="005D324F"/>
    <w:rsid w:val="005D3404"/>
    <w:rsid w:val="005D3AD3"/>
    <w:rsid w:val="005D41CA"/>
    <w:rsid w:val="005E0A66"/>
    <w:rsid w:val="005E7DEC"/>
    <w:rsid w:val="005F1839"/>
    <w:rsid w:val="005F1F87"/>
    <w:rsid w:val="005F2F9D"/>
    <w:rsid w:val="005F3534"/>
    <w:rsid w:val="005F4D39"/>
    <w:rsid w:val="00600DF6"/>
    <w:rsid w:val="00605DCD"/>
    <w:rsid w:val="006110E2"/>
    <w:rsid w:val="00611C5F"/>
    <w:rsid w:val="00612FB2"/>
    <w:rsid w:val="006136AB"/>
    <w:rsid w:val="00621602"/>
    <w:rsid w:val="00621A08"/>
    <w:rsid w:val="0062319B"/>
    <w:rsid w:val="00624322"/>
    <w:rsid w:val="0062563F"/>
    <w:rsid w:val="00635196"/>
    <w:rsid w:val="006410CD"/>
    <w:rsid w:val="00655F56"/>
    <w:rsid w:val="00663C78"/>
    <w:rsid w:val="006654AD"/>
    <w:rsid w:val="00667AA4"/>
    <w:rsid w:val="006710BF"/>
    <w:rsid w:val="00673D73"/>
    <w:rsid w:val="00673DF3"/>
    <w:rsid w:val="006768BD"/>
    <w:rsid w:val="00680622"/>
    <w:rsid w:val="00683B9E"/>
    <w:rsid w:val="00684462"/>
    <w:rsid w:val="00691556"/>
    <w:rsid w:val="00696108"/>
    <w:rsid w:val="0069619E"/>
    <w:rsid w:val="006973C9"/>
    <w:rsid w:val="006A04FF"/>
    <w:rsid w:val="006A12C9"/>
    <w:rsid w:val="006A1A52"/>
    <w:rsid w:val="006A2DE0"/>
    <w:rsid w:val="006A3ABF"/>
    <w:rsid w:val="006B1753"/>
    <w:rsid w:val="006B323F"/>
    <w:rsid w:val="006B4466"/>
    <w:rsid w:val="006B45B6"/>
    <w:rsid w:val="006B4E54"/>
    <w:rsid w:val="006C39EB"/>
    <w:rsid w:val="006C7C40"/>
    <w:rsid w:val="006D15A7"/>
    <w:rsid w:val="006D20FC"/>
    <w:rsid w:val="006E2920"/>
    <w:rsid w:val="006E2DBF"/>
    <w:rsid w:val="006E7D59"/>
    <w:rsid w:val="006E7DC5"/>
    <w:rsid w:val="00702417"/>
    <w:rsid w:val="00712E70"/>
    <w:rsid w:val="0071331F"/>
    <w:rsid w:val="007236FD"/>
    <w:rsid w:val="007252FB"/>
    <w:rsid w:val="00725F0E"/>
    <w:rsid w:val="00726F42"/>
    <w:rsid w:val="00731E6E"/>
    <w:rsid w:val="007350E9"/>
    <w:rsid w:val="00740F57"/>
    <w:rsid w:val="00744A06"/>
    <w:rsid w:val="0074709D"/>
    <w:rsid w:val="0075502C"/>
    <w:rsid w:val="0076561C"/>
    <w:rsid w:val="0076563B"/>
    <w:rsid w:val="0076695E"/>
    <w:rsid w:val="00766C4D"/>
    <w:rsid w:val="007711B7"/>
    <w:rsid w:val="0077494C"/>
    <w:rsid w:val="00774BF9"/>
    <w:rsid w:val="0077692B"/>
    <w:rsid w:val="007770A9"/>
    <w:rsid w:val="0078639E"/>
    <w:rsid w:val="007864CB"/>
    <w:rsid w:val="00790DBF"/>
    <w:rsid w:val="00793D9E"/>
    <w:rsid w:val="0079506F"/>
    <w:rsid w:val="00795F3B"/>
    <w:rsid w:val="007A4021"/>
    <w:rsid w:val="007A7381"/>
    <w:rsid w:val="007A7E8D"/>
    <w:rsid w:val="007B108D"/>
    <w:rsid w:val="007B32F8"/>
    <w:rsid w:val="007B3AC5"/>
    <w:rsid w:val="007B43B4"/>
    <w:rsid w:val="007B5C8A"/>
    <w:rsid w:val="007B6C2F"/>
    <w:rsid w:val="007C41A3"/>
    <w:rsid w:val="007D35D4"/>
    <w:rsid w:val="007D4835"/>
    <w:rsid w:val="007D5085"/>
    <w:rsid w:val="007D5DE5"/>
    <w:rsid w:val="007F688B"/>
    <w:rsid w:val="007F6AC7"/>
    <w:rsid w:val="007F7A8B"/>
    <w:rsid w:val="008041BC"/>
    <w:rsid w:val="008048E3"/>
    <w:rsid w:val="0081166C"/>
    <w:rsid w:val="0082343E"/>
    <w:rsid w:val="00823C2C"/>
    <w:rsid w:val="00826C24"/>
    <w:rsid w:val="00836AC9"/>
    <w:rsid w:val="00837259"/>
    <w:rsid w:val="00841D6E"/>
    <w:rsid w:val="00843E9E"/>
    <w:rsid w:val="00850C1A"/>
    <w:rsid w:val="00851BA2"/>
    <w:rsid w:val="00853A5E"/>
    <w:rsid w:val="00855AF0"/>
    <w:rsid w:val="0085750C"/>
    <w:rsid w:val="00857711"/>
    <w:rsid w:val="008625C7"/>
    <w:rsid w:val="00862742"/>
    <w:rsid w:val="0086767B"/>
    <w:rsid w:val="00867F65"/>
    <w:rsid w:val="00870242"/>
    <w:rsid w:val="00870CAB"/>
    <w:rsid w:val="008872D4"/>
    <w:rsid w:val="00894F72"/>
    <w:rsid w:val="008952A9"/>
    <w:rsid w:val="008970F8"/>
    <w:rsid w:val="008B1BD8"/>
    <w:rsid w:val="008B2536"/>
    <w:rsid w:val="008B3B97"/>
    <w:rsid w:val="008B5B4B"/>
    <w:rsid w:val="008C756F"/>
    <w:rsid w:val="008D2952"/>
    <w:rsid w:val="008D7B4B"/>
    <w:rsid w:val="008E193E"/>
    <w:rsid w:val="008E791D"/>
    <w:rsid w:val="008F034B"/>
    <w:rsid w:val="008F0BD8"/>
    <w:rsid w:val="008F320A"/>
    <w:rsid w:val="008F36A6"/>
    <w:rsid w:val="00900738"/>
    <w:rsid w:val="00903A17"/>
    <w:rsid w:val="00905E4E"/>
    <w:rsid w:val="009102FE"/>
    <w:rsid w:val="0091085F"/>
    <w:rsid w:val="00927070"/>
    <w:rsid w:val="0093299C"/>
    <w:rsid w:val="009347BA"/>
    <w:rsid w:val="0094650E"/>
    <w:rsid w:val="00953EEE"/>
    <w:rsid w:val="009574B1"/>
    <w:rsid w:val="0096120F"/>
    <w:rsid w:val="00966B40"/>
    <w:rsid w:val="00967FAD"/>
    <w:rsid w:val="00970660"/>
    <w:rsid w:val="00972B12"/>
    <w:rsid w:val="00974D37"/>
    <w:rsid w:val="0098327D"/>
    <w:rsid w:val="0098612F"/>
    <w:rsid w:val="00997B5E"/>
    <w:rsid w:val="009A7ACB"/>
    <w:rsid w:val="009B0162"/>
    <w:rsid w:val="009B6C46"/>
    <w:rsid w:val="009C4768"/>
    <w:rsid w:val="009D0430"/>
    <w:rsid w:val="009D1810"/>
    <w:rsid w:val="009D52D5"/>
    <w:rsid w:val="009D5B11"/>
    <w:rsid w:val="009E6B80"/>
    <w:rsid w:val="009F4614"/>
    <w:rsid w:val="009F7D26"/>
    <w:rsid w:val="00A0020C"/>
    <w:rsid w:val="00A10F38"/>
    <w:rsid w:val="00A177D0"/>
    <w:rsid w:val="00A213DA"/>
    <w:rsid w:val="00A23371"/>
    <w:rsid w:val="00A31EFD"/>
    <w:rsid w:val="00A33A0D"/>
    <w:rsid w:val="00A34222"/>
    <w:rsid w:val="00A429F3"/>
    <w:rsid w:val="00A52901"/>
    <w:rsid w:val="00A55C04"/>
    <w:rsid w:val="00A671EB"/>
    <w:rsid w:val="00A67BA8"/>
    <w:rsid w:val="00A7234F"/>
    <w:rsid w:val="00A759BF"/>
    <w:rsid w:val="00A81216"/>
    <w:rsid w:val="00A86578"/>
    <w:rsid w:val="00AA685A"/>
    <w:rsid w:val="00AB4AB6"/>
    <w:rsid w:val="00AC7C44"/>
    <w:rsid w:val="00AD19C5"/>
    <w:rsid w:val="00AD241E"/>
    <w:rsid w:val="00AD5FFF"/>
    <w:rsid w:val="00AD732B"/>
    <w:rsid w:val="00AE0BEF"/>
    <w:rsid w:val="00B035DF"/>
    <w:rsid w:val="00B03A1A"/>
    <w:rsid w:val="00B04C23"/>
    <w:rsid w:val="00B10FF9"/>
    <w:rsid w:val="00B1384D"/>
    <w:rsid w:val="00B140F2"/>
    <w:rsid w:val="00B17AF2"/>
    <w:rsid w:val="00B262D5"/>
    <w:rsid w:val="00B2646A"/>
    <w:rsid w:val="00B30F84"/>
    <w:rsid w:val="00B34315"/>
    <w:rsid w:val="00B441A7"/>
    <w:rsid w:val="00B517EE"/>
    <w:rsid w:val="00B555EF"/>
    <w:rsid w:val="00B64C61"/>
    <w:rsid w:val="00B65437"/>
    <w:rsid w:val="00B67427"/>
    <w:rsid w:val="00B7226A"/>
    <w:rsid w:val="00B8029F"/>
    <w:rsid w:val="00B8096C"/>
    <w:rsid w:val="00BA6852"/>
    <w:rsid w:val="00BB328C"/>
    <w:rsid w:val="00BB73E3"/>
    <w:rsid w:val="00BC0BC1"/>
    <w:rsid w:val="00BC1E90"/>
    <w:rsid w:val="00BC3789"/>
    <w:rsid w:val="00BC4AFD"/>
    <w:rsid w:val="00BD12DC"/>
    <w:rsid w:val="00BD1E74"/>
    <w:rsid w:val="00BD493A"/>
    <w:rsid w:val="00BD65B2"/>
    <w:rsid w:val="00BE0C89"/>
    <w:rsid w:val="00BE1E81"/>
    <w:rsid w:val="00BE2A82"/>
    <w:rsid w:val="00BE35F8"/>
    <w:rsid w:val="00BE7B5A"/>
    <w:rsid w:val="00BF0B8A"/>
    <w:rsid w:val="00C03046"/>
    <w:rsid w:val="00C133C9"/>
    <w:rsid w:val="00C2331D"/>
    <w:rsid w:val="00C2415C"/>
    <w:rsid w:val="00C24DF7"/>
    <w:rsid w:val="00C3540E"/>
    <w:rsid w:val="00C445B2"/>
    <w:rsid w:val="00C50483"/>
    <w:rsid w:val="00C50EEB"/>
    <w:rsid w:val="00C54D45"/>
    <w:rsid w:val="00C62E74"/>
    <w:rsid w:val="00C65A65"/>
    <w:rsid w:val="00C70B56"/>
    <w:rsid w:val="00C756DD"/>
    <w:rsid w:val="00C9572C"/>
    <w:rsid w:val="00C964CD"/>
    <w:rsid w:val="00C978FA"/>
    <w:rsid w:val="00CA09C1"/>
    <w:rsid w:val="00CA0C8E"/>
    <w:rsid w:val="00CA4377"/>
    <w:rsid w:val="00CB22BC"/>
    <w:rsid w:val="00CB2471"/>
    <w:rsid w:val="00CB66B6"/>
    <w:rsid w:val="00CB6977"/>
    <w:rsid w:val="00CB7153"/>
    <w:rsid w:val="00CC51B5"/>
    <w:rsid w:val="00CE1FD2"/>
    <w:rsid w:val="00CE36E9"/>
    <w:rsid w:val="00CE5609"/>
    <w:rsid w:val="00CF2024"/>
    <w:rsid w:val="00CF77C0"/>
    <w:rsid w:val="00D002FB"/>
    <w:rsid w:val="00D02608"/>
    <w:rsid w:val="00D06B67"/>
    <w:rsid w:val="00D12500"/>
    <w:rsid w:val="00D14036"/>
    <w:rsid w:val="00D15AF3"/>
    <w:rsid w:val="00D23029"/>
    <w:rsid w:val="00D333F5"/>
    <w:rsid w:val="00D3675C"/>
    <w:rsid w:val="00D4097B"/>
    <w:rsid w:val="00D4439C"/>
    <w:rsid w:val="00D521AB"/>
    <w:rsid w:val="00D54F6B"/>
    <w:rsid w:val="00D72598"/>
    <w:rsid w:val="00D74761"/>
    <w:rsid w:val="00D7586B"/>
    <w:rsid w:val="00D83EFB"/>
    <w:rsid w:val="00D94F95"/>
    <w:rsid w:val="00DA6667"/>
    <w:rsid w:val="00DB4873"/>
    <w:rsid w:val="00DB4D60"/>
    <w:rsid w:val="00DC79AB"/>
    <w:rsid w:val="00DD52CF"/>
    <w:rsid w:val="00DE3290"/>
    <w:rsid w:val="00DE5AD5"/>
    <w:rsid w:val="00DE5F89"/>
    <w:rsid w:val="00DF2372"/>
    <w:rsid w:val="00DF3429"/>
    <w:rsid w:val="00DF6C21"/>
    <w:rsid w:val="00E006A6"/>
    <w:rsid w:val="00E0250D"/>
    <w:rsid w:val="00E03BBA"/>
    <w:rsid w:val="00E112CF"/>
    <w:rsid w:val="00E113B5"/>
    <w:rsid w:val="00E122AF"/>
    <w:rsid w:val="00E14454"/>
    <w:rsid w:val="00E1483F"/>
    <w:rsid w:val="00E16D01"/>
    <w:rsid w:val="00E21B39"/>
    <w:rsid w:val="00E23731"/>
    <w:rsid w:val="00E24B04"/>
    <w:rsid w:val="00E31854"/>
    <w:rsid w:val="00E35D1C"/>
    <w:rsid w:val="00E524D7"/>
    <w:rsid w:val="00E562C7"/>
    <w:rsid w:val="00E631B4"/>
    <w:rsid w:val="00E672A3"/>
    <w:rsid w:val="00E76794"/>
    <w:rsid w:val="00E77892"/>
    <w:rsid w:val="00E902A9"/>
    <w:rsid w:val="00E92440"/>
    <w:rsid w:val="00E973C6"/>
    <w:rsid w:val="00E97AD6"/>
    <w:rsid w:val="00EA10E3"/>
    <w:rsid w:val="00EA1839"/>
    <w:rsid w:val="00EA2F9C"/>
    <w:rsid w:val="00EA38EF"/>
    <w:rsid w:val="00EB01CB"/>
    <w:rsid w:val="00EB5FE1"/>
    <w:rsid w:val="00EC1EC0"/>
    <w:rsid w:val="00EC594B"/>
    <w:rsid w:val="00ED004F"/>
    <w:rsid w:val="00ED10B6"/>
    <w:rsid w:val="00ED424A"/>
    <w:rsid w:val="00EE47AB"/>
    <w:rsid w:val="00EE7F18"/>
    <w:rsid w:val="00EF2DE6"/>
    <w:rsid w:val="00EF37EF"/>
    <w:rsid w:val="00F00BE9"/>
    <w:rsid w:val="00F03C71"/>
    <w:rsid w:val="00F108C5"/>
    <w:rsid w:val="00F14250"/>
    <w:rsid w:val="00F15D2E"/>
    <w:rsid w:val="00F1674F"/>
    <w:rsid w:val="00F17065"/>
    <w:rsid w:val="00F203C4"/>
    <w:rsid w:val="00F25121"/>
    <w:rsid w:val="00F369A8"/>
    <w:rsid w:val="00F436BA"/>
    <w:rsid w:val="00F4381F"/>
    <w:rsid w:val="00F441BF"/>
    <w:rsid w:val="00F47DC4"/>
    <w:rsid w:val="00F52946"/>
    <w:rsid w:val="00F54A5A"/>
    <w:rsid w:val="00F56093"/>
    <w:rsid w:val="00F60F77"/>
    <w:rsid w:val="00F63B32"/>
    <w:rsid w:val="00F71579"/>
    <w:rsid w:val="00F719C5"/>
    <w:rsid w:val="00F7439B"/>
    <w:rsid w:val="00F74F63"/>
    <w:rsid w:val="00F75274"/>
    <w:rsid w:val="00F75CAD"/>
    <w:rsid w:val="00F81332"/>
    <w:rsid w:val="00F8201D"/>
    <w:rsid w:val="00F8516F"/>
    <w:rsid w:val="00F85BDE"/>
    <w:rsid w:val="00F917CC"/>
    <w:rsid w:val="00F93C6E"/>
    <w:rsid w:val="00F976DB"/>
    <w:rsid w:val="00FA0FDA"/>
    <w:rsid w:val="00FA2ECC"/>
    <w:rsid w:val="00FA5D5A"/>
    <w:rsid w:val="00FB18DC"/>
    <w:rsid w:val="00FB76B0"/>
    <w:rsid w:val="00FC1F3C"/>
    <w:rsid w:val="00FC375A"/>
    <w:rsid w:val="00FC3F24"/>
    <w:rsid w:val="00FD45AF"/>
    <w:rsid w:val="00FE7BDD"/>
    <w:rsid w:val="00FF03EC"/>
    <w:rsid w:val="00FF1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D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35D1C"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rFonts w:ascii="Times New Roman" w:eastAsia="宋体" w:hAnsi="Times New Roman" w:cs="Times New Roman"/>
      <w:b/>
      <w:kern w:val="44"/>
      <w:sz w:val="28"/>
      <w:szCs w:val="20"/>
    </w:rPr>
  </w:style>
  <w:style w:type="paragraph" w:styleId="2">
    <w:name w:val="heading 2"/>
    <w:basedOn w:val="a"/>
    <w:next w:val="a"/>
    <w:link w:val="2Char"/>
    <w:qFormat/>
    <w:rsid w:val="00E35D1C"/>
    <w:pPr>
      <w:keepNext/>
      <w:keepLines/>
      <w:numPr>
        <w:ilvl w:val="1"/>
        <w:numId w:val="1"/>
      </w:numPr>
      <w:spacing w:before="200" w:after="200" w:line="360" w:lineRule="auto"/>
      <w:outlineLvl w:val="1"/>
    </w:pPr>
    <w:rPr>
      <w:rFonts w:ascii="Arial" w:eastAsia="宋体" w:hAnsi="Arial" w:cs="Times New Roman"/>
      <w:b/>
      <w:sz w:val="24"/>
      <w:szCs w:val="20"/>
    </w:rPr>
  </w:style>
  <w:style w:type="paragraph" w:styleId="3">
    <w:name w:val="heading 3"/>
    <w:basedOn w:val="a"/>
    <w:next w:val="a"/>
    <w:link w:val="3Char"/>
    <w:qFormat/>
    <w:rsid w:val="00E35D1C"/>
    <w:pPr>
      <w:numPr>
        <w:ilvl w:val="2"/>
        <w:numId w:val="1"/>
      </w:numPr>
      <w:spacing w:before="120" w:after="120" w:line="360" w:lineRule="auto"/>
      <w:outlineLvl w:val="2"/>
    </w:pPr>
    <w:rPr>
      <w:rFonts w:ascii="宋体" w:eastAsia="宋体" w:hAnsi="Times New Roman" w:cs="Times New Roman"/>
      <w:b/>
      <w:szCs w:val="20"/>
    </w:rPr>
  </w:style>
  <w:style w:type="paragraph" w:styleId="4">
    <w:name w:val="heading 4"/>
    <w:basedOn w:val="a"/>
    <w:next w:val="a"/>
    <w:link w:val="4Char"/>
    <w:qFormat/>
    <w:rsid w:val="00E35D1C"/>
    <w:pPr>
      <w:keepNext/>
      <w:keepLines/>
      <w:numPr>
        <w:ilvl w:val="3"/>
        <w:numId w:val="1"/>
      </w:numPr>
      <w:spacing w:line="360" w:lineRule="auto"/>
      <w:outlineLvl w:val="3"/>
    </w:pPr>
    <w:rPr>
      <w:rFonts w:ascii="Arial" w:eastAsia="宋体" w:hAnsi="Arial" w:cs="Times New Roman"/>
      <w:szCs w:val="20"/>
    </w:rPr>
  </w:style>
  <w:style w:type="paragraph" w:styleId="5">
    <w:name w:val="heading 5"/>
    <w:basedOn w:val="a"/>
    <w:next w:val="a"/>
    <w:link w:val="5Char"/>
    <w:qFormat/>
    <w:rsid w:val="00E35D1C"/>
    <w:pPr>
      <w:keepNext/>
      <w:keepLines/>
      <w:numPr>
        <w:ilvl w:val="4"/>
        <w:numId w:val="1"/>
      </w:numPr>
      <w:adjustRightInd w:val="0"/>
      <w:snapToGrid w:val="0"/>
      <w:spacing w:line="360" w:lineRule="auto"/>
      <w:outlineLvl w:val="4"/>
    </w:pPr>
    <w:rPr>
      <w:rFonts w:ascii="Times New Roman" w:eastAsia="宋体" w:hAnsi="Times New Roman" w:cs="Times New Roman"/>
      <w:szCs w:val="20"/>
    </w:rPr>
  </w:style>
  <w:style w:type="paragraph" w:styleId="6">
    <w:name w:val="heading 6"/>
    <w:basedOn w:val="a"/>
    <w:next w:val="a"/>
    <w:link w:val="6Char"/>
    <w:qFormat/>
    <w:rsid w:val="00E35D1C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"/>
    <w:next w:val="a"/>
    <w:link w:val="7Char"/>
    <w:qFormat/>
    <w:rsid w:val="00E35D1C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Char"/>
    <w:qFormat/>
    <w:rsid w:val="00E35D1C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"/>
    <w:next w:val="a"/>
    <w:link w:val="9Char"/>
    <w:qFormat/>
    <w:rsid w:val="00E35D1C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0FE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60FEF"/>
    <w:rPr>
      <w:sz w:val="18"/>
      <w:szCs w:val="18"/>
    </w:rPr>
  </w:style>
  <w:style w:type="paragraph" w:styleId="a4">
    <w:name w:val="List Paragraph"/>
    <w:basedOn w:val="a"/>
    <w:uiPriority w:val="34"/>
    <w:qFormat/>
    <w:rsid w:val="0050185C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786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864C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86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864CB"/>
    <w:rPr>
      <w:sz w:val="18"/>
      <w:szCs w:val="18"/>
    </w:rPr>
  </w:style>
  <w:style w:type="character" w:customStyle="1" w:styleId="1Char">
    <w:name w:val="标题 1 Char"/>
    <w:basedOn w:val="a0"/>
    <w:link w:val="1"/>
    <w:rsid w:val="00E35D1C"/>
    <w:rPr>
      <w:rFonts w:ascii="Times New Roman" w:eastAsia="宋体" w:hAnsi="Times New Roman" w:cs="Times New Roman"/>
      <w:b/>
      <w:kern w:val="44"/>
      <w:sz w:val="28"/>
      <w:szCs w:val="20"/>
    </w:rPr>
  </w:style>
  <w:style w:type="character" w:customStyle="1" w:styleId="2Char">
    <w:name w:val="标题 2 Char"/>
    <w:basedOn w:val="a0"/>
    <w:link w:val="2"/>
    <w:rsid w:val="00E35D1C"/>
    <w:rPr>
      <w:rFonts w:ascii="Arial" w:eastAsia="宋体" w:hAnsi="Arial" w:cs="Times New Roman"/>
      <w:b/>
      <w:sz w:val="24"/>
      <w:szCs w:val="20"/>
    </w:rPr>
  </w:style>
  <w:style w:type="character" w:customStyle="1" w:styleId="3Char">
    <w:name w:val="标题 3 Char"/>
    <w:basedOn w:val="a0"/>
    <w:link w:val="3"/>
    <w:rsid w:val="00E35D1C"/>
    <w:rPr>
      <w:rFonts w:ascii="宋体" w:eastAsia="宋体" w:hAnsi="Times New Roman" w:cs="Times New Roman"/>
      <w:b/>
      <w:szCs w:val="20"/>
    </w:rPr>
  </w:style>
  <w:style w:type="character" w:customStyle="1" w:styleId="4Char">
    <w:name w:val="标题 4 Char"/>
    <w:basedOn w:val="a0"/>
    <w:link w:val="4"/>
    <w:rsid w:val="00E35D1C"/>
    <w:rPr>
      <w:rFonts w:ascii="Arial" w:eastAsia="宋体" w:hAnsi="Arial" w:cs="Times New Roman"/>
      <w:szCs w:val="20"/>
    </w:rPr>
  </w:style>
  <w:style w:type="character" w:customStyle="1" w:styleId="5Char">
    <w:name w:val="标题 5 Char"/>
    <w:basedOn w:val="a0"/>
    <w:link w:val="5"/>
    <w:rsid w:val="00E35D1C"/>
    <w:rPr>
      <w:rFonts w:ascii="Times New Roman" w:eastAsia="宋体" w:hAnsi="Times New Roman" w:cs="Times New Roman"/>
      <w:szCs w:val="20"/>
    </w:rPr>
  </w:style>
  <w:style w:type="character" w:customStyle="1" w:styleId="6Char">
    <w:name w:val="标题 6 Char"/>
    <w:basedOn w:val="a0"/>
    <w:link w:val="6"/>
    <w:rsid w:val="00E35D1C"/>
    <w:rPr>
      <w:rFonts w:ascii="Arial" w:eastAsia="黑体" w:hAnsi="Arial" w:cs="Times New Roman"/>
      <w:b/>
      <w:sz w:val="24"/>
      <w:szCs w:val="20"/>
    </w:rPr>
  </w:style>
  <w:style w:type="character" w:customStyle="1" w:styleId="7Char">
    <w:name w:val="标题 7 Char"/>
    <w:basedOn w:val="a0"/>
    <w:link w:val="7"/>
    <w:rsid w:val="00E35D1C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0"/>
    <w:link w:val="8"/>
    <w:rsid w:val="00E35D1C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0"/>
    <w:link w:val="9"/>
    <w:rsid w:val="00E35D1C"/>
    <w:rPr>
      <w:rFonts w:ascii="Arial" w:eastAsia="黑体" w:hAnsi="Arial" w:cs="Times New Roman"/>
      <w:szCs w:val="20"/>
    </w:rPr>
  </w:style>
  <w:style w:type="paragraph" w:customStyle="1" w:styleId="10">
    <w:name w:val="列表1"/>
    <w:basedOn w:val="a"/>
    <w:next w:val="a"/>
    <w:rsid w:val="00E35D1C"/>
    <w:pPr>
      <w:tabs>
        <w:tab w:val="num" w:pos="644"/>
      </w:tabs>
      <w:spacing w:line="360" w:lineRule="auto"/>
      <w:ind w:left="567" w:hanging="283"/>
    </w:pPr>
    <w:rPr>
      <w:rFonts w:ascii="Times New Roman" w:eastAsia="宋体" w:hAnsi="Times New Roman" w:cs="Times New Roman"/>
      <w:szCs w:val="20"/>
    </w:rPr>
  </w:style>
  <w:style w:type="paragraph" w:styleId="a7">
    <w:name w:val="Document Map"/>
    <w:basedOn w:val="a"/>
    <w:link w:val="Char2"/>
    <w:uiPriority w:val="99"/>
    <w:semiHidden/>
    <w:unhideWhenUsed/>
    <w:rsid w:val="0093299C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93299C"/>
    <w:rPr>
      <w:rFonts w:ascii="宋体" w:eastAsia="宋体"/>
      <w:sz w:val="18"/>
      <w:szCs w:val="18"/>
    </w:rPr>
  </w:style>
  <w:style w:type="paragraph" w:styleId="a8">
    <w:name w:val="Normal Indent"/>
    <w:basedOn w:val="a"/>
    <w:rsid w:val="007B5C8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59"/>
    <w:rsid w:val="002074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369A8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4819A2"/>
    <w:rPr>
      <w:sz w:val="21"/>
      <w:szCs w:val="21"/>
    </w:rPr>
  </w:style>
  <w:style w:type="paragraph" w:styleId="ac">
    <w:name w:val="annotation text"/>
    <w:basedOn w:val="a"/>
    <w:link w:val="Char3"/>
    <w:unhideWhenUsed/>
    <w:rsid w:val="004819A2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4819A2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4819A2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4819A2"/>
    <w:rPr>
      <w:b/>
      <w:bCs/>
    </w:rPr>
  </w:style>
  <w:style w:type="paragraph" w:styleId="ae">
    <w:name w:val="Revision"/>
    <w:hidden/>
    <w:uiPriority w:val="99"/>
    <w:semiHidden/>
    <w:rsid w:val="005061C7"/>
  </w:style>
  <w:style w:type="table" w:customStyle="1" w:styleId="TableNormal">
    <w:name w:val="Table Normal"/>
    <w:uiPriority w:val="2"/>
    <w:semiHidden/>
    <w:unhideWhenUsed/>
    <w:qFormat/>
    <w:rsid w:val="0092707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1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D393E-DE8F-4813-8E91-8F9D60DD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Office Word</Application>
  <DocSecurity>4</DocSecurity>
  <Lines>9</Lines>
  <Paragraphs>2</Paragraphs>
  <ScaleCrop>false</ScaleCrop>
  <Company>Sky123.Org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ZHONGM</cp:lastModifiedBy>
  <cp:revision>2</cp:revision>
  <dcterms:created xsi:type="dcterms:W3CDTF">2023-09-07T16:01:00Z</dcterms:created>
  <dcterms:modified xsi:type="dcterms:W3CDTF">2023-09-07T16:01:00Z</dcterms:modified>
</cp:coreProperties>
</file>