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822" w:rsidRDefault="00DC7618">
      <w:pPr>
        <w:widowControl/>
        <w:shd w:val="clear" w:color="auto" w:fill="FFFFFF"/>
        <w:spacing w:before="240"/>
        <w:jc w:val="center"/>
        <w:rPr>
          <w:rFonts w:asciiTheme="minorEastAsia" w:hAnsiTheme="minorEastAsia" w:cs="宋体"/>
          <w:b/>
          <w:bCs/>
          <w:color w:val="333333"/>
          <w:kern w:val="0"/>
          <w:sz w:val="29"/>
          <w:szCs w:val="29"/>
        </w:rPr>
      </w:pPr>
      <w:r>
        <w:rPr>
          <w:rFonts w:asciiTheme="minorEastAsia" w:hAnsiTheme="minorEastAsia" w:cs="宋体" w:hint="eastAsia"/>
          <w:b/>
          <w:bCs/>
          <w:color w:val="333333"/>
          <w:kern w:val="0"/>
          <w:sz w:val="29"/>
          <w:szCs w:val="29"/>
        </w:rPr>
        <w:t>关于中邮价值优选一年定期开放灵活配置混合型发起式证券投资基金可能触发基金合同终止情形的第二次提示性公告</w:t>
      </w:r>
    </w:p>
    <w:p w:rsidR="003F4822" w:rsidRDefault="003F4822">
      <w:pPr>
        <w:widowControl/>
        <w:shd w:val="clear" w:color="auto" w:fill="FFFFFF"/>
        <w:spacing w:before="240"/>
        <w:jc w:val="center"/>
        <w:rPr>
          <w:rFonts w:asciiTheme="minorEastAsia" w:hAnsiTheme="minorEastAsia" w:cs="宋体"/>
          <w:b/>
          <w:bCs/>
          <w:color w:val="333333"/>
          <w:kern w:val="0"/>
          <w:sz w:val="29"/>
          <w:szCs w:val="29"/>
        </w:rPr>
      </w:pPr>
    </w:p>
    <w:p w:rsidR="003F4822" w:rsidRDefault="00DC7618">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根据《中华人民共和国证券投资基金法》、《公开募集证券投资基金运作管理办法》、《中邮价值优选一年定期开放灵活配置混合型发起式证券投资基金基金合同》(以下简称“《基金合同》”)的有关规定,中邮价值优选一年定期开放灵活配置混合型发起式证券投资基金(以下称“本基金”)可能触发基金合同终止情形，具体情况如下：</w:t>
      </w:r>
    </w:p>
    <w:p w:rsidR="003F4822" w:rsidRDefault="00DC7618">
      <w:pPr>
        <w:widowControl/>
        <w:shd w:val="clear" w:color="auto" w:fill="FFFFFF"/>
        <w:spacing w:before="570"/>
        <w:ind w:firstLineChars="200" w:firstLine="482"/>
        <w:jc w:val="left"/>
        <w:outlineLvl w:val="4"/>
        <w:rPr>
          <w:rFonts w:asciiTheme="minorEastAsia" w:hAnsiTheme="minorEastAsia" w:cs="宋体"/>
          <w:b/>
          <w:bCs/>
          <w:color w:val="333333"/>
          <w:kern w:val="0"/>
          <w:sz w:val="24"/>
          <w:szCs w:val="24"/>
        </w:rPr>
      </w:pPr>
      <w:r>
        <w:rPr>
          <w:rFonts w:asciiTheme="minorEastAsia" w:hAnsiTheme="minorEastAsia" w:cs="宋体" w:hint="eastAsia"/>
          <w:b/>
          <w:bCs/>
          <w:color w:val="333333"/>
          <w:kern w:val="0"/>
          <w:sz w:val="24"/>
          <w:szCs w:val="24"/>
        </w:rPr>
        <w:t>一、本基金基本信息</w:t>
      </w:r>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基金名称: 中邮价值优选一年定期开放灵活配置混合型发起式证券投资基金</w:t>
      </w:r>
    </w:p>
    <w:p w:rsidR="003F4822" w:rsidRDefault="00DC7618">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基金简称: 中邮价值优选一年定期开放灵活配置混合</w:t>
      </w:r>
    </w:p>
    <w:p w:rsidR="003F4822" w:rsidRDefault="00DC7618">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基金代码: 00</w:t>
      </w:r>
      <w:r>
        <w:rPr>
          <w:rFonts w:asciiTheme="minorEastAsia" w:hAnsiTheme="minorEastAsia" w:cs="宋体"/>
          <w:color w:val="333333"/>
          <w:kern w:val="0"/>
          <w:sz w:val="24"/>
          <w:szCs w:val="24"/>
        </w:rPr>
        <w:t>8890</w:t>
      </w:r>
    </w:p>
    <w:p w:rsidR="003F4822" w:rsidRDefault="00DC7618">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基金运作方式:契约型，定期开放式</w:t>
      </w:r>
    </w:p>
    <w:p w:rsidR="003F4822" w:rsidRDefault="00DC7618">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基金合同生效日: 20</w:t>
      </w:r>
      <w:r>
        <w:rPr>
          <w:rFonts w:asciiTheme="minorEastAsia" w:hAnsiTheme="minorEastAsia" w:cs="宋体"/>
          <w:color w:val="333333"/>
          <w:kern w:val="0"/>
          <w:sz w:val="24"/>
          <w:szCs w:val="24"/>
        </w:rPr>
        <w:t>20</w:t>
      </w:r>
      <w:r>
        <w:rPr>
          <w:rFonts w:asciiTheme="minorEastAsia" w:hAnsiTheme="minorEastAsia" w:cs="宋体" w:hint="eastAsia"/>
          <w:color w:val="333333"/>
          <w:kern w:val="0"/>
          <w:sz w:val="24"/>
          <w:szCs w:val="24"/>
        </w:rPr>
        <w:t>年</w:t>
      </w:r>
      <w:r>
        <w:rPr>
          <w:rFonts w:asciiTheme="minorEastAsia" w:hAnsiTheme="minorEastAsia" w:cs="宋体"/>
          <w:color w:val="333333"/>
          <w:kern w:val="0"/>
          <w:sz w:val="24"/>
          <w:szCs w:val="24"/>
        </w:rPr>
        <w:t>9</w:t>
      </w:r>
      <w:r>
        <w:rPr>
          <w:rFonts w:asciiTheme="minorEastAsia" w:hAnsiTheme="minorEastAsia" w:cs="宋体" w:hint="eastAsia"/>
          <w:color w:val="333333"/>
          <w:kern w:val="0"/>
          <w:sz w:val="24"/>
          <w:szCs w:val="24"/>
        </w:rPr>
        <w:t>月9日</w:t>
      </w:r>
    </w:p>
    <w:p w:rsidR="003F4822" w:rsidRDefault="00DC7618">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基金管理人名称:</w:t>
      </w:r>
      <w:r>
        <w:rPr>
          <w:rFonts w:asciiTheme="minorEastAsia" w:hAnsiTheme="minorEastAsia" w:cs="宋体"/>
          <w:color w:val="333333"/>
          <w:kern w:val="0"/>
          <w:sz w:val="24"/>
          <w:szCs w:val="24"/>
        </w:rPr>
        <w:t xml:space="preserve"> </w:t>
      </w:r>
      <w:r>
        <w:rPr>
          <w:rFonts w:asciiTheme="minorEastAsia" w:hAnsiTheme="minorEastAsia" w:cs="宋体" w:hint="eastAsia"/>
          <w:color w:val="333333"/>
          <w:kern w:val="0"/>
          <w:sz w:val="24"/>
          <w:szCs w:val="24"/>
        </w:rPr>
        <w:t>中邮创业基金管理股份有限公司</w:t>
      </w:r>
    </w:p>
    <w:p w:rsidR="003F4822" w:rsidRDefault="00DC7618">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基金托管人名称:</w:t>
      </w:r>
      <w:r>
        <w:rPr>
          <w:rFonts w:asciiTheme="minorEastAsia" w:hAnsiTheme="minorEastAsia" w:cs="宋体"/>
          <w:color w:val="333333"/>
          <w:kern w:val="0"/>
          <w:sz w:val="24"/>
          <w:szCs w:val="24"/>
        </w:rPr>
        <w:t xml:space="preserve"> </w:t>
      </w:r>
      <w:r>
        <w:rPr>
          <w:rFonts w:asciiTheme="minorEastAsia" w:hAnsiTheme="minorEastAsia" w:cs="宋体" w:hint="eastAsia"/>
          <w:color w:val="333333"/>
          <w:kern w:val="0"/>
          <w:sz w:val="24"/>
          <w:szCs w:val="24"/>
        </w:rPr>
        <w:t>中国邮政储蓄银行股份有限公司</w:t>
      </w:r>
    </w:p>
    <w:p w:rsidR="003F4822" w:rsidRDefault="00DC7618">
      <w:pPr>
        <w:widowControl/>
        <w:shd w:val="clear" w:color="auto" w:fill="FFFFFF"/>
        <w:spacing w:before="570"/>
        <w:ind w:firstLineChars="200" w:firstLine="482"/>
        <w:jc w:val="left"/>
        <w:outlineLvl w:val="4"/>
        <w:rPr>
          <w:rFonts w:asciiTheme="minorEastAsia" w:hAnsiTheme="minorEastAsia" w:cs="宋体"/>
          <w:b/>
          <w:bCs/>
          <w:color w:val="333333"/>
          <w:kern w:val="0"/>
          <w:sz w:val="24"/>
          <w:szCs w:val="24"/>
        </w:rPr>
      </w:pPr>
      <w:r>
        <w:rPr>
          <w:rFonts w:asciiTheme="minorEastAsia" w:hAnsiTheme="minorEastAsia" w:cs="宋体" w:hint="eastAsia"/>
          <w:b/>
          <w:bCs/>
          <w:color w:val="333333"/>
          <w:kern w:val="0"/>
          <w:sz w:val="24"/>
          <w:szCs w:val="24"/>
        </w:rPr>
        <w:t>二、可能触发基金合同终止的情形说明</w:t>
      </w:r>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根据《基金合同》“第五部分 基金备案”之“三、基金存续期内的基金份额持有人数量和资产规模”的约定：“基金合同生效之日起三年后的对应日，若基金资产净值低于2亿元，本基金应当按照本基金合同约定的程序进行清算并终止，且不得通过召开基金份额持有人大会的方式延续。”若截至202</w:t>
      </w:r>
      <w:r>
        <w:rPr>
          <w:rFonts w:asciiTheme="minorEastAsia" w:hAnsiTheme="minorEastAsia" w:cs="宋体"/>
          <w:color w:val="333333"/>
          <w:kern w:val="0"/>
          <w:sz w:val="24"/>
          <w:szCs w:val="24"/>
        </w:rPr>
        <w:t>3</w:t>
      </w:r>
      <w:r>
        <w:rPr>
          <w:rFonts w:asciiTheme="minorEastAsia" w:hAnsiTheme="minorEastAsia" w:cs="宋体" w:hint="eastAsia"/>
          <w:color w:val="333333"/>
          <w:kern w:val="0"/>
          <w:sz w:val="24"/>
          <w:szCs w:val="24"/>
        </w:rPr>
        <w:t>年</w:t>
      </w:r>
      <w:r>
        <w:rPr>
          <w:rFonts w:asciiTheme="minorEastAsia" w:hAnsiTheme="minorEastAsia" w:cs="宋体"/>
          <w:color w:val="333333"/>
          <w:kern w:val="0"/>
          <w:sz w:val="24"/>
          <w:szCs w:val="24"/>
        </w:rPr>
        <w:t>9</w:t>
      </w:r>
      <w:r>
        <w:rPr>
          <w:rFonts w:asciiTheme="minorEastAsia" w:hAnsiTheme="minorEastAsia" w:cs="宋体" w:hint="eastAsia"/>
          <w:color w:val="333333"/>
          <w:kern w:val="0"/>
          <w:sz w:val="24"/>
          <w:szCs w:val="24"/>
        </w:rPr>
        <w:t>月</w:t>
      </w:r>
      <w:r>
        <w:rPr>
          <w:rFonts w:asciiTheme="minorEastAsia" w:hAnsiTheme="minorEastAsia" w:cs="宋体"/>
          <w:color w:val="333333"/>
          <w:kern w:val="0"/>
          <w:sz w:val="24"/>
          <w:szCs w:val="24"/>
        </w:rPr>
        <w:t>9</w:t>
      </w:r>
      <w:r>
        <w:rPr>
          <w:rFonts w:asciiTheme="minorEastAsia" w:hAnsiTheme="minorEastAsia" w:cs="宋体" w:hint="eastAsia"/>
          <w:color w:val="333333"/>
          <w:kern w:val="0"/>
          <w:sz w:val="24"/>
          <w:szCs w:val="24"/>
        </w:rPr>
        <w:t>日日终，本基金基金资产净值低于2亿元，本基金合同自动终止，无需召开基金份额持有人大会进行表决。特此提示。</w:t>
      </w:r>
    </w:p>
    <w:p w:rsidR="003F4822" w:rsidRDefault="00DC7618">
      <w:pPr>
        <w:widowControl/>
        <w:shd w:val="clear" w:color="auto" w:fill="FFFFFF"/>
        <w:spacing w:before="570"/>
        <w:ind w:firstLineChars="200" w:firstLine="482"/>
        <w:jc w:val="left"/>
        <w:outlineLvl w:val="4"/>
        <w:rPr>
          <w:rFonts w:asciiTheme="minorEastAsia" w:hAnsiTheme="minorEastAsia" w:cs="宋体"/>
          <w:b/>
          <w:bCs/>
          <w:color w:val="333333"/>
          <w:kern w:val="0"/>
          <w:sz w:val="24"/>
          <w:szCs w:val="24"/>
        </w:rPr>
      </w:pPr>
      <w:r>
        <w:rPr>
          <w:rFonts w:asciiTheme="minorEastAsia" w:hAnsiTheme="minorEastAsia" w:cs="宋体" w:hint="eastAsia"/>
          <w:b/>
          <w:bCs/>
          <w:color w:val="333333"/>
          <w:kern w:val="0"/>
          <w:sz w:val="24"/>
          <w:szCs w:val="24"/>
        </w:rPr>
        <w:t>三、其他需要提示的事项</w:t>
      </w:r>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1、若出现触发《基金合同》终止的情形，本基金管理人将根据相关法律法规、《基金合同》等规定成立基金财产清算小组，履行基金财产清算程序。本基金进入清算程序后将不再开放办理申购、赎回等业务，基金财产将在基金财产清算小组履行完毕清算程序后进行分配。敬请投资者予以关注，注意投资风险，妥善做好投资安排。</w:t>
      </w:r>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2、投资者欲了解本基金的详细情况,请认真阅读本基金《基金合同》《招募说明书》（更新）、基金产品资料概要（更新）等基金法律文件,可通过以下途径咨询:</w:t>
      </w:r>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客服电话：010—58511618、400-880-1618</w:t>
      </w:r>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网址：</w:t>
      </w:r>
      <w:hyperlink r:id="rId4" w:history="1">
        <w:r>
          <w:rPr>
            <w:rStyle w:val="a4"/>
            <w:rFonts w:asciiTheme="minorEastAsia" w:hAnsiTheme="minorEastAsia" w:cs="宋体" w:hint="eastAsia"/>
            <w:kern w:val="0"/>
            <w:sz w:val="24"/>
            <w:szCs w:val="24"/>
          </w:rPr>
          <w:t>www.postfund.com.cn</w:t>
        </w:r>
      </w:hyperlink>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的基金合同、更新的招募说明书、更新的基金产品资料概要以及相关业务公告。敬请投资者关注适当性管理相关规定，提前做好风险测评，并根据自身的风险承受能力购买风险等级相匹配的产品。</w:t>
      </w:r>
    </w:p>
    <w:p w:rsidR="003F4822" w:rsidRDefault="00DC7618">
      <w:pPr>
        <w:widowControl/>
        <w:shd w:val="clear" w:color="auto" w:fill="FFFFFF"/>
        <w:spacing w:before="240" w:line="420" w:lineRule="atLeast"/>
        <w:ind w:firstLineChars="200" w:firstLine="48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特此公告。</w:t>
      </w:r>
    </w:p>
    <w:p w:rsidR="003F4822" w:rsidRDefault="00DC7618">
      <w:pPr>
        <w:widowControl/>
        <w:shd w:val="clear" w:color="auto" w:fill="FFFFFF"/>
        <w:spacing w:before="750" w:line="420" w:lineRule="atLeast"/>
        <w:jc w:val="righ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中邮创业基金管理股份有限公司</w:t>
      </w:r>
    </w:p>
    <w:p w:rsidR="003F4822" w:rsidRDefault="00DC7618">
      <w:pPr>
        <w:widowControl/>
        <w:shd w:val="clear" w:color="auto" w:fill="FFFFFF"/>
        <w:spacing w:before="240" w:line="420" w:lineRule="atLeast"/>
        <w:jc w:val="righ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202</w:t>
      </w:r>
      <w:r>
        <w:rPr>
          <w:rFonts w:asciiTheme="minorEastAsia" w:hAnsiTheme="minorEastAsia" w:cs="宋体"/>
          <w:color w:val="333333"/>
          <w:kern w:val="0"/>
          <w:sz w:val="24"/>
          <w:szCs w:val="24"/>
        </w:rPr>
        <w:t>3</w:t>
      </w:r>
      <w:r>
        <w:rPr>
          <w:rFonts w:asciiTheme="minorEastAsia" w:hAnsiTheme="minorEastAsia" w:cs="宋体" w:hint="eastAsia"/>
          <w:color w:val="333333"/>
          <w:kern w:val="0"/>
          <w:sz w:val="24"/>
          <w:szCs w:val="24"/>
        </w:rPr>
        <w:t>年9月</w:t>
      </w:r>
      <w:r>
        <w:rPr>
          <w:rFonts w:asciiTheme="minorEastAsia" w:hAnsiTheme="minorEastAsia" w:cs="宋体"/>
          <w:color w:val="333333"/>
          <w:kern w:val="0"/>
          <w:sz w:val="24"/>
          <w:szCs w:val="24"/>
        </w:rPr>
        <w:t>7</w:t>
      </w:r>
      <w:bookmarkStart w:id="0" w:name="_GoBack"/>
      <w:bookmarkEnd w:id="0"/>
      <w:r>
        <w:rPr>
          <w:rFonts w:asciiTheme="minorEastAsia" w:hAnsiTheme="minorEastAsia" w:cs="宋体" w:hint="eastAsia"/>
          <w:color w:val="333333"/>
          <w:kern w:val="0"/>
          <w:sz w:val="24"/>
          <w:szCs w:val="24"/>
        </w:rPr>
        <w:t>日</w:t>
      </w:r>
    </w:p>
    <w:p w:rsidR="003F4822" w:rsidRDefault="003F4822">
      <w:pPr>
        <w:rPr>
          <w:rFonts w:asciiTheme="minorEastAsia" w:hAnsiTheme="minorEastAsia"/>
        </w:rPr>
      </w:pPr>
    </w:p>
    <w:sectPr w:rsidR="003F4822" w:rsidSect="00C957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jk2ZDgyNjA1MDkzYmY4NGRkMzllN2RmZDEwZDA4NjEifQ=="/>
  </w:docVars>
  <w:rsids>
    <w:rsidRoot w:val="009F6372"/>
    <w:rsid w:val="000B1A4F"/>
    <w:rsid w:val="002F3599"/>
    <w:rsid w:val="00385A55"/>
    <w:rsid w:val="003F4822"/>
    <w:rsid w:val="00695ABE"/>
    <w:rsid w:val="009F6372"/>
    <w:rsid w:val="00AD6BB1"/>
    <w:rsid w:val="00AF025D"/>
    <w:rsid w:val="00B702D0"/>
    <w:rsid w:val="00B96232"/>
    <w:rsid w:val="00C957E9"/>
    <w:rsid w:val="00DA0A15"/>
    <w:rsid w:val="00DC7618"/>
    <w:rsid w:val="11F3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E9"/>
    <w:pPr>
      <w:widowControl w:val="0"/>
      <w:jc w:val="both"/>
    </w:pPr>
    <w:rPr>
      <w:kern w:val="2"/>
      <w:sz w:val="21"/>
      <w:szCs w:val="22"/>
    </w:rPr>
  </w:style>
  <w:style w:type="paragraph" w:styleId="5">
    <w:name w:val="heading 5"/>
    <w:basedOn w:val="a"/>
    <w:link w:val="5Char"/>
    <w:uiPriority w:val="9"/>
    <w:qFormat/>
    <w:rsid w:val="00C957E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C957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sid w:val="00C957E9"/>
    <w:rPr>
      <w:color w:val="0563C1" w:themeColor="hyperlink"/>
      <w:u w:val="single"/>
    </w:rPr>
  </w:style>
  <w:style w:type="character" w:customStyle="1" w:styleId="5Char">
    <w:name w:val="标题 5 Char"/>
    <w:basedOn w:val="a0"/>
    <w:link w:val="5"/>
    <w:uiPriority w:val="9"/>
    <w:qFormat/>
    <w:rsid w:val="00C957E9"/>
    <w:rPr>
      <w:rFonts w:ascii="宋体" w:eastAsia="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st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4</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董璇</dc:creator>
  <cp:lastModifiedBy>ZHONGM</cp:lastModifiedBy>
  <cp:revision>2</cp:revision>
  <dcterms:created xsi:type="dcterms:W3CDTF">2023-09-06T16:00:00Z</dcterms:created>
  <dcterms:modified xsi:type="dcterms:W3CDTF">2023-09-06T16:00:00Z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41F4C6616C3F46FABB4DF64BD70DB983_12</vt:lpwstr>
  </property>
</Properties>
</file>