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232E" w:rsidRDefault="0099232E">
      <w:pPr>
        <w:pStyle w:val="XBRL2"/>
        <w:spacing w:before="156"/>
        <w:rPr>
          <w:lang w:eastAsia="zh-CN"/>
        </w:rPr>
      </w:pPr>
      <w:bookmarkStart w:id="0" w:name="_Toc510201001"/>
      <w:bookmarkEnd w:id="0"/>
      <w:r>
        <w:rPr>
          <w:lang w:eastAsia="zh-CN"/>
        </w:rPr>
        <w:t xml:space="preserve">　</w:t>
      </w:r>
    </w:p>
    <w:p w:rsidR="0099232E" w:rsidRDefault="0099232E">
      <w:pPr>
        <w:jc w:val="center"/>
      </w:pPr>
      <w:r>
        <w:rPr>
          <w:rFonts w:cs="Times New Roman" w:hint="eastAsia"/>
          <w:b/>
          <w:sz w:val="48"/>
          <w:szCs w:val="48"/>
        </w:rPr>
        <w:t>关于东方红货币市场基金调整大额申购（含定期定额投资、转换转入）业务金额限制的公告</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560" w:lineRule="exact"/>
        <w:jc w:val="center"/>
        <w:rPr>
          <w:rFonts w:hint="eastAsia"/>
          <w:color w:val="000000"/>
          <w:kern w:val="0"/>
          <w:sz w:val="18"/>
        </w:rPr>
      </w:pPr>
      <w:r>
        <w:rPr>
          <w:rFonts w:hint="eastAsia"/>
          <w:color w:val="000000"/>
          <w:kern w:val="0"/>
          <w:sz w:val="18"/>
        </w:rPr>
        <w:t xml:space="preserve">　</w:t>
      </w:r>
    </w:p>
    <w:p w:rsidR="0099232E" w:rsidRDefault="0099232E">
      <w:pPr>
        <w:spacing w:line="360" w:lineRule="auto"/>
        <w:jc w:val="center"/>
        <w:rPr>
          <w:rFonts w:hint="eastAsia"/>
        </w:rPr>
      </w:pPr>
      <w:r>
        <w:rPr>
          <w:rFonts w:hint="eastAsia"/>
          <w:b/>
          <w:bCs/>
          <w:sz w:val="24"/>
          <w:szCs w:val="30"/>
        </w:rPr>
        <w:t>公告送出日期：2023年09月06日</w:t>
      </w:r>
    </w:p>
    <w:p w:rsidR="0099232E" w:rsidRDefault="0099232E">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bookmarkEnd w:id="10"/>
      <w:bookmarkEnd w:id="11"/>
      <w:bookmarkEnd w:id="12"/>
    </w:p>
    <w:tbl>
      <w:tblPr>
        <w:tblW w:w="9606"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959"/>
        <w:gridCol w:w="991"/>
        <w:gridCol w:w="1560"/>
        <w:gridCol w:w="1560"/>
        <w:gridCol w:w="1417"/>
        <w:gridCol w:w="1559"/>
        <w:gridCol w:w="1560"/>
      </w:tblGrid>
      <w:tr w:rsidR="0099232E" w:rsidTr="00293297">
        <w:tc>
          <w:tcPr>
            <w:tcW w:w="35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基金名称</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东方红货币市场基金</w:t>
            </w:r>
          </w:p>
        </w:tc>
      </w:tr>
      <w:tr w:rsidR="0099232E" w:rsidTr="00293297">
        <w:tc>
          <w:tcPr>
            <w:tcW w:w="35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基金简称</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东方红货币</w:t>
            </w:r>
          </w:p>
        </w:tc>
      </w:tr>
      <w:tr w:rsidR="0099232E" w:rsidTr="00293297">
        <w:tc>
          <w:tcPr>
            <w:tcW w:w="35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基金主代码</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005056</w:t>
            </w:r>
          </w:p>
        </w:tc>
      </w:tr>
      <w:tr w:rsidR="0099232E" w:rsidTr="00293297">
        <w:tc>
          <w:tcPr>
            <w:tcW w:w="35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基金管理人名称</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上海东方证券资产管理有限公司</w:t>
            </w:r>
          </w:p>
        </w:tc>
      </w:tr>
      <w:tr w:rsidR="0099232E" w:rsidTr="00293297">
        <w:tc>
          <w:tcPr>
            <w:tcW w:w="35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公告依据</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《公开募集证券投资基金信息披露管理办法》《东方红货币市场基金基金合同》《东方红货币市场基金招募说明书》等相关规定</w:t>
            </w:r>
          </w:p>
        </w:tc>
      </w:tr>
      <w:tr w:rsidR="0099232E" w:rsidTr="00293297">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暂停相关业务的起始日、金额及原因说明</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暂停大额申购起始日</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rsidP="00293297">
            <w:pPr>
              <w:rPr>
                <w:rFonts w:hint="eastAsia"/>
              </w:rPr>
            </w:pPr>
            <w:r w:rsidRPr="008B2C07">
              <w:rPr>
                <w:rFonts w:hint="eastAsia"/>
              </w:rPr>
              <w:t>2023年9月</w:t>
            </w:r>
            <w:r w:rsidR="00293297">
              <w:t>6</w:t>
            </w:r>
            <w:r w:rsidRPr="008B2C07">
              <w:rPr>
                <w:rFonts w:hint="eastAsia"/>
              </w:rPr>
              <w:t>日</w:t>
            </w:r>
          </w:p>
        </w:tc>
      </w:tr>
      <w:tr w:rsidR="0099232E" w:rsidTr="00293297">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9232E" w:rsidRDefault="0099232E">
            <w:pPr>
              <w:widowControl/>
              <w:jc w:val="left"/>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暂停大额转换转入起始日</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rsidP="00293297">
            <w:pPr>
              <w:rPr>
                <w:rFonts w:hint="eastAsia"/>
              </w:rPr>
            </w:pPr>
            <w:r w:rsidRPr="008B2C07">
              <w:rPr>
                <w:rFonts w:hint="eastAsia"/>
              </w:rPr>
              <w:t>2023年9月</w:t>
            </w:r>
            <w:r w:rsidR="00293297">
              <w:t>6</w:t>
            </w:r>
            <w:r w:rsidRPr="008B2C07">
              <w:rPr>
                <w:rFonts w:hint="eastAsia"/>
              </w:rPr>
              <w:t>日</w:t>
            </w:r>
          </w:p>
        </w:tc>
      </w:tr>
      <w:tr w:rsidR="0099232E" w:rsidTr="00293297">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9232E" w:rsidRDefault="0099232E">
            <w:pPr>
              <w:widowControl/>
              <w:jc w:val="left"/>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暂停</w:t>
            </w:r>
            <w:r w:rsidR="008D3B7C">
              <w:rPr>
                <w:rFonts w:ascii="Calibri" w:hAnsi="Calibri" w:hint="eastAsia"/>
              </w:rPr>
              <w:t>大额</w:t>
            </w:r>
            <w:r w:rsidRPr="008B2C07">
              <w:rPr>
                <w:rFonts w:ascii="Calibri" w:hAnsi="Calibri" w:hint="eastAsia"/>
              </w:rPr>
              <w:t>定期定额投资起始日</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rsidP="00293297">
            <w:pPr>
              <w:rPr>
                <w:rFonts w:hint="eastAsia"/>
              </w:rPr>
            </w:pPr>
            <w:r w:rsidRPr="008B2C07">
              <w:rPr>
                <w:rFonts w:hint="eastAsia"/>
              </w:rPr>
              <w:t>2023年9月</w:t>
            </w:r>
            <w:r w:rsidR="00293297">
              <w:t>6</w:t>
            </w:r>
            <w:r w:rsidRPr="008B2C07">
              <w:rPr>
                <w:rFonts w:hint="eastAsia"/>
              </w:rPr>
              <w:t>日</w:t>
            </w:r>
          </w:p>
        </w:tc>
      </w:tr>
      <w:tr w:rsidR="0099232E" w:rsidTr="00293297">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9232E" w:rsidRDefault="0099232E">
            <w:pPr>
              <w:widowControl/>
              <w:jc w:val="left"/>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限制申购金额（单位：人民币元）</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30,000,000.00</w:t>
            </w:r>
          </w:p>
        </w:tc>
      </w:tr>
      <w:tr w:rsidR="0099232E" w:rsidTr="00293297">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9232E" w:rsidRDefault="0099232E">
            <w:pPr>
              <w:widowControl/>
              <w:jc w:val="left"/>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限制转换转入金额（单位：人民币元）</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30,000,000.00</w:t>
            </w:r>
          </w:p>
        </w:tc>
      </w:tr>
      <w:tr w:rsidR="0099232E" w:rsidTr="00293297">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9232E" w:rsidRDefault="0099232E">
            <w:pPr>
              <w:widowControl/>
              <w:jc w:val="left"/>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限制定期定额投资金额（单位：人民币元）</w:t>
            </w:r>
          </w:p>
        </w:tc>
        <w:tc>
          <w:tcPr>
            <w:tcW w:w="6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30,000,000.00</w:t>
            </w:r>
          </w:p>
        </w:tc>
      </w:tr>
      <w:tr w:rsidR="0099232E" w:rsidTr="00293297">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9232E" w:rsidRDefault="0099232E">
            <w:pPr>
              <w:widowControl/>
              <w:jc w:val="left"/>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暂停大额申购、大额转换转入、大额定期定额投资的原因说明</w:t>
            </w:r>
          </w:p>
        </w:tc>
        <w:tc>
          <w:tcPr>
            <w:tcW w:w="6096" w:type="dxa"/>
            <w:gridSpan w:val="4"/>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hint="eastAsia"/>
              </w:rPr>
              <w:t>为保护</w:t>
            </w:r>
            <w:r w:rsidR="008D3B7C">
              <w:rPr>
                <w:rFonts w:hint="eastAsia"/>
              </w:rPr>
              <w:t>基金份额</w:t>
            </w:r>
            <w:r w:rsidRPr="008B2C07">
              <w:rPr>
                <w:rFonts w:hint="eastAsia"/>
              </w:rPr>
              <w:t>持有人</w:t>
            </w:r>
            <w:r w:rsidR="008D3B7C">
              <w:rPr>
                <w:rFonts w:hint="eastAsia"/>
              </w:rPr>
              <w:t>的</w:t>
            </w:r>
            <w:r w:rsidRPr="008B2C07">
              <w:rPr>
                <w:rFonts w:hint="eastAsia"/>
              </w:rPr>
              <w:t>利益</w:t>
            </w:r>
          </w:p>
        </w:tc>
      </w:tr>
      <w:tr w:rsidR="00293297" w:rsidTr="00293297">
        <w:tc>
          <w:tcPr>
            <w:tcW w:w="1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下属</w:t>
            </w:r>
            <w:r w:rsidR="008D3B7C">
              <w:rPr>
                <w:rFonts w:ascii="Calibri" w:hAnsi="Calibri" w:hint="eastAsia"/>
              </w:rPr>
              <w:t>分类</w:t>
            </w:r>
            <w:r w:rsidRPr="008B2C07">
              <w:rPr>
                <w:rFonts w:ascii="Calibri" w:hAnsi="Calibri" w:hint="eastAsia"/>
              </w:rPr>
              <w:t>基金的基金简称</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东方红货币A</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东方红货币B</w:t>
            </w:r>
          </w:p>
        </w:tc>
        <w:tc>
          <w:tcPr>
            <w:tcW w:w="1417"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东方红货币C</w:t>
            </w:r>
          </w:p>
        </w:tc>
        <w:tc>
          <w:tcPr>
            <w:tcW w:w="1559"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东方红货币D</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东方红货币E</w:t>
            </w:r>
          </w:p>
        </w:tc>
      </w:tr>
      <w:tr w:rsidR="00293297" w:rsidTr="00293297">
        <w:tc>
          <w:tcPr>
            <w:tcW w:w="1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下属</w:t>
            </w:r>
            <w:r w:rsidR="008D3B7C">
              <w:rPr>
                <w:rFonts w:ascii="Calibri" w:hAnsi="Calibri" w:hint="eastAsia"/>
              </w:rPr>
              <w:t>分类</w:t>
            </w:r>
            <w:r w:rsidRPr="008B2C07">
              <w:rPr>
                <w:rFonts w:ascii="Calibri" w:hAnsi="Calibri" w:hint="eastAsia"/>
              </w:rPr>
              <w:t>基金的交易代码</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005056</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005057</w:t>
            </w:r>
          </w:p>
        </w:tc>
        <w:tc>
          <w:tcPr>
            <w:tcW w:w="1417"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007864</w:t>
            </w:r>
          </w:p>
        </w:tc>
        <w:tc>
          <w:tcPr>
            <w:tcW w:w="1559"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007865</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005058</w:t>
            </w:r>
          </w:p>
        </w:tc>
      </w:tr>
      <w:tr w:rsidR="00293297" w:rsidTr="00293297">
        <w:tc>
          <w:tcPr>
            <w:tcW w:w="1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该</w:t>
            </w:r>
            <w:r w:rsidR="008D3B7C">
              <w:rPr>
                <w:rFonts w:ascii="Calibri" w:hAnsi="Calibri" w:hint="eastAsia"/>
              </w:rPr>
              <w:t>分类</w:t>
            </w:r>
            <w:r w:rsidRPr="008B2C07">
              <w:rPr>
                <w:rFonts w:ascii="Calibri" w:hAnsi="Calibri" w:hint="eastAsia"/>
              </w:rPr>
              <w:t>基金是否暂停大额申购、大额转换转入、大额定期定额投资</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是</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是</w:t>
            </w:r>
          </w:p>
        </w:tc>
        <w:tc>
          <w:tcPr>
            <w:tcW w:w="1417"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否</w:t>
            </w:r>
          </w:p>
        </w:tc>
        <w:tc>
          <w:tcPr>
            <w:tcW w:w="1559"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是</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是</w:t>
            </w:r>
          </w:p>
        </w:tc>
      </w:tr>
      <w:tr w:rsidR="00293297" w:rsidTr="00293297">
        <w:tc>
          <w:tcPr>
            <w:tcW w:w="195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hint="eastAsia"/>
              </w:rPr>
              <w:t>下属</w:t>
            </w:r>
            <w:r w:rsidR="008D3B7C">
              <w:rPr>
                <w:rFonts w:ascii="Calibri" w:hAnsi="Calibri" w:hint="eastAsia"/>
              </w:rPr>
              <w:t>分类</w:t>
            </w:r>
            <w:r w:rsidRPr="008B2C07">
              <w:rPr>
                <w:rFonts w:ascii="Calibri" w:hAnsi="Calibri" w:hint="eastAsia"/>
              </w:rPr>
              <w:t>基金的限制申购金额（单位：人民币元）</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417"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w:t>
            </w:r>
          </w:p>
        </w:tc>
        <w:tc>
          <w:tcPr>
            <w:tcW w:w="1559"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560" w:type="dxa"/>
            <w:tcBorders>
              <w:top w:val="outset" w:sz="4" w:space="0" w:color="000000"/>
              <w:left w:val="single" w:sz="4" w:space="0" w:color="000000"/>
              <w:bottom w:val="outset" w:sz="4" w:space="0" w:color="000000"/>
              <w:right w:val="single" w:sz="4" w:space="0" w:color="auto"/>
            </w:tcBorders>
            <w:vAlign w:val="center"/>
            <w:hideMark/>
          </w:tcPr>
          <w:p w:rsidR="0099232E" w:rsidRDefault="0099232E">
            <w:pPr>
              <w:rPr>
                <w:rFonts w:hint="eastAsia"/>
              </w:rPr>
            </w:pPr>
            <w:r w:rsidRPr="008B2C07">
              <w:rPr>
                <w:rFonts w:hint="eastAsia"/>
              </w:rPr>
              <w:t>30,000,000.00</w:t>
            </w:r>
          </w:p>
        </w:tc>
      </w:tr>
      <w:tr w:rsidR="00293297" w:rsidTr="00293297">
        <w:tc>
          <w:tcPr>
            <w:tcW w:w="195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9232E" w:rsidRDefault="0099232E">
            <w:pPr>
              <w:rPr>
                <w:rFonts w:hint="eastAsia"/>
              </w:rPr>
            </w:pPr>
            <w:r w:rsidRPr="008B2C07">
              <w:rPr>
                <w:rFonts w:hint="eastAsia"/>
              </w:rPr>
              <w:t>下属</w:t>
            </w:r>
            <w:r w:rsidR="008D3B7C">
              <w:rPr>
                <w:rFonts w:hint="eastAsia"/>
              </w:rPr>
              <w:t>分类</w:t>
            </w:r>
            <w:r w:rsidRPr="008B2C07">
              <w:rPr>
                <w:rFonts w:hint="eastAsia"/>
              </w:rPr>
              <w:t>基金的限制转换转入金额（单位：人民币元）</w:t>
            </w:r>
          </w:p>
        </w:tc>
        <w:tc>
          <w:tcPr>
            <w:tcW w:w="1560"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560"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417"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w:t>
            </w:r>
          </w:p>
        </w:tc>
        <w:tc>
          <w:tcPr>
            <w:tcW w:w="1559" w:type="dxa"/>
            <w:tcBorders>
              <w:top w:val="outset" w:sz="4" w:space="0" w:color="000000"/>
              <w:left w:val="single" w:sz="4" w:space="0" w:color="000000"/>
              <w:bottom w:val="single" w:sz="4" w:space="0" w:color="000000"/>
              <w:right w:val="single" w:sz="4" w:space="0" w:color="auto"/>
            </w:tcBorders>
            <w:vAlign w:val="center"/>
            <w:hideMark/>
          </w:tcPr>
          <w:p w:rsidR="0099232E" w:rsidRDefault="00DD5EF4">
            <w:pPr>
              <w:rPr>
                <w:rFonts w:hint="eastAsia"/>
              </w:rPr>
            </w:pPr>
            <w:r>
              <w:t>-</w:t>
            </w:r>
          </w:p>
        </w:tc>
        <w:tc>
          <w:tcPr>
            <w:tcW w:w="1560"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30,000,000.00</w:t>
            </w:r>
          </w:p>
        </w:tc>
      </w:tr>
      <w:tr w:rsidR="00293297" w:rsidTr="00293297">
        <w:tc>
          <w:tcPr>
            <w:tcW w:w="1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232E" w:rsidRDefault="0099232E">
            <w:pPr>
              <w:rPr>
                <w:rFonts w:hint="eastAsia"/>
              </w:rPr>
            </w:pPr>
            <w:r w:rsidRPr="008B2C07">
              <w:rPr>
                <w:rFonts w:ascii="Calibri" w:hAnsi="Calibri" w:cs="Calibri"/>
              </w:rPr>
              <w:t>下属</w:t>
            </w:r>
            <w:r w:rsidR="008D3B7C">
              <w:rPr>
                <w:rFonts w:ascii="Calibri" w:hAnsi="Calibri" w:cs="Calibri"/>
              </w:rPr>
              <w:t>分类</w:t>
            </w:r>
            <w:r w:rsidRPr="008B2C07">
              <w:rPr>
                <w:rFonts w:ascii="Calibri" w:hAnsi="Calibri" w:cs="Calibri"/>
              </w:rPr>
              <w:t>基金的限制定期定额投资金额（单位：人民币元）</w:t>
            </w:r>
          </w:p>
        </w:tc>
        <w:tc>
          <w:tcPr>
            <w:tcW w:w="1560"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560"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417"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w:t>
            </w:r>
          </w:p>
        </w:tc>
        <w:tc>
          <w:tcPr>
            <w:tcW w:w="1559"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30,000,000.00</w:t>
            </w:r>
          </w:p>
        </w:tc>
        <w:tc>
          <w:tcPr>
            <w:tcW w:w="1560" w:type="dxa"/>
            <w:tcBorders>
              <w:top w:val="outset" w:sz="4" w:space="0" w:color="000000"/>
              <w:left w:val="single" w:sz="4" w:space="0" w:color="000000"/>
              <w:bottom w:val="single" w:sz="4" w:space="0" w:color="000000"/>
              <w:right w:val="single" w:sz="4" w:space="0" w:color="auto"/>
            </w:tcBorders>
            <w:vAlign w:val="center"/>
            <w:hideMark/>
          </w:tcPr>
          <w:p w:rsidR="0099232E" w:rsidRDefault="0099232E">
            <w:pPr>
              <w:rPr>
                <w:rFonts w:hint="eastAsia"/>
              </w:rPr>
            </w:pPr>
            <w:r w:rsidRPr="008B2C07">
              <w:rPr>
                <w:rFonts w:hint="eastAsia"/>
              </w:rPr>
              <w:t>30,000,000.00</w:t>
            </w:r>
          </w:p>
        </w:tc>
      </w:tr>
    </w:tbl>
    <w:p w:rsidR="0099232E" w:rsidRDefault="0099232E">
      <w:pPr>
        <w:adjustRightInd w:val="0"/>
        <w:snapToGrid w:val="0"/>
        <w:spacing w:line="360" w:lineRule="auto"/>
        <w:jc w:val="left"/>
        <w:rPr>
          <w:rFonts w:hint="eastAsia"/>
        </w:rPr>
      </w:pPr>
      <w:r>
        <w:rPr>
          <w:rFonts w:hint="eastAsia"/>
        </w:rPr>
        <w:t>注:</w:t>
      </w:r>
      <w:r>
        <w:rPr>
          <w:rFonts w:hint="eastAsia"/>
          <w:szCs w:val="24"/>
          <w:lang/>
        </w:rPr>
        <w:t>东方红货币C不涉及暂停办理大额申购（含转换转入、定期定额投资）业务，东方红货币D目前暂未开通转换业务。</w:t>
      </w:r>
    </w:p>
    <w:p w:rsidR="0099232E" w:rsidRDefault="0099232E">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p>
    <w:p w:rsidR="0099232E" w:rsidRDefault="0099232E" w:rsidP="000024D0">
      <w:pPr>
        <w:spacing w:line="360" w:lineRule="auto"/>
        <w:ind w:firstLineChars="200" w:firstLine="420"/>
        <w:rPr>
          <w:rFonts w:hint="eastAsia"/>
        </w:rPr>
      </w:pPr>
      <w:r>
        <w:rPr>
          <w:rFonts w:hint="eastAsia"/>
          <w:szCs w:val="21"/>
        </w:rPr>
        <w:t>（1）自2023年9月6日（含）起，东方红货币市场基金（以下简称本基金）调整在代销机</w:t>
      </w:r>
      <w:r>
        <w:rPr>
          <w:rFonts w:hint="eastAsia"/>
          <w:szCs w:val="21"/>
        </w:rPr>
        <w:lastRenderedPageBreak/>
        <w:t>构的大额申购（含定期定额投资、转换转入）业务金额限制，本基金A、B、D、E类份额的大额申购（含定期定额投资、转换转入，如有）业务金额上限由5000万元调整为3000万元。前述限制金额调整仅适用于投资者通过代销机构提交的本基金的申购（含定期定额投资、转换转入）业务申请。投资者通过直销机构办理前述业务的，不受此次限制金额调整影响。</w:t>
      </w:r>
      <w:r>
        <w:rPr>
          <w:rFonts w:hint="eastAsia"/>
          <w:szCs w:val="21"/>
        </w:rPr>
        <w:br/>
        <w:t xml:space="preserve">　　（2）自2023年9月6日（含）起，本基金暂停办理在代销机构的</w:t>
      </w:r>
      <w:r w:rsidR="00065C4E">
        <w:rPr>
          <w:rFonts w:hint="eastAsia"/>
          <w:szCs w:val="21"/>
        </w:rPr>
        <w:t>单日</w:t>
      </w:r>
      <w:r>
        <w:rPr>
          <w:rFonts w:hint="eastAsia"/>
          <w:szCs w:val="21"/>
        </w:rPr>
        <w:t>A、B类份额加总3000万元以上（不含3000万元）的大额申购（含定期定额投资、转换转入）业务及</w:t>
      </w:r>
      <w:r w:rsidR="00065C4E">
        <w:rPr>
          <w:rFonts w:hint="eastAsia"/>
          <w:szCs w:val="21"/>
        </w:rPr>
        <w:t>单日</w:t>
      </w:r>
      <w:r>
        <w:rPr>
          <w:rFonts w:hint="eastAsia"/>
          <w:szCs w:val="21"/>
        </w:rPr>
        <w:t>D、E类份额</w:t>
      </w:r>
      <w:r w:rsidR="00065C4E">
        <w:rPr>
          <w:rFonts w:hint="eastAsia"/>
          <w:szCs w:val="21"/>
        </w:rPr>
        <w:t>加总</w:t>
      </w:r>
      <w:r>
        <w:rPr>
          <w:rFonts w:hint="eastAsia"/>
          <w:szCs w:val="21"/>
        </w:rPr>
        <w:t>3000万元以上（不含3000万元）的大额申购（含定期定额投资</w:t>
      </w:r>
      <w:r w:rsidR="00065C4E">
        <w:rPr>
          <w:rFonts w:hint="eastAsia"/>
          <w:szCs w:val="21"/>
        </w:rPr>
        <w:t>、转换转入</w:t>
      </w:r>
      <w:r w:rsidR="006262C0">
        <w:rPr>
          <w:rFonts w:hint="eastAsia"/>
          <w:szCs w:val="21"/>
        </w:rPr>
        <w:t>，如有</w:t>
      </w:r>
      <w:r>
        <w:rPr>
          <w:rFonts w:hint="eastAsia"/>
          <w:szCs w:val="21"/>
        </w:rPr>
        <w:t>）业务。即，如单个基金账户在代销机构对A、B类份额加总日累计申请金额/对D、E类份额加总日累计申请金额超过3000万元，按申请金额从大到小进行排序，若存在单笔金额超过3000万元的申请，则对该笔申请不超过3000万元（含3000万元）的部分予以确认，其余部分管理人有权不予确认；若单笔金额均未超过3000万元，则对逐笔累加至符合不超过3000万元限额（含3000万元）的申请予以确认，其余部分管理人有权不予确认。</w:t>
      </w:r>
      <w:r>
        <w:rPr>
          <w:rFonts w:hint="eastAsia"/>
          <w:szCs w:val="21"/>
        </w:rPr>
        <w:br/>
        <w:t xml:space="preserve">　　（3）暂停办理上述业务期间，本基金相关份额的赎回业务不受影响。</w:t>
      </w:r>
      <w:r>
        <w:rPr>
          <w:rFonts w:hint="eastAsia"/>
          <w:szCs w:val="21"/>
        </w:rPr>
        <w:br/>
        <w:t xml:space="preserve">　　（4）本基金恢复办理本公告相关业务的时间将另行公告。</w:t>
      </w:r>
      <w:r>
        <w:rPr>
          <w:rFonts w:hint="eastAsia"/>
          <w:szCs w:val="21"/>
        </w:rPr>
        <w:br/>
        <w:t xml:space="preserve">　　（5）如有疑问，投资者可登录公司网站：www.dfham.com查询或拨打客户服务热线：400--9200--808咨询。</w:t>
      </w:r>
      <w:r>
        <w:rPr>
          <w:rFonts w:hint="eastAsia"/>
          <w:szCs w:val="21"/>
        </w:rPr>
        <w:br/>
        <w:t xml:space="preserve">　　（6）风险提示：本公司承诺以诚实信用、勤勉尽责的原则管理和运用基金资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购买货币市场基金并不等于将资金作为存款存放在银行或存款类金融机构。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w:t>
      </w:r>
      <w:r>
        <w:rPr>
          <w:rFonts w:hint="eastAsia"/>
          <w:szCs w:val="21"/>
        </w:rPr>
        <w:br/>
        <w:t xml:space="preserve">　　特此公告。</w:t>
      </w:r>
    </w:p>
    <w:p w:rsidR="0099232E" w:rsidRDefault="0099232E">
      <w:pPr>
        <w:spacing w:line="360" w:lineRule="auto"/>
        <w:ind w:firstLineChars="600" w:firstLine="1446"/>
        <w:jc w:val="right"/>
        <w:rPr>
          <w:rFonts w:hint="eastAsia"/>
          <w:b/>
          <w:bCs/>
          <w:sz w:val="24"/>
          <w:szCs w:val="30"/>
        </w:rPr>
      </w:pPr>
      <w:r>
        <w:rPr>
          <w:rFonts w:hint="eastAsia"/>
          <w:b/>
          <w:bCs/>
          <w:sz w:val="24"/>
          <w:szCs w:val="30"/>
        </w:rPr>
        <w:t xml:space="preserve">　</w:t>
      </w:r>
    </w:p>
    <w:p w:rsidR="0099232E" w:rsidRDefault="0099232E">
      <w:pPr>
        <w:spacing w:line="360" w:lineRule="auto"/>
        <w:ind w:firstLineChars="600" w:firstLine="1446"/>
        <w:jc w:val="right"/>
        <w:rPr>
          <w:rFonts w:hint="eastAsia"/>
          <w:b/>
          <w:bCs/>
          <w:sz w:val="24"/>
          <w:szCs w:val="30"/>
        </w:rPr>
      </w:pPr>
      <w:r>
        <w:rPr>
          <w:rFonts w:hint="eastAsia"/>
          <w:b/>
          <w:bCs/>
          <w:sz w:val="24"/>
          <w:szCs w:val="30"/>
        </w:rPr>
        <w:t xml:space="preserve">　</w:t>
      </w:r>
    </w:p>
    <w:p w:rsidR="0099232E" w:rsidRDefault="0099232E">
      <w:pPr>
        <w:spacing w:line="360" w:lineRule="auto"/>
        <w:ind w:firstLineChars="600" w:firstLine="1446"/>
        <w:jc w:val="right"/>
        <w:rPr>
          <w:rFonts w:hint="eastAsia"/>
        </w:rPr>
      </w:pPr>
      <w:r>
        <w:rPr>
          <w:rFonts w:hint="eastAsia"/>
          <w:b/>
          <w:bCs/>
          <w:sz w:val="24"/>
          <w:szCs w:val="24"/>
        </w:rPr>
        <w:t>上海东方证券资产管理有限公司</w:t>
      </w:r>
    </w:p>
    <w:p w:rsidR="0099232E" w:rsidRDefault="0099232E">
      <w:pPr>
        <w:spacing w:line="360" w:lineRule="auto"/>
        <w:ind w:firstLineChars="600" w:firstLine="1446"/>
        <w:jc w:val="right"/>
        <w:rPr>
          <w:rFonts w:hint="eastAsia"/>
        </w:rPr>
      </w:pPr>
      <w:r>
        <w:rPr>
          <w:rFonts w:hint="eastAsia"/>
          <w:b/>
          <w:bCs/>
          <w:sz w:val="24"/>
          <w:szCs w:val="24"/>
        </w:rPr>
        <w:t>2023年09月06日</w:t>
      </w:r>
      <w:bookmarkEnd w:id="22"/>
    </w:p>
    <w:sectPr w:rsidR="0099232E">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77B" w:rsidRDefault="00CD677B">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CD677B" w:rsidRDefault="00CD677B">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2E" w:rsidRDefault="0099232E">
    <w:pPr>
      <w:jc w:val="center"/>
      <w:rPr>
        <w:rFonts w:hint="eastAsia"/>
      </w:rPr>
    </w:pPr>
    <w:r>
      <w:rPr>
        <w:rFonts w:hint="eastAsia"/>
        <w:sz w:val="18"/>
        <w:szCs w:val="18"/>
      </w:rPr>
      <w:t>第</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41D72">
      <w:rPr>
        <w:noProof/>
        <w:sz w:val="18"/>
        <w:szCs w:val="18"/>
      </w:rPr>
      <w:t>2</w:t>
    </w:r>
    <w:r>
      <w:rPr>
        <w:rFonts w:hint="eastAsia"/>
        <w:sz w:val="18"/>
        <w:szCs w:val="18"/>
      </w:rPr>
      <w:fldChar w:fldCharType="end"/>
    </w:r>
    <w:r>
      <w:rPr>
        <w:rFonts w:hint="eastAsia"/>
        <w:sz w:val="18"/>
        <w:szCs w:val="18"/>
        <w:lang w:val="zh-CN"/>
      </w:rPr>
      <w:t>页共</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41D72">
      <w:rPr>
        <w:noProof/>
        <w:sz w:val="18"/>
        <w:szCs w:val="18"/>
      </w:rPr>
      <w:t>2</w:t>
    </w:r>
    <w:r>
      <w:rPr>
        <w:rFonts w:hint="eastAsia"/>
        <w:sz w:val="18"/>
        <w:szCs w:val="18"/>
      </w:rPr>
      <w:fldChar w:fldCharType="end"/>
    </w:r>
    <w:r>
      <w:rPr>
        <w:rFonts w:hint="eastAsia"/>
        <w:sz w:val="18"/>
        <w:szCs w:val="1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77B" w:rsidRDefault="00CD677B">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CD677B" w:rsidRDefault="00CD677B">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2E" w:rsidRDefault="0099232E">
    <w:pPr>
      <w:pStyle w:val="a8"/>
      <w:jc w:val="right"/>
      <w:rPr>
        <w:rFonts w:hint="eastAsia"/>
      </w:rPr>
    </w:pPr>
    <w:r>
      <w:rPr>
        <w:rFonts w:hint="eastAsia"/>
      </w:rPr>
      <w:t>关于东方红货币市场基金调整大额申购（含定期定额投资、转换转入）业务金额限制的公告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activeWritingStyle w:appName="MSWord" w:lang="zh-TW" w:vendorID="64" w:dllVersion="0" w:nlCheck="1" w:checkStyle="1"/>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2C07"/>
    <w:rsid w:val="000024D0"/>
    <w:rsid w:val="00065C4E"/>
    <w:rsid w:val="00280976"/>
    <w:rsid w:val="00293297"/>
    <w:rsid w:val="00441D72"/>
    <w:rsid w:val="006262C0"/>
    <w:rsid w:val="008B2C07"/>
    <w:rsid w:val="008D3B7C"/>
    <w:rsid w:val="0099232E"/>
    <w:rsid w:val="009F4D89"/>
    <w:rsid w:val="00CD677B"/>
    <w:rsid w:val="00DD5EF4"/>
    <w:rsid w:val="00E570B4"/>
    <w:rsid w:val="00EA32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paragraph" w:styleId="af9">
    <w:name w:val="Revision"/>
    <w:hidden/>
    <w:uiPriority w:val="99"/>
    <w:semiHidden/>
    <w:rsid w:val="008D3B7C"/>
    <w:rPr>
      <w:rFonts w:cs="宋体"/>
      <w:kern w:val="2"/>
      <w:sz w:val="21"/>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9BFB-8E51-4982-A5C5-250D68D5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1653</Characters>
  <Application>Microsoft Office Word</Application>
  <DocSecurity>4</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2023-09-05T16:02:00Z</dcterms:created>
  <dcterms:modified xsi:type="dcterms:W3CDTF">2023-09-05T16:02:00Z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