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56" w:rsidRPr="009D660F" w:rsidRDefault="00FC7A8A" w:rsidP="009C3FC3">
      <w:pPr>
        <w:widowControl/>
        <w:shd w:val="clear" w:color="auto" w:fill="FFFFFF"/>
        <w:spacing w:line="360" w:lineRule="auto"/>
        <w:jc w:val="center"/>
        <w:outlineLvl w:val="2"/>
        <w:rPr>
          <w:rFonts w:asciiTheme="majorEastAsia" w:eastAsiaTheme="majorEastAsia" w:hAnsiTheme="majorEastAsia" w:cs="Arial"/>
          <w:b/>
          <w:bCs/>
          <w:kern w:val="0"/>
          <w:sz w:val="24"/>
          <w:szCs w:val="24"/>
        </w:rPr>
      </w:pPr>
      <w:r w:rsidRPr="009D660F">
        <w:rPr>
          <w:rFonts w:asciiTheme="majorEastAsia" w:eastAsiaTheme="majorEastAsia" w:hAnsiTheme="majorEastAsia" w:cs="Arial"/>
          <w:b/>
          <w:bCs/>
          <w:kern w:val="0"/>
          <w:sz w:val="24"/>
          <w:szCs w:val="24"/>
        </w:rPr>
        <w:t>新华</w:t>
      </w:r>
      <w:r w:rsidR="00EB5B0D" w:rsidRPr="009D660F">
        <w:rPr>
          <w:rFonts w:asciiTheme="majorEastAsia" w:eastAsiaTheme="majorEastAsia" w:hAnsiTheme="majorEastAsia" w:cs="Arial"/>
          <w:b/>
          <w:bCs/>
          <w:kern w:val="0"/>
          <w:sz w:val="24"/>
          <w:szCs w:val="24"/>
        </w:rPr>
        <w:t>基金管理股份有限公司</w:t>
      </w:r>
    </w:p>
    <w:p w:rsidR="00862756" w:rsidRPr="009D660F" w:rsidRDefault="00FC7A8A" w:rsidP="009C3FC3">
      <w:pPr>
        <w:widowControl/>
        <w:shd w:val="clear" w:color="auto" w:fill="FFFFFF"/>
        <w:spacing w:line="360" w:lineRule="auto"/>
        <w:jc w:val="center"/>
        <w:outlineLvl w:val="2"/>
        <w:rPr>
          <w:rFonts w:asciiTheme="majorEastAsia" w:eastAsiaTheme="majorEastAsia" w:hAnsiTheme="majorEastAsia" w:cs="Arial"/>
          <w:b/>
          <w:bCs/>
          <w:kern w:val="0"/>
          <w:sz w:val="24"/>
          <w:szCs w:val="24"/>
        </w:rPr>
      </w:pPr>
      <w:r w:rsidRPr="009D660F">
        <w:rPr>
          <w:rFonts w:asciiTheme="majorEastAsia" w:eastAsiaTheme="majorEastAsia" w:hAnsiTheme="majorEastAsia" w:cs="Arial"/>
          <w:b/>
          <w:bCs/>
          <w:kern w:val="0"/>
          <w:sz w:val="24"/>
          <w:szCs w:val="24"/>
        </w:rPr>
        <w:t>关于旗下部分</w:t>
      </w:r>
      <w:r w:rsidR="002C0312" w:rsidRPr="009D660F">
        <w:rPr>
          <w:rFonts w:asciiTheme="majorEastAsia" w:eastAsiaTheme="majorEastAsia" w:hAnsiTheme="majorEastAsia" w:cs="Arial" w:hint="eastAsia"/>
          <w:b/>
          <w:bCs/>
          <w:kern w:val="0"/>
          <w:sz w:val="24"/>
          <w:szCs w:val="24"/>
        </w:rPr>
        <w:t>基金参加</w:t>
      </w:r>
      <w:r w:rsidR="00B85947" w:rsidRPr="00B85947">
        <w:rPr>
          <w:rFonts w:asciiTheme="majorEastAsia" w:eastAsiaTheme="majorEastAsia" w:hAnsiTheme="majorEastAsia" w:cs="Arial" w:hint="eastAsia"/>
          <w:b/>
          <w:bCs/>
          <w:kern w:val="0"/>
          <w:sz w:val="24"/>
          <w:szCs w:val="24"/>
        </w:rPr>
        <w:t>广发银行股份有限公司</w:t>
      </w:r>
    </w:p>
    <w:p w:rsidR="00FC7A8A" w:rsidRPr="009D660F" w:rsidRDefault="00E96C48" w:rsidP="009C3FC3">
      <w:pPr>
        <w:widowControl/>
        <w:shd w:val="clear" w:color="auto" w:fill="FFFFFF"/>
        <w:spacing w:line="360" w:lineRule="auto"/>
        <w:jc w:val="center"/>
        <w:outlineLvl w:val="2"/>
        <w:rPr>
          <w:rFonts w:asciiTheme="majorEastAsia" w:eastAsiaTheme="majorEastAsia" w:hAnsiTheme="majorEastAsia" w:cs="Arial"/>
          <w:b/>
          <w:bCs/>
          <w:kern w:val="0"/>
          <w:sz w:val="24"/>
          <w:szCs w:val="24"/>
        </w:rPr>
      </w:pPr>
      <w:r w:rsidRPr="009D660F">
        <w:rPr>
          <w:rFonts w:asciiTheme="majorEastAsia" w:eastAsiaTheme="majorEastAsia" w:hAnsiTheme="majorEastAsia" w:cs="Arial" w:hint="eastAsia"/>
          <w:b/>
          <w:bCs/>
          <w:kern w:val="0"/>
          <w:sz w:val="24"/>
          <w:szCs w:val="24"/>
        </w:rPr>
        <w:t>基金申购</w:t>
      </w:r>
      <w:r w:rsidR="00431B7C">
        <w:rPr>
          <w:rFonts w:asciiTheme="majorEastAsia" w:eastAsiaTheme="majorEastAsia" w:hAnsiTheme="majorEastAsia" w:cs="Arial" w:hint="eastAsia"/>
          <w:b/>
          <w:bCs/>
          <w:kern w:val="0"/>
          <w:sz w:val="24"/>
          <w:szCs w:val="24"/>
        </w:rPr>
        <w:t>（含</w:t>
      </w:r>
      <w:r w:rsidRPr="009D660F">
        <w:rPr>
          <w:rFonts w:asciiTheme="majorEastAsia" w:eastAsiaTheme="majorEastAsia" w:hAnsiTheme="majorEastAsia" w:cs="Arial" w:hint="eastAsia"/>
          <w:b/>
          <w:bCs/>
          <w:kern w:val="0"/>
          <w:sz w:val="24"/>
          <w:szCs w:val="24"/>
        </w:rPr>
        <w:t>定期定额</w:t>
      </w:r>
      <w:r w:rsidR="00431B7C">
        <w:rPr>
          <w:rFonts w:asciiTheme="majorEastAsia" w:eastAsiaTheme="majorEastAsia" w:hAnsiTheme="majorEastAsia" w:cs="Arial" w:hint="eastAsia"/>
          <w:b/>
          <w:bCs/>
          <w:kern w:val="0"/>
          <w:sz w:val="24"/>
          <w:szCs w:val="24"/>
        </w:rPr>
        <w:t>申投资）</w:t>
      </w:r>
      <w:r w:rsidRPr="009D660F">
        <w:rPr>
          <w:rFonts w:asciiTheme="majorEastAsia" w:eastAsiaTheme="majorEastAsia" w:hAnsiTheme="majorEastAsia" w:cs="Arial" w:hint="eastAsia"/>
          <w:b/>
          <w:bCs/>
          <w:kern w:val="0"/>
          <w:sz w:val="24"/>
          <w:szCs w:val="24"/>
        </w:rPr>
        <w:t>费率优惠活动</w:t>
      </w:r>
      <w:r w:rsidR="00FC7A8A" w:rsidRPr="009D660F">
        <w:rPr>
          <w:rFonts w:asciiTheme="majorEastAsia" w:eastAsiaTheme="majorEastAsia" w:hAnsiTheme="majorEastAsia" w:cs="Arial"/>
          <w:b/>
          <w:bCs/>
          <w:kern w:val="0"/>
          <w:sz w:val="24"/>
          <w:szCs w:val="24"/>
        </w:rPr>
        <w:t>的公告</w:t>
      </w:r>
    </w:p>
    <w:p w:rsidR="009A19B3" w:rsidRPr="009D660F" w:rsidRDefault="004631BA" w:rsidP="009C3FC3">
      <w:pPr>
        <w:widowControl/>
        <w:snapToGrid w:val="0"/>
        <w:spacing w:line="360" w:lineRule="auto"/>
        <w:ind w:firstLineChars="200" w:firstLine="420"/>
        <w:jc w:val="left"/>
        <w:rPr>
          <w:rFonts w:asciiTheme="majorEastAsia" w:eastAsiaTheme="majorEastAsia" w:hAnsiTheme="majorEastAsia" w:cs="宋体"/>
          <w:color w:val="000000" w:themeColor="text1"/>
          <w:szCs w:val="21"/>
        </w:rPr>
      </w:pPr>
      <w:r w:rsidRPr="009D660F">
        <w:rPr>
          <w:rFonts w:asciiTheme="majorEastAsia" w:eastAsiaTheme="majorEastAsia" w:hAnsiTheme="majorEastAsia" w:cs="宋体" w:hint="eastAsia"/>
          <w:color w:val="000000" w:themeColor="text1"/>
          <w:szCs w:val="21"/>
        </w:rPr>
        <w:t xml:space="preserve">                     公告送出日期：</w:t>
      </w:r>
      <w:r w:rsidR="009467D5" w:rsidRPr="009D660F">
        <w:rPr>
          <w:rFonts w:asciiTheme="majorEastAsia" w:eastAsiaTheme="majorEastAsia" w:hAnsiTheme="majorEastAsia" w:cs="宋体" w:hint="eastAsia"/>
          <w:color w:val="000000" w:themeColor="text1"/>
          <w:szCs w:val="21"/>
        </w:rPr>
        <w:t>202</w:t>
      </w:r>
      <w:r w:rsidR="00077B24">
        <w:rPr>
          <w:rFonts w:asciiTheme="majorEastAsia" w:eastAsiaTheme="majorEastAsia" w:hAnsiTheme="majorEastAsia" w:cs="宋体"/>
          <w:color w:val="000000" w:themeColor="text1"/>
          <w:szCs w:val="21"/>
        </w:rPr>
        <w:t>3</w:t>
      </w:r>
      <w:r w:rsidR="009467D5" w:rsidRPr="009D660F">
        <w:rPr>
          <w:rFonts w:asciiTheme="majorEastAsia" w:eastAsiaTheme="majorEastAsia" w:hAnsiTheme="majorEastAsia" w:cs="宋体" w:hint="eastAsia"/>
          <w:color w:val="000000" w:themeColor="text1"/>
          <w:szCs w:val="21"/>
        </w:rPr>
        <w:t>年</w:t>
      </w:r>
      <w:r w:rsidR="00B85947">
        <w:rPr>
          <w:rFonts w:asciiTheme="majorEastAsia" w:eastAsiaTheme="majorEastAsia" w:hAnsiTheme="majorEastAsia" w:cs="宋体"/>
          <w:color w:val="000000" w:themeColor="text1"/>
          <w:szCs w:val="21"/>
        </w:rPr>
        <w:t>9</w:t>
      </w:r>
      <w:r w:rsidR="009467D5" w:rsidRPr="009D660F">
        <w:rPr>
          <w:rFonts w:asciiTheme="majorEastAsia" w:eastAsiaTheme="majorEastAsia" w:hAnsiTheme="majorEastAsia" w:cs="宋体" w:hint="eastAsia"/>
          <w:color w:val="000000" w:themeColor="text1"/>
          <w:szCs w:val="21"/>
        </w:rPr>
        <w:t>月</w:t>
      </w:r>
      <w:r w:rsidR="00B85947">
        <w:rPr>
          <w:rFonts w:asciiTheme="majorEastAsia" w:eastAsiaTheme="majorEastAsia" w:hAnsiTheme="majorEastAsia" w:cs="宋体"/>
          <w:color w:val="000000" w:themeColor="text1"/>
          <w:szCs w:val="21"/>
        </w:rPr>
        <w:t>5</w:t>
      </w:r>
      <w:r w:rsidR="009467D5" w:rsidRPr="009D660F">
        <w:rPr>
          <w:rFonts w:asciiTheme="majorEastAsia" w:eastAsiaTheme="majorEastAsia" w:hAnsiTheme="majorEastAsia" w:cs="宋体" w:hint="eastAsia"/>
          <w:color w:val="000000" w:themeColor="text1"/>
          <w:szCs w:val="21"/>
        </w:rPr>
        <w:t>日</w:t>
      </w:r>
    </w:p>
    <w:p w:rsidR="004631BA" w:rsidRPr="00B85947" w:rsidRDefault="004631BA" w:rsidP="009C3FC3">
      <w:pPr>
        <w:widowControl/>
        <w:snapToGrid w:val="0"/>
        <w:spacing w:line="360" w:lineRule="auto"/>
        <w:ind w:firstLineChars="200" w:firstLine="420"/>
        <w:jc w:val="left"/>
        <w:rPr>
          <w:rFonts w:asciiTheme="majorEastAsia" w:eastAsiaTheme="majorEastAsia" w:hAnsiTheme="majorEastAsia" w:cs="宋体"/>
          <w:color w:val="000000" w:themeColor="text1"/>
          <w:szCs w:val="21"/>
        </w:rPr>
      </w:pPr>
    </w:p>
    <w:p w:rsidR="00072C1A" w:rsidRPr="009D660F" w:rsidRDefault="00431B7C" w:rsidP="00431B7C">
      <w:pPr>
        <w:widowControl/>
        <w:snapToGrid w:val="0"/>
        <w:spacing w:line="360" w:lineRule="auto"/>
        <w:ind w:firstLineChars="200" w:firstLine="480"/>
        <w:jc w:val="left"/>
        <w:rPr>
          <w:rFonts w:asciiTheme="majorEastAsia" w:eastAsiaTheme="majorEastAsia" w:hAnsiTheme="majorEastAsia" w:cs="宋体"/>
          <w:sz w:val="24"/>
          <w:szCs w:val="24"/>
        </w:rPr>
      </w:pPr>
      <w:r w:rsidRPr="00431B7C">
        <w:rPr>
          <w:rFonts w:asciiTheme="majorEastAsia" w:eastAsiaTheme="majorEastAsia" w:hAnsiTheme="majorEastAsia" w:cs="宋体" w:hint="eastAsia"/>
          <w:color w:val="000000"/>
          <w:sz w:val="24"/>
          <w:szCs w:val="24"/>
        </w:rPr>
        <w:t>为探索开展基金销售业务，给客户提供更优质的金融服务</w:t>
      </w:r>
      <w:r>
        <w:rPr>
          <w:rFonts w:asciiTheme="majorEastAsia" w:eastAsiaTheme="majorEastAsia" w:hAnsiTheme="majorEastAsia" w:cs="宋体" w:hint="eastAsia"/>
          <w:color w:val="000000"/>
          <w:sz w:val="24"/>
          <w:szCs w:val="24"/>
        </w:rPr>
        <w:t>和用户体验</w:t>
      </w:r>
      <w:r w:rsidR="00072C1A" w:rsidRPr="009D660F">
        <w:rPr>
          <w:rFonts w:asciiTheme="majorEastAsia" w:eastAsiaTheme="majorEastAsia" w:hAnsiTheme="majorEastAsia" w:cs="宋体" w:hint="eastAsia"/>
          <w:color w:val="000000"/>
          <w:sz w:val="24"/>
          <w:szCs w:val="24"/>
        </w:rPr>
        <w:t>，新华基金管理股份有限公司（以下简称“本公司”）经与</w:t>
      </w:r>
      <w:r w:rsidR="00B85947" w:rsidRPr="00B85947">
        <w:rPr>
          <w:rFonts w:asciiTheme="majorEastAsia" w:eastAsiaTheme="majorEastAsia" w:hAnsiTheme="majorEastAsia" w:cs="宋体" w:hint="eastAsia"/>
          <w:bCs/>
          <w:sz w:val="24"/>
          <w:szCs w:val="24"/>
        </w:rPr>
        <w:t>广发银行股份有限公司</w:t>
      </w:r>
      <w:r w:rsidR="00072C1A" w:rsidRPr="009D660F">
        <w:rPr>
          <w:rFonts w:asciiTheme="majorEastAsia" w:eastAsiaTheme="majorEastAsia" w:hAnsiTheme="majorEastAsia" w:cs="宋体" w:hint="eastAsia"/>
          <w:sz w:val="24"/>
          <w:szCs w:val="24"/>
        </w:rPr>
        <w:t>（以下简称“</w:t>
      </w:r>
      <w:r w:rsidR="00B85947">
        <w:rPr>
          <w:rFonts w:asciiTheme="majorEastAsia" w:eastAsiaTheme="majorEastAsia" w:hAnsiTheme="majorEastAsia" w:cs="宋体" w:hint="eastAsia"/>
          <w:sz w:val="24"/>
          <w:szCs w:val="24"/>
        </w:rPr>
        <w:t>广发银行</w:t>
      </w:r>
      <w:r w:rsidR="00072C1A" w:rsidRPr="009D660F">
        <w:rPr>
          <w:rFonts w:asciiTheme="majorEastAsia" w:eastAsiaTheme="majorEastAsia" w:hAnsiTheme="majorEastAsia" w:cs="宋体" w:hint="eastAsia"/>
          <w:sz w:val="24"/>
          <w:szCs w:val="24"/>
        </w:rPr>
        <w:t>”）协商一致，</w:t>
      </w:r>
      <w:r w:rsidR="00072C1A" w:rsidRPr="009D660F">
        <w:rPr>
          <w:rFonts w:asciiTheme="majorEastAsia" w:eastAsiaTheme="majorEastAsia" w:hAnsiTheme="majorEastAsia" w:cs="宋体" w:hint="eastAsia"/>
          <w:color w:val="000000"/>
          <w:sz w:val="24"/>
          <w:szCs w:val="24"/>
        </w:rPr>
        <w:t>决定</w:t>
      </w:r>
      <w:r w:rsidR="00077B24" w:rsidRPr="00077B24">
        <w:rPr>
          <w:rFonts w:asciiTheme="majorEastAsia" w:eastAsiaTheme="majorEastAsia" w:hAnsiTheme="majorEastAsia" w:cs="宋体" w:hint="eastAsia"/>
          <w:color w:val="000000"/>
          <w:sz w:val="24"/>
          <w:szCs w:val="24"/>
        </w:rPr>
        <w:t>自2023年</w:t>
      </w:r>
      <w:r w:rsidR="00B85947">
        <w:rPr>
          <w:rFonts w:asciiTheme="majorEastAsia" w:eastAsiaTheme="majorEastAsia" w:hAnsiTheme="majorEastAsia" w:cs="宋体"/>
          <w:color w:val="000000"/>
          <w:sz w:val="24"/>
          <w:szCs w:val="24"/>
        </w:rPr>
        <w:t>9</w:t>
      </w:r>
      <w:r w:rsidR="00077B24" w:rsidRPr="00077B24">
        <w:rPr>
          <w:rFonts w:asciiTheme="majorEastAsia" w:eastAsiaTheme="majorEastAsia" w:hAnsiTheme="majorEastAsia" w:cs="宋体" w:hint="eastAsia"/>
          <w:color w:val="000000"/>
          <w:sz w:val="24"/>
          <w:szCs w:val="24"/>
        </w:rPr>
        <w:t>月</w:t>
      </w:r>
      <w:r w:rsidR="005C2048">
        <w:rPr>
          <w:rFonts w:asciiTheme="majorEastAsia" w:eastAsiaTheme="majorEastAsia" w:hAnsiTheme="majorEastAsia" w:cs="宋体"/>
          <w:color w:val="000000"/>
          <w:sz w:val="24"/>
          <w:szCs w:val="24"/>
        </w:rPr>
        <w:t>6</w:t>
      </w:r>
      <w:r w:rsidR="00077B24" w:rsidRPr="00077B24">
        <w:rPr>
          <w:rFonts w:asciiTheme="majorEastAsia" w:eastAsiaTheme="majorEastAsia" w:hAnsiTheme="majorEastAsia" w:cs="宋体" w:hint="eastAsia"/>
          <w:color w:val="000000"/>
          <w:sz w:val="24"/>
          <w:szCs w:val="24"/>
        </w:rPr>
        <w:t>日</w:t>
      </w:r>
      <w:r w:rsidR="00B85947">
        <w:rPr>
          <w:rFonts w:asciiTheme="majorEastAsia" w:eastAsiaTheme="majorEastAsia" w:hAnsiTheme="majorEastAsia" w:cs="宋体" w:hint="eastAsia"/>
          <w:color w:val="000000"/>
          <w:sz w:val="24"/>
          <w:szCs w:val="24"/>
        </w:rPr>
        <w:t>起</w:t>
      </w:r>
      <w:r w:rsidR="00072C1A" w:rsidRPr="009D660F">
        <w:rPr>
          <w:rFonts w:asciiTheme="majorEastAsia" w:eastAsiaTheme="majorEastAsia" w:hAnsiTheme="majorEastAsia" w:cs="宋体" w:hint="eastAsia"/>
          <w:color w:val="000000"/>
          <w:sz w:val="24"/>
          <w:szCs w:val="24"/>
        </w:rPr>
        <w:t>，本公司旗下部分基金</w:t>
      </w:r>
      <w:r w:rsidR="00077B24">
        <w:rPr>
          <w:rFonts w:asciiTheme="majorEastAsia" w:eastAsiaTheme="majorEastAsia" w:hAnsiTheme="majorEastAsia" w:cs="宋体" w:hint="eastAsia"/>
          <w:sz w:val="24"/>
          <w:szCs w:val="24"/>
        </w:rPr>
        <w:t>参加</w:t>
      </w:r>
      <w:r w:rsidR="00B85947">
        <w:rPr>
          <w:rFonts w:asciiTheme="majorEastAsia" w:eastAsiaTheme="majorEastAsia" w:hAnsiTheme="majorEastAsia" w:cs="宋体" w:hint="eastAsia"/>
          <w:sz w:val="24"/>
          <w:szCs w:val="24"/>
        </w:rPr>
        <w:t>广发银行</w:t>
      </w:r>
      <w:r w:rsidR="002C401C" w:rsidRPr="002C401C">
        <w:rPr>
          <w:rFonts w:asciiTheme="majorEastAsia" w:eastAsiaTheme="majorEastAsia" w:hAnsiTheme="majorEastAsia" w:cs="宋体" w:hint="eastAsia"/>
          <w:sz w:val="24"/>
          <w:szCs w:val="24"/>
        </w:rPr>
        <w:t>申购（含定期定额申投资）</w:t>
      </w:r>
      <w:r w:rsidR="00072C1A" w:rsidRPr="009D660F">
        <w:rPr>
          <w:rFonts w:asciiTheme="majorEastAsia" w:eastAsiaTheme="majorEastAsia" w:hAnsiTheme="majorEastAsia" w:cs="宋体" w:hint="eastAsia"/>
          <w:sz w:val="24"/>
          <w:szCs w:val="24"/>
        </w:rPr>
        <w:t>的费率优惠活动。</w:t>
      </w:r>
      <w:bookmarkStart w:id="0" w:name="_GoBack"/>
      <w:bookmarkEnd w:id="0"/>
    </w:p>
    <w:p w:rsidR="009C3FC3" w:rsidRPr="009D660F" w:rsidRDefault="00072C1A" w:rsidP="009D660F">
      <w:pPr>
        <w:spacing w:line="360" w:lineRule="auto"/>
        <w:ind w:firstLineChars="200" w:firstLine="480"/>
        <w:rPr>
          <w:rFonts w:asciiTheme="majorEastAsia" w:eastAsiaTheme="majorEastAsia" w:hAnsiTheme="majorEastAsia"/>
          <w:sz w:val="24"/>
          <w:szCs w:val="24"/>
        </w:rPr>
      </w:pPr>
      <w:r w:rsidRPr="009D660F">
        <w:rPr>
          <w:rFonts w:asciiTheme="majorEastAsia" w:eastAsiaTheme="majorEastAsia" w:hAnsiTheme="majorEastAsia" w:hint="eastAsia"/>
          <w:sz w:val="24"/>
          <w:szCs w:val="24"/>
        </w:rPr>
        <w:t>定期定额投资（以下简称“定投”）是基金申购的一种业务方式，指在一定的投资期间内投资者在固定时间、以固定金额定期申购基金。</w:t>
      </w:r>
    </w:p>
    <w:p w:rsidR="00FD192F" w:rsidRPr="009D660F" w:rsidRDefault="00FD192F" w:rsidP="009D660F">
      <w:pPr>
        <w:spacing w:line="360" w:lineRule="auto"/>
        <w:ind w:firstLineChars="200" w:firstLine="482"/>
        <w:rPr>
          <w:rFonts w:asciiTheme="majorEastAsia" w:eastAsiaTheme="majorEastAsia" w:hAnsiTheme="majorEastAsia"/>
          <w:sz w:val="24"/>
          <w:szCs w:val="24"/>
        </w:rPr>
      </w:pPr>
      <w:r w:rsidRPr="009D660F">
        <w:rPr>
          <w:rFonts w:asciiTheme="majorEastAsia" w:eastAsiaTheme="majorEastAsia" w:hAnsiTheme="majorEastAsia" w:hint="eastAsia"/>
          <w:b/>
          <w:bCs/>
          <w:sz w:val="24"/>
          <w:szCs w:val="24"/>
        </w:rPr>
        <w:t>一、适用投资者范围</w:t>
      </w:r>
    </w:p>
    <w:p w:rsidR="00A608D0" w:rsidRPr="00A608D0" w:rsidRDefault="00A608D0" w:rsidP="00A608D0">
      <w:pPr>
        <w:widowControl/>
        <w:snapToGrid w:val="0"/>
        <w:spacing w:line="360" w:lineRule="auto"/>
        <w:ind w:firstLineChars="200" w:firstLine="480"/>
        <w:jc w:val="left"/>
        <w:rPr>
          <w:rFonts w:asciiTheme="majorEastAsia" w:eastAsiaTheme="majorEastAsia" w:hAnsiTheme="majorEastAsia"/>
          <w:sz w:val="24"/>
          <w:szCs w:val="24"/>
        </w:rPr>
      </w:pPr>
      <w:r w:rsidRPr="00A608D0">
        <w:rPr>
          <w:rFonts w:asciiTheme="majorEastAsia" w:eastAsiaTheme="majorEastAsia" w:hAnsiTheme="majorEastAsia" w:hint="eastAsia"/>
          <w:sz w:val="24"/>
          <w:szCs w:val="24"/>
        </w:rPr>
        <w:t>（一） 投资者范围：通过</w:t>
      </w:r>
      <w:r w:rsidR="00B85947">
        <w:rPr>
          <w:rFonts w:asciiTheme="majorEastAsia" w:eastAsiaTheme="majorEastAsia" w:hAnsiTheme="majorEastAsia" w:hint="eastAsia"/>
          <w:sz w:val="24"/>
          <w:szCs w:val="24"/>
        </w:rPr>
        <w:t>广发银行</w:t>
      </w:r>
      <w:r w:rsidR="00B85947" w:rsidRPr="00B85947">
        <w:rPr>
          <w:rFonts w:asciiTheme="majorEastAsia" w:eastAsiaTheme="majorEastAsia" w:hAnsiTheme="majorEastAsia" w:hint="eastAsia"/>
          <w:sz w:val="24"/>
          <w:szCs w:val="24"/>
        </w:rPr>
        <w:t>发现精彩APP、云闪付、华为钱包、天翼</w:t>
      </w:r>
      <w:r w:rsidRPr="00A608D0">
        <w:rPr>
          <w:rFonts w:asciiTheme="majorEastAsia" w:eastAsiaTheme="majorEastAsia" w:hAnsiTheme="majorEastAsia" w:hint="eastAsia"/>
          <w:sz w:val="24"/>
          <w:szCs w:val="24"/>
        </w:rPr>
        <w:t>等移动平台申购指定的开放式基金产品的合法个人及机构投资者。</w:t>
      </w:r>
    </w:p>
    <w:p w:rsidR="00A608D0" w:rsidRDefault="00A608D0" w:rsidP="00A608D0">
      <w:pPr>
        <w:widowControl/>
        <w:snapToGrid w:val="0"/>
        <w:spacing w:line="360" w:lineRule="auto"/>
        <w:ind w:firstLineChars="200" w:firstLine="480"/>
        <w:jc w:val="left"/>
        <w:rPr>
          <w:rFonts w:asciiTheme="majorEastAsia" w:eastAsiaTheme="majorEastAsia" w:hAnsiTheme="majorEastAsia"/>
          <w:sz w:val="24"/>
          <w:szCs w:val="24"/>
        </w:rPr>
      </w:pPr>
      <w:r w:rsidRPr="00A608D0">
        <w:rPr>
          <w:rFonts w:asciiTheme="majorEastAsia" w:eastAsiaTheme="majorEastAsia" w:hAnsiTheme="majorEastAsia" w:hint="eastAsia"/>
          <w:sz w:val="24"/>
          <w:szCs w:val="24"/>
        </w:rPr>
        <w:t>（二） 产品范围：通过</w:t>
      </w:r>
      <w:r w:rsidR="00DC6BB2">
        <w:rPr>
          <w:rFonts w:asciiTheme="majorEastAsia" w:eastAsiaTheme="majorEastAsia" w:hAnsiTheme="majorEastAsia" w:hint="eastAsia"/>
          <w:sz w:val="24"/>
          <w:szCs w:val="24"/>
        </w:rPr>
        <w:t>广发银行</w:t>
      </w:r>
      <w:r w:rsidR="00DC6BB2" w:rsidRPr="00B85947">
        <w:rPr>
          <w:rFonts w:asciiTheme="majorEastAsia" w:eastAsiaTheme="majorEastAsia" w:hAnsiTheme="majorEastAsia" w:hint="eastAsia"/>
          <w:sz w:val="24"/>
          <w:szCs w:val="24"/>
        </w:rPr>
        <w:t>发现精彩APP、云闪付、华为钱包、天翼</w:t>
      </w:r>
      <w:r w:rsidR="00DC6BB2" w:rsidRPr="00A608D0">
        <w:rPr>
          <w:rFonts w:asciiTheme="majorEastAsia" w:eastAsiaTheme="majorEastAsia" w:hAnsiTheme="majorEastAsia" w:hint="eastAsia"/>
          <w:sz w:val="24"/>
          <w:szCs w:val="24"/>
        </w:rPr>
        <w:t>等移动平台</w:t>
      </w:r>
      <w:r w:rsidRPr="00A608D0">
        <w:rPr>
          <w:rFonts w:asciiTheme="majorEastAsia" w:eastAsiaTheme="majorEastAsia" w:hAnsiTheme="majorEastAsia" w:hint="eastAsia"/>
          <w:sz w:val="24"/>
          <w:szCs w:val="24"/>
        </w:rPr>
        <w:t>申购或定期定额申购指定基金公司的前端收费模式的基金</w:t>
      </w:r>
      <w:r>
        <w:rPr>
          <w:rFonts w:asciiTheme="majorEastAsia" w:eastAsiaTheme="majorEastAsia" w:hAnsiTheme="majorEastAsia" w:hint="eastAsia"/>
          <w:sz w:val="24"/>
          <w:szCs w:val="24"/>
        </w:rPr>
        <w:t>。</w:t>
      </w:r>
    </w:p>
    <w:p w:rsidR="00C00D8A" w:rsidRDefault="00FD192F" w:rsidP="00A608D0">
      <w:pPr>
        <w:widowControl/>
        <w:snapToGrid w:val="0"/>
        <w:spacing w:line="360" w:lineRule="auto"/>
        <w:ind w:firstLineChars="200" w:firstLine="482"/>
        <w:jc w:val="left"/>
        <w:rPr>
          <w:rFonts w:asciiTheme="majorEastAsia" w:eastAsiaTheme="majorEastAsia" w:hAnsiTheme="majorEastAsia" w:cs="宋体"/>
          <w:b/>
          <w:sz w:val="24"/>
          <w:szCs w:val="24"/>
        </w:rPr>
      </w:pPr>
      <w:r w:rsidRPr="009D660F">
        <w:rPr>
          <w:rFonts w:asciiTheme="majorEastAsia" w:eastAsiaTheme="majorEastAsia" w:hAnsiTheme="majorEastAsia" w:cs="宋体" w:hint="eastAsia"/>
          <w:b/>
          <w:sz w:val="24"/>
          <w:szCs w:val="24"/>
        </w:rPr>
        <w:t>二</w:t>
      </w:r>
      <w:r w:rsidR="00C00D8A" w:rsidRPr="009D660F">
        <w:rPr>
          <w:rFonts w:asciiTheme="majorEastAsia" w:eastAsiaTheme="majorEastAsia" w:hAnsiTheme="majorEastAsia" w:cs="宋体" w:hint="eastAsia"/>
          <w:b/>
          <w:sz w:val="24"/>
          <w:szCs w:val="24"/>
        </w:rPr>
        <w:t>、适用基金</w:t>
      </w:r>
    </w:p>
    <w:tbl>
      <w:tblPr>
        <w:tblW w:w="8926" w:type="dxa"/>
        <w:tblInd w:w="113" w:type="dxa"/>
        <w:tblLook w:val="04A0"/>
      </w:tblPr>
      <w:tblGrid>
        <w:gridCol w:w="1838"/>
        <w:gridCol w:w="7088"/>
      </w:tblGrid>
      <w:tr w:rsidR="00C35115" w:rsidRPr="00C35115" w:rsidTr="00C35115">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115" w:rsidRPr="00C35115" w:rsidRDefault="00C35115" w:rsidP="00C35115">
            <w:pPr>
              <w:widowControl/>
              <w:jc w:val="center"/>
              <w:rPr>
                <w:rFonts w:ascii="宋体" w:eastAsia="宋体" w:hAnsi="宋体" w:cs="宋体"/>
                <w:b/>
                <w:color w:val="000000"/>
                <w:kern w:val="0"/>
                <w:sz w:val="24"/>
                <w:szCs w:val="24"/>
              </w:rPr>
            </w:pPr>
            <w:r w:rsidRPr="00C35115">
              <w:rPr>
                <w:rFonts w:ascii="宋体" w:eastAsia="宋体" w:hAnsi="宋体" w:cs="宋体" w:hint="eastAsia"/>
                <w:b/>
                <w:color w:val="000000"/>
                <w:kern w:val="0"/>
                <w:sz w:val="24"/>
                <w:szCs w:val="24"/>
              </w:rPr>
              <w:t>基金代码</w:t>
            </w:r>
          </w:p>
        </w:tc>
        <w:tc>
          <w:tcPr>
            <w:tcW w:w="7088" w:type="dxa"/>
            <w:tcBorders>
              <w:top w:val="single" w:sz="4" w:space="0" w:color="auto"/>
              <w:left w:val="nil"/>
              <w:bottom w:val="single" w:sz="4" w:space="0" w:color="auto"/>
              <w:right w:val="single" w:sz="4" w:space="0" w:color="auto"/>
            </w:tcBorders>
            <w:shd w:val="clear" w:color="auto" w:fill="auto"/>
            <w:noWrap/>
            <w:vAlign w:val="center"/>
            <w:hideMark/>
          </w:tcPr>
          <w:p w:rsidR="00C35115" w:rsidRPr="00C35115" w:rsidRDefault="00C35115" w:rsidP="00C35115">
            <w:pPr>
              <w:widowControl/>
              <w:jc w:val="center"/>
              <w:rPr>
                <w:rFonts w:ascii="宋体" w:eastAsia="宋体" w:hAnsi="宋体" w:cs="宋体"/>
                <w:b/>
                <w:color w:val="000000"/>
                <w:kern w:val="0"/>
                <w:sz w:val="24"/>
                <w:szCs w:val="24"/>
              </w:rPr>
            </w:pPr>
            <w:r w:rsidRPr="00C35115">
              <w:rPr>
                <w:rFonts w:ascii="宋体" w:eastAsia="宋体" w:hAnsi="宋体" w:cs="宋体" w:hint="eastAsia"/>
                <w:b/>
                <w:color w:val="000000"/>
                <w:kern w:val="0"/>
                <w:sz w:val="24"/>
                <w:szCs w:val="24"/>
              </w:rPr>
              <w:t>基金名称</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widowControl/>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000434</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新华壹诺宝货币市场基金</w:t>
            </w:r>
            <w:r w:rsidRPr="00DC6BB2">
              <w:rPr>
                <w:rFonts w:ascii="宋体" w:eastAsia="宋体" w:hAnsi="宋体" w:cs="Arial"/>
                <w:color w:val="000000"/>
                <w:sz w:val="24"/>
                <w:szCs w:val="24"/>
              </w:rPr>
              <w:t>A</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001040</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color w:val="000000"/>
                <w:sz w:val="24"/>
                <w:szCs w:val="24"/>
              </w:rPr>
              <w:t>新华策略精选股票型证券投资基金</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001682</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color w:val="000000"/>
                <w:sz w:val="24"/>
                <w:szCs w:val="24"/>
              </w:rPr>
              <w:t>新华鑫回报混合型证券投资基金</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003221</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新华丰利债券型证券投资基金</w:t>
            </w:r>
            <w:r w:rsidRPr="00DC6BB2">
              <w:rPr>
                <w:rFonts w:ascii="宋体" w:eastAsia="宋体" w:hAnsi="宋体" w:cs="Arial"/>
                <w:color w:val="000000"/>
                <w:sz w:val="24"/>
                <w:szCs w:val="24"/>
              </w:rPr>
              <w:t>A</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003222</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新华丰利债券型证券投资基金</w:t>
            </w:r>
            <w:r w:rsidRPr="00DC6BB2">
              <w:rPr>
                <w:rFonts w:ascii="宋体" w:eastAsia="宋体" w:hAnsi="宋体" w:cs="Arial"/>
                <w:color w:val="000000"/>
                <w:sz w:val="24"/>
                <w:szCs w:val="24"/>
              </w:rPr>
              <w:t>C</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003267</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新华壹诺宝货币市场基金</w:t>
            </w:r>
            <w:r w:rsidRPr="00DC6BB2">
              <w:rPr>
                <w:rFonts w:ascii="宋体" w:eastAsia="宋体" w:hAnsi="宋体" w:cs="Arial"/>
                <w:color w:val="000000"/>
                <w:sz w:val="24"/>
                <w:szCs w:val="24"/>
              </w:rPr>
              <w:t>B</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519091</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color w:val="000000"/>
                <w:sz w:val="24"/>
                <w:szCs w:val="24"/>
              </w:rPr>
              <w:t>新华泛资源优势灵活配置混合型证券投资基金</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519152</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新华纯债添利债券型发起式证券投资基金</w:t>
            </w:r>
            <w:r w:rsidRPr="00DC6BB2">
              <w:rPr>
                <w:rFonts w:ascii="宋体" w:eastAsia="宋体" w:hAnsi="宋体" w:cs="Arial"/>
                <w:color w:val="000000"/>
                <w:sz w:val="24"/>
                <w:szCs w:val="24"/>
              </w:rPr>
              <w:t>A</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519153</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新华纯债添利债券型发起式证券投资基金</w:t>
            </w:r>
            <w:r w:rsidRPr="00DC6BB2">
              <w:rPr>
                <w:rFonts w:ascii="宋体" w:eastAsia="宋体" w:hAnsi="宋体" w:cs="Arial"/>
                <w:color w:val="000000"/>
                <w:sz w:val="24"/>
                <w:szCs w:val="24"/>
              </w:rPr>
              <w:t>C</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519156</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新华行业轮换灵活配置混合型证券投资基金</w:t>
            </w:r>
            <w:r w:rsidRPr="00DC6BB2">
              <w:rPr>
                <w:rFonts w:ascii="宋体" w:eastAsia="宋体" w:hAnsi="宋体" w:cs="Arial"/>
                <w:color w:val="000000"/>
                <w:sz w:val="24"/>
                <w:szCs w:val="24"/>
              </w:rPr>
              <w:t>A</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519157</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新华行业轮换灵活配置混合型证券投资基金</w:t>
            </w:r>
            <w:r w:rsidRPr="00DC6BB2">
              <w:rPr>
                <w:rFonts w:ascii="宋体" w:eastAsia="宋体" w:hAnsi="宋体" w:cs="Arial"/>
                <w:color w:val="000000"/>
                <w:sz w:val="24"/>
                <w:szCs w:val="24"/>
              </w:rPr>
              <w:t>C</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519158</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color w:val="000000"/>
                <w:sz w:val="24"/>
                <w:szCs w:val="24"/>
              </w:rPr>
              <w:t>新华趋势领航混合型证券投资基金</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519160</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新华安享惠金定期开放债券型证券投资基金</w:t>
            </w:r>
            <w:r w:rsidRPr="00DC6BB2">
              <w:rPr>
                <w:rFonts w:ascii="宋体" w:eastAsia="宋体" w:hAnsi="宋体" w:cs="Arial"/>
                <w:color w:val="000000"/>
                <w:sz w:val="24"/>
                <w:szCs w:val="24"/>
              </w:rPr>
              <w:t>A</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519161</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新华安享惠金定期开放债券型证券投资基金</w:t>
            </w:r>
            <w:r w:rsidRPr="00DC6BB2">
              <w:rPr>
                <w:rFonts w:ascii="宋体" w:eastAsia="宋体" w:hAnsi="宋体" w:cs="Arial"/>
                <w:color w:val="000000"/>
                <w:sz w:val="24"/>
                <w:szCs w:val="24"/>
              </w:rPr>
              <w:t>C</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519162</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新华增怡债券型证券投资基金</w:t>
            </w:r>
            <w:r w:rsidRPr="00DC6BB2">
              <w:rPr>
                <w:rFonts w:ascii="宋体" w:eastAsia="宋体" w:hAnsi="宋体" w:cs="Arial"/>
                <w:color w:val="000000"/>
                <w:sz w:val="24"/>
                <w:szCs w:val="24"/>
              </w:rPr>
              <w:t>A</w:t>
            </w:r>
          </w:p>
        </w:tc>
      </w:tr>
      <w:tr w:rsidR="00DC6BB2" w:rsidRPr="00C35115" w:rsidTr="00744FB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C6BB2" w:rsidRPr="00DC6BB2" w:rsidRDefault="00DC6BB2" w:rsidP="00DC6BB2">
            <w:pPr>
              <w:jc w:val="center"/>
              <w:rPr>
                <w:rFonts w:ascii="宋体" w:eastAsia="宋体" w:hAnsi="宋体" w:cs="Microsoft Sans Serif"/>
                <w:color w:val="000000"/>
                <w:sz w:val="24"/>
                <w:szCs w:val="24"/>
              </w:rPr>
            </w:pPr>
            <w:r w:rsidRPr="00DC6BB2">
              <w:rPr>
                <w:rFonts w:ascii="宋体" w:eastAsia="宋体" w:hAnsi="宋体" w:cs="Microsoft Sans Serif"/>
                <w:color w:val="000000"/>
                <w:sz w:val="24"/>
                <w:szCs w:val="24"/>
              </w:rPr>
              <w:t>519163</w:t>
            </w:r>
          </w:p>
        </w:tc>
        <w:tc>
          <w:tcPr>
            <w:tcW w:w="7088" w:type="dxa"/>
            <w:tcBorders>
              <w:top w:val="nil"/>
              <w:left w:val="nil"/>
              <w:bottom w:val="single" w:sz="4" w:space="0" w:color="auto"/>
              <w:right w:val="single" w:sz="4" w:space="0" w:color="auto"/>
            </w:tcBorders>
            <w:shd w:val="clear" w:color="auto" w:fill="auto"/>
            <w:noWrap/>
            <w:vAlign w:val="bottom"/>
            <w:hideMark/>
          </w:tcPr>
          <w:p w:rsidR="00DC6BB2" w:rsidRPr="00DC6BB2" w:rsidRDefault="00DC6BB2" w:rsidP="00DC6BB2">
            <w:pPr>
              <w:jc w:val="left"/>
              <w:rPr>
                <w:rFonts w:ascii="宋体" w:eastAsia="宋体" w:hAnsi="宋体" w:cs="Arial"/>
                <w:color w:val="000000"/>
                <w:sz w:val="24"/>
                <w:szCs w:val="24"/>
              </w:rPr>
            </w:pPr>
            <w:r w:rsidRPr="00DC6BB2">
              <w:rPr>
                <w:rFonts w:ascii="宋体" w:eastAsia="宋体" w:hAnsi="宋体" w:cs="Arial" w:hint="eastAsia"/>
                <w:color w:val="000000"/>
                <w:sz w:val="24"/>
                <w:szCs w:val="24"/>
              </w:rPr>
              <w:t>新华增怡债券型证券投资基金</w:t>
            </w:r>
            <w:r w:rsidRPr="00DC6BB2">
              <w:rPr>
                <w:rFonts w:ascii="宋体" w:eastAsia="宋体" w:hAnsi="宋体" w:cs="Arial"/>
                <w:color w:val="000000"/>
                <w:sz w:val="24"/>
                <w:szCs w:val="24"/>
              </w:rPr>
              <w:t>C</w:t>
            </w:r>
          </w:p>
        </w:tc>
      </w:tr>
    </w:tbl>
    <w:p w:rsidR="00C35115" w:rsidRPr="00C35115" w:rsidRDefault="00C35115" w:rsidP="00A608D0">
      <w:pPr>
        <w:widowControl/>
        <w:snapToGrid w:val="0"/>
        <w:spacing w:line="360" w:lineRule="auto"/>
        <w:ind w:firstLineChars="200" w:firstLine="482"/>
        <w:jc w:val="left"/>
        <w:rPr>
          <w:rFonts w:asciiTheme="majorEastAsia" w:eastAsiaTheme="majorEastAsia" w:hAnsiTheme="majorEastAsia" w:cs="宋体"/>
          <w:b/>
          <w:sz w:val="24"/>
          <w:szCs w:val="24"/>
        </w:rPr>
      </w:pPr>
    </w:p>
    <w:p w:rsidR="00C00D8A" w:rsidRPr="009D660F" w:rsidRDefault="00C00D8A" w:rsidP="00C00D8A">
      <w:pPr>
        <w:widowControl/>
        <w:snapToGrid w:val="0"/>
        <w:spacing w:line="360" w:lineRule="auto"/>
        <w:ind w:firstLine="440"/>
        <w:rPr>
          <w:rFonts w:asciiTheme="majorEastAsia" w:eastAsiaTheme="majorEastAsia" w:hAnsiTheme="majorEastAsia" w:cs="Calibri"/>
          <w:kern w:val="0"/>
          <w:sz w:val="24"/>
          <w:szCs w:val="24"/>
        </w:rPr>
      </w:pPr>
      <w:r w:rsidRPr="009D660F">
        <w:rPr>
          <w:rFonts w:asciiTheme="majorEastAsia" w:eastAsiaTheme="majorEastAsia" w:hAnsiTheme="majorEastAsia" w:cs="Calibri" w:hint="eastAsia"/>
          <w:kern w:val="0"/>
          <w:sz w:val="24"/>
          <w:szCs w:val="24"/>
        </w:rPr>
        <w:lastRenderedPageBreak/>
        <w:t>注：</w:t>
      </w:r>
    </w:p>
    <w:p w:rsidR="00C00D8A" w:rsidRPr="009D660F" w:rsidRDefault="00C00D8A" w:rsidP="00C00D8A">
      <w:pPr>
        <w:widowControl/>
        <w:snapToGrid w:val="0"/>
        <w:spacing w:line="360" w:lineRule="auto"/>
        <w:ind w:firstLine="440"/>
        <w:rPr>
          <w:rFonts w:asciiTheme="majorEastAsia" w:eastAsiaTheme="majorEastAsia" w:hAnsiTheme="majorEastAsia" w:cs="Calibri"/>
          <w:kern w:val="0"/>
          <w:sz w:val="24"/>
          <w:szCs w:val="24"/>
        </w:rPr>
      </w:pPr>
      <w:r w:rsidRPr="009D660F">
        <w:rPr>
          <w:rFonts w:asciiTheme="majorEastAsia" w:eastAsiaTheme="majorEastAsia" w:hAnsiTheme="majorEastAsia" w:cs="Calibri" w:hint="eastAsia"/>
          <w:kern w:val="0"/>
          <w:sz w:val="24"/>
          <w:szCs w:val="24"/>
        </w:rPr>
        <w:t>1.原基金申购费率按笔收取固定费用的不再享有费率优惠。</w:t>
      </w:r>
    </w:p>
    <w:p w:rsidR="00C00D8A" w:rsidRPr="009D660F" w:rsidRDefault="00C00D8A" w:rsidP="00C00D8A">
      <w:pPr>
        <w:widowControl/>
        <w:snapToGrid w:val="0"/>
        <w:spacing w:line="360" w:lineRule="auto"/>
        <w:ind w:firstLine="440"/>
        <w:rPr>
          <w:rFonts w:asciiTheme="majorEastAsia" w:eastAsiaTheme="majorEastAsia" w:hAnsiTheme="majorEastAsia" w:cs="Calibri"/>
          <w:kern w:val="0"/>
          <w:sz w:val="24"/>
          <w:szCs w:val="24"/>
        </w:rPr>
      </w:pPr>
      <w:r w:rsidRPr="009D660F">
        <w:rPr>
          <w:rFonts w:asciiTheme="majorEastAsia" w:eastAsiaTheme="majorEastAsia" w:hAnsiTheme="majorEastAsia" w:cs="Calibri" w:hint="eastAsia"/>
          <w:kern w:val="0"/>
          <w:sz w:val="24"/>
          <w:szCs w:val="24"/>
        </w:rPr>
        <w:t>2.上述基金中未在</w:t>
      </w:r>
      <w:r w:rsidR="00DC6BB2">
        <w:rPr>
          <w:rFonts w:asciiTheme="majorEastAsia" w:eastAsiaTheme="majorEastAsia" w:hAnsiTheme="majorEastAsia" w:cs="宋体" w:hint="eastAsia"/>
          <w:sz w:val="24"/>
          <w:szCs w:val="24"/>
        </w:rPr>
        <w:t>广发银行</w:t>
      </w:r>
      <w:r w:rsidRPr="009D660F">
        <w:rPr>
          <w:rFonts w:asciiTheme="majorEastAsia" w:eastAsiaTheme="majorEastAsia" w:hAnsiTheme="majorEastAsia" w:cs="Calibri" w:hint="eastAsia"/>
          <w:kern w:val="0"/>
          <w:sz w:val="24"/>
          <w:szCs w:val="24"/>
        </w:rPr>
        <w:t>开通定投业务的基金，仅享有申购手续费率优惠，不享有定投手续费率优惠。</w:t>
      </w:r>
    </w:p>
    <w:p w:rsidR="00FD192F" w:rsidRPr="009D660F" w:rsidRDefault="00FD192F" w:rsidP="009D660F">
      <w:pPr>
        <w:widowControl/>
        <w:snapToGrid w:val="0"/>
        <w:spacing w:line="360" w:lineRule="auto"/>
        <w:ind w:firstLineChars="200" w:firstLine="482"/>
        <w:jc w:val="left"/>
        <w:rPr>
          <w:rFonts w:asciiTheme="majorEastAsia" w:eastAsiaTheme="majorEastAsia" w:hAnsiTheme="majorEastAsia"/>
          <w:b/>
          <w:sz w:val="24"/>
          <w:szCs w:val="24"/>
        </w:rPr>
      </w:pPr>
      <w:r w:rsidRPr="009D660F">
        <w:rPr>
          <w:rFonts w:asciiTheme="majorEastAsia" w:eastAsiaTheme="majorEastAsia" w:hAnsiTheme="majorEastAsia" w:hint="eastAsia"/>
          <w:b/>
          <w:sz w:val="24"/>
          <w:szCs w:val="24"/>
        </w:rPr>
        <w:t>三、活动内容</w:t>
      </w:r>
    </w:p>
    <w:p w:rsidR="00072C1A" w:rsidRDefault="009D660F" w:rsidP="009D660F">
      <w:pPr>
        <w:widowControl/>
        <w:snapToGrid w:val="0"/>
        <w:spacing w:line="360" w:lineRule="auto"/>
        <w:ind w:firstLineChars="200" w:firstLine="48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申购、定投</w:t>
      </w:r>
      <w:r w:rsidR="00FD192F" w:rsidRPr="009D660F">
        <w:rPr>
          <w:rFonts w:asciiTheme="majorEastAsia" w:eastAsiaTheme="majorEastAsia" w:hAnsiTheme="majorEastAsia" w:cs="Times New Roman" w:hint="eastAsia"/>
          <w:sz w:val="24"/>
          <w:szCs w:val="24"/>
        </w:rPr>
        <w:t>费率</w:t>
      </w:r>
      <w:r w:rsidR="00072C1A" w:rsidRPr="009D660F">
        <w:rPr>
          <w:rFonts w:asciiTheme="majorEastAsia" w:eastAsiaTheme="majorEastAsia" w:hAnsiTheme="majorEastAsia" w:cs="Times New Roman" w:hint="eastAsia"/>
          <w:sz w:val="24"/>
          <w:szCs w:val="24"/>
        </w:rPr>
        <w:t>优惠活动</w:t>
      </w:r>
      <w:r w:rsidR="008C7AB4" w:rsidRPr="00077B24">
        <w:rPr>
          <w:rFonts w:asciiTheme="majorEastAsia" w:eastAsiaTheme="majorEastAsia" w:hAnsiTheme="majorEastAsia" w:cs="宋体" w:hint="eastAsia"/>
          <w:color w:val="000000"/>
          <w:sz w:val="24"/>
          <w:szCs w:val="24"/>
        </w:rPr>
        <w:t>自2023年</w:t>
      </w:r>
      <w:r w:rsidR="00DC6BB2">
        <w:rPr>
          <w:rFonts w:asciiTheme="majorEastAsia" w:eastAsiaTheme="majorEastAsia" w:hAnsiTheme="majorEastAsia" w:cs="宋体"/>
          <w:color w:val="000000"/>
          <w:sz w:val="24"/>
          <w:szCs w:val="24"/>
        </w:rPr>
        <w:t>9</w:t>
      </w:r>
      <w:r w:rsidR="008C7AB4" w:rsidRPr="00077B24">
        <w:rPr>
          <w:rFonts w:asciiTheme="majorEastAsia" w:eastAsiaTheme="majorEastAsia" w:hAnsiTheme="majorEastAsia" w:cs="宋体" w:hint="eastAsia"/>
          <w:color w:val="000000"/>
          <w:sz w:val="24"/>
          <w:szCs w:val="24"/>
        </w:rPr>
        <w:t>月</w:t>
      </w:r>
      <w:r w:rsidR="00DC6BB2">
        <w:rPr>
          <w:rFonts w:asciiTheme="majorEastAsia" w:eastAsiaTheme="majorEastAsia" w:hAnsiTheme="majorEastAsia" w:cs="宋体"/>
          <w:color w:val="000000"/>
          <w:sz w:val="24"/>
          <w:szCs w:val="24"/>
        </w:rPr>
        <w:t>6</w:t>
      </w:r>
      <w:r w:rsidR="008C7AB4" w:rsidRPr="00077B24">
        <w:rPr>
          <w:rFonts w:asciiTheme="majorEastAsia" w:eastAsiaTheme="majorEastAsia" w:hAnsiTheme="majorEastAsia" w:cs="宋体" w:hint="eastAsia"/>
          <w:color w:val="000000"/>
          <w:sz w:val="24"/>
          <w:szCs w:val="24"/>
        </w:rPr>
        <w:t>日</w:t>
      </w:r>
      <w:r w:rsidR="008C7AB4">
        <w:rPr>
          <w:rFonts w:asciiTheme="majorEastAsia" w:eastAsiaTheme="majorEastAsia" w:hAnsiTheme="majorEastAsia" w:cs="宋体" w:hint="eastAsia"/>
          <w:color w:val="000000"/>
          <w:sz w:val="24"/>
          <w:szCs w:val="24"/>
        </w:rPr>
        <w:t>起</w:t>
      </w:r>
      <w:r w:rsidR="00072C1A" w:rsidRPr="009D660F">
        <w:rPr>
          <w:rFonts w:asciiTheme="majorEastAsia" w:eastAsiaTheme="majorEastAsia" w:hAnsiTheme="majorEastAsia" w:cs="Times New Roman" w:hint="eastAsia"/>
          <w:sz w:val="24"/>
          <w:szCs w:val="24"/>
        </w:rPr>
        <w:t>实行，</w:t>
      </w:r>
      <w:r w:rsidR="00DC6BB2">
        <w:rPr>
          <w:rFonts w:asciiTheme="majorEastAsia" w:eastAsiaTheme="majorEastAsia" w:hAnsiTheme="majorEastAsia" w:cs="宋体" w:hint="eastAsia"/>
          <w:color w:val="000000"/>
          <w:sz w:val="24"/>
          <w:szCs w:val="24"/>
        </w:rPr>
        <w:t>活动结束时间以代销机构公告为准</w:t>
      </w:r>
      <w:r w:rsidR="00072C1A" w:rsidRPr="009D660F">
        <w:rPr>
          <w:rFonts w:asciiTheme="majorEastAsia" w:eastAsiaTheme="majorEastAsia" w:hAnsiTheme="majorEastAsia" w:cs="Times New Roman" w:hint="eastAsia"/>
          <w:sz w:val="24"/>
          <w:szCs w:val="24"/>
        </w:rPr>
        <w:t>。</w:t>
      </w:r>
    </w:p>
    <w:p w:rsidR="00A608D0" w:rsidRPr="00A608D0" w:rsidRDefault="00A608D0" w:rsidP="00A608D0">
      <w:pPr>
        <w:widowControl/>
        <w:snapToGrid w:val="0"/>
        <w:spacing w:line="360" w:lineRule="auto"/>
        <w:ind w:firstLineChars="200" w:firstLine="480"/>
        <w:jc w:val="left"/>
        <w:rPr>
          <w:rFonts w:asciiTheme="majorEastAsia" w:eastAsiaTheme="majorEastAsia" w:hAnsiTheme="majorEastAsia" w:cs="Times New Roman"/>
          <w:sz w:val="24"/>
          <w:szCs w:val="24"/>
        </w:rPr>
      </w:pPr>
      <w:r w:rsidRPr="00A608D0">
        <w:rPr>
          <w:rFonts w:asciiTheme="majorEastAsia" w:eastAsiaTheme="majorEastAsia" w:hAnsiTheme="majorEastAsia" w:cs="Times New Roman" w:hint="eastAsia"/>
          <w:sz w:val="24"/>
          <w:szCs w:val="24"/>
        </w:rPr>
        <w:t>活动期间，投资者通过</w:t>
      </w:r>
      <w:r w:rsidR="00DC6BB2">
        <w:rPr>
          <w:rFonts w:asciiTheme="majorEastAsia" w:eastAsiaTheme="majorEastAsia" w:hAnsiTheme="majorEastAsia" w:cs="Times New Roman" w:hint="eastAsia"/>
          <w:sz w:val="24"/>
          <w:szCs w:val="24"/>
        </w:rPr>
        <w:t>广发银行</w:t>
      </w:r>
      <w:r w:rsidRPr="00A608D0">
        <w:rPr>
          <w:rFonts w:asciiTheme="majorEastAsia" w:eastAsiaTheme="majorEastAsia" w:hAnsiTheme="majorEastAsia" w:cs="Times New Roman" w:hint="eastAsia"/>
          <w:sz w:val="24"/>
          <w:szCs w:val="24"/>
        </w:rPr>
        <w:t>申购或定期定额申购基金，其申购费率按基金原费率（基金原费率详见基金相关法律文件及</w:t>
      </w:r>
      <w:r w:rsidR="00C35115">
        <w:rPr>
          <w:rFonts w:asciiTheme="majorEastAsia" w:eastAsiaTheme="majorEastAsia" w:hAnsiTheme="majorEastAsia" w:cs="Times New Roman" w:hint="eastAsia"/>
          <w:sz w:val="24"/>
          <w:szCs w:val="24"/>
        </w:rPr>
        <w:t>本</w:t>
      </w:r>
      <w:r w:rsidRPr="00A608D0">
        <w:rPr>
          <w:rFonts w:asciiTheme="majorEastAsia" w:eastAsiaTheme="majorEastAsia" w:hAnsiTheme="majorEastAsia" w:cs="Times New Roman" w:hint="eastAsia"/>
          <w:sz w:val="24"/>
          <w:szCs w:val="24"/>
        </w:rPr>
        <w:t>公司的最新公告）的零点一执行。</w:t>
      </w:r>
    </w:p>
    <w:p w:rsidR="00A608D0" w:rsidRPr="009D660F" w:rsidRDefault="00A608D0" w:rsidP="00A608D0">
      <w:pPr>
        <w:widowControl/>
        <w:snapToGrid w:val="0"/>
        <w:spacing w:line="360" w:lineRule="auto"/>
        <w:ind w:firstLineChars="200" w:firstLine="480"/>
        <w:jc w:val="left"/>
        <w:rPr>
          <w:rFonts w:asciiTheme="majorEastAsia" w:eastAsiaTheme="majorEastAsia" w:hAnsiTheme="majorEastAsia" w:cs="Times New Roman"/>
          <w:sz w:val="24"/>
          <w:szCs w:val="24"/>
        </w:rPr>
      </w:pPr>
      <w:r w:rsidRPr="00A608D0">
        <w:rPr>
          <w:rFonts w:asciiTheme="majorEastAsia" w:eastAsiaTheme="majorEastAsia" w:hAnsiTheme="majorEastAsia" w:cs="Times New Roman" w:hint="eastAsia"/>
          <w:sz w:val="24"/>
          <w:szCs w:val="24"/>
        </w:rPr>
        <w:t>本优惠活动仅适用前端收费模式、可正常申购的开放式基金产品，不包括后端收费模式的相应基金产品。对相应基金产品原申购费率为固定费率的，按照相应固定费率执行，不参加本活动优惠。</w:t>
      </w:r>
    </w:p>
    <w:p w:rsidR="00FC7A8A" w:rsidRPr="009D660F" w:rsidRDefault="00204522" w:rsidP="005844F8">
      <w:pPr>
        <w:widowControl/>
        <w:snapToGrid w:val="0"/>
        <w:spacing w:line="360" w:lineRule="auto"/>
        <w:ind w:firstLineChars="200" w:firstLine="482"/>
        <w:jc w:val="left"/>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四</w:t>
      </w:r>
      <w:r w:rsidR="00FC7A8A" w:rsidRPr="009D660F">
        <w:rPr>
          <w:rFonts w:asciiTheme="majorEastAsia" w:eastAsiaTheme="majorEastAsia" w:hAnsiTheme="majorEastAsia" w:cs="宋体" w:hint="eastAsia"/>
          <w:b/>
          <w:sz w:val="24"/>
          <w:szCs w:val="24"/>
        </w:rPr>
        <w:t>、</w:t>
      </w:r>
      <w:r w:rsidR="00FC7A8A" w:rsidRPr="009D660F">
        <w:rPr>
          <w:rFonts w:asciiTheme="majorEastAsia" w:eastAsiaTheme="majorEastAsia" w:hAnsiTheme="majorEastAsia" w:cs="宋体"/>
          <w:b/>
          <w:sz w:val="24"/>
          <w:szCs w:val="24"/>
        </w:rPr>
        <w:t xml:space="preserve"> </w:t>
      </w:r>
      <w:r w:rsidR="00FC7A8A" w:rsidRPr="009D660F">
        <w:rPr>
          <w:rFonts w:asciiTheme="majorEastAsia" w:eastAsiaTheme="majorEastAsia" w:hAnsiTheme="majorEastAsia" w:cs="宋体" w:hint="eastAsia"/>
          <w:b/>
          <w:sz w:val="24"/>
          <w:szCs w:val="24"/>
        </w:rPr>
        <w:t>重要提示</w:t>
      </w:r>
    </w:p>
    <w:p w:rsidR="00FD192F" w:rsidRPr="009D660F" w:rsidRDefault="00FC7A8A" w:rsidP="00A608D0">
      <w:pPr>
        <w:widowControl/>
        <w:snapToGrid w:val="0"/>
        <w:spacing w:line="360" w:lineRule="auto"/>
        <w:ind w:firstLine="440"/>
        <w:rPr>
          <w:rFonts w:asciiTheme="majorEastAsia" w:eastAsiaTheme="majorEastAsia" w:hAnsiTheme="majorEastAsia" w:cs="Calibri"/>
          <w:kern w:val="0"/>
          <w:sz w:val="24"/>
          <w:szCs w:val="24"/>
        </w:rPr>
      </w:pPr>
      <w:r w:rsidRPr="009D660F">
        <w:rPr>
          <w:rFonts w:asciiTheme="majorEastAsia" w:eastAsiaTheme="majorEastAsia" w:hAnsiTheme="majorEastAsia" w:cs="宋体" w:hint="eastAsia"/>
          <w:sz w:val="24"/>
          <w:szCs w:val="24"/>
        </w:rPr>
        <w:t>1、</w:t>
      </w:r>
      <w:r w:rsidR="00A608D0" w:rsidRPr="00A608D0">
        <w:rPr>
          <w:rFonts w:asciiTheme="majorEastAsia" w:eastAsiaTheme="majorEastAsia" w:hAnsiTheme="majorEastAsia" w:cs="宋体" w:hint="eastAsia"/>
          <w:sz w:val="24"/>
          <w:szCs w:val="24"/>
        </w:rPr>
        <w:t>活动期间投资者</w:t>
      </w:r>
      <w:r w:rsidR="00C35115">
        <w:rPr>
          <w:rFonts w:asciiTheme="majorEastAsia" w:eastAsiaTheme="majorEastAsia" w:hAnsiTheme="majorEastAsia" w:cs="宋体" w:hint="eastAsia"/>
          <w:sz w:val="24"/>
          <w:szCs w:val="24"/>
        </w:rPr>
        <w:t>定投</w:t>
      </w:r>
      <w:r w:rsidR="00A608D0" w:rsidRPr="00A608D0">
        <w:rPr>
          <w:rFonts w:asciiTheme="majorEastAsia" w:eastAsiaTheme="majorEastAsia" w:hAnsiTheme="majorEastAsia" w:cs="宋体" w:hint="eastAsia"/>
          <w:sz w:val="24"/>
          <w:szCs w:val="24"/>
        </w:rPr>
        <w:t>基金，申购费率按本活动费率优惠政策执行。超出活动期间的</w:t>
      </w:r>
      <w:r w:rsidR="00C35115">
        <w:rPr>
          <w:rFonts w:asciiTheme="majorEastAsia" w:eastAsiaTheme="majorEastAsia" w:hAnsiTheme="majorEastAsia" w:cs="宋体" w:hint="eastAsia"/>
          <w:sz w:val="24"/>
          <w:szCs w:val="24"/>
        </w:rPr>
        <w:t>定投</w:t>
      </w:r>
      <w:r w:rsidR="00A608D0" w:rsidRPr="00A608D0">
        <w:rPr>
          <w:rFonts w:asciiTheme="majorEastAsia" w:eastAsiaTheme="majorEastAsia" w:hAnsiTheme="majorEastAsia" w:cs="宋体" w:hint="eastAsia"/>
          <w:sz w:val="24"/>
          <w:szCs w:val="24"/>
        </w:rPr>
        <w:t>交易，不再执行本次活动费率优惠政策。</w:t>
      </w:r>
    </w:p>
    <w:p w:rsidR="00FD192F" w:rsidRPr="00A608D0" w:rsidRDefault="00FD192F" w:rsidP="00A608D0">
      <w:pPr>
        <w:widowControl/>
        <w:snapToGrid w:val="0"/>
        <w:spacing w:line="360" w:lineRule="auto"/>
        <w:ind w:firstLineChars="200" w:firstLine="480"/>
        <w:jc w:val="left"/>
        <w:rPr>
          <w:rFonts w:asciiTheme="majorEastAsia" w:eastAsiaTheme="majorEastAsia" w:hAnsiTheme="majorEastAsia" w:cs="宋体"/>
          <w:sz w:val="24"/>
          <w:szCs w:val="24"/>
        </w:rPr>
      </w:pPr>
      <w:r w:rsidRPr="009D660F">
        <w:rPr>
          <w:rFonts w:asciiTheme="majorEastAsia" w:eastAsiaTheme="majorEastAsia" w:hAnsiTheme="majorEastAsia" w:cs="宋体" w:hint="eastAsia"/>
          <w:sz w:val="24"/>
          <w:szCs w:val="24"/>
        </w:rPr>
        <w:t>2、</w:t>
      </w:r>
      <w:r w:rsidRPr="00A608D0">
        <w:rPr>
          <w:rFonts w:asciiTheme="majorEastAsia" w:eastAsiaTheme="majorEastAsia" w:hAnsiTheme="majorEastAsia" w:cs="宋体"/>
          <w:sz w:val="24"/>
          <w:szCs w:val="24"/>
        </w:rPr>
        <w:t>上述费率优惠活动解释权归</w:t>
      </w:r>
      <w:r w:rsidR="00DC6BB2">
        <w:rPr>
          <w:rFonts w:asciiTheme="majorEastAsia" w:eastAsiaTheme="majorEastAsia" w:hAnsiTheme="majorEastAsia" w:cs="宋体" w:hint="eastAsia"/>
          <w:sz w:val="24"/>
          <w:szCs w:val="24"/>
        </w:rPr>
        <w:t>广发银行</w:t>
      </w:r>
      <w:r w:rsidRPr="00A608D0">
        <w:rPr>
          <w:rFonts w:asciiTheme="majorEastAsia" w:eastAsiaTheme="majorEastAsia" w:hAnsiTheme="majorEastAsia" w:cs="宋体"/>
          <w:sz w:val="24"/>
          <w:szCs w:val="24"/>
        </w:rPr>
        <w:t>所有。费率优惠活动期间，业务规则和流程以</w:t>
      </w:r>
      <w:r w:rsidR="00DC6BB2">
        <w:rPr>
          <w:rFonts w:asciiTheme="majorEastAsia" w:eastAsiaTheme="majorEastAsia" w:hAnsiTheme="majorEastAsia" w:cs="宋体" w:hint="eastAsia"/>
          <w:sz w:val="24"/>
          <w:szCs w:val="24"/>
        </w:rPr>
        <w:t>广发银行</w:t>
      </w:r>
      <w:r w:rsidRPr="00A608D0">
        <w:rPr>
          <w:rFonts w:asciiTheme="majorEastAsia" w:eastAsiaTheme="majorEastAsia" w:hAnsiTheme="majorEastAsia" w:cs="宋体"/>
          <w:sz w:val="24"/>
          <w:szCs w:val="24"/>
        </w:rPr>
        <w:t>的安排和规定为准，</w:t>
      </w:r>
      <w:r w:rsidR="00DC6BB2">
        <w:rPr>
          <w:rFonts w:asciiTheme="majorEastAsia" w:eastAsiaTheme="majorEastAsia" w:hAnsiTheme="majorEastAsia" w:cs="宋体" w:hint="eastAsia"/>
          <w:sz w:val="24"/>
          <w:szCs w:val="24"/>
        </w:rPr>
        <w:t>广发银行</w:t>
      </w:r>
      <w:r w:rsidRPr="00A608D0">
        <w:rPr>
          <w:rFonts w:asciiTheme="majorEastAsia" w:eastAsiaTheme="majorEastAsia" w:hAnsiTheme="majorEastAsia" w:cs="宋体"/>
          <w:sz w:val="24"/>
          <w:szCs w:val="24"/>
        </w:rPr>
        <w:t>有权不时调整该活动相关规则（包括删减</w:t>
      </w:r>
      <w:r w:rsidR="00DC6BB2">
        <w:rPr>
          <w:rFonts w:asciiTheme="majorEastAsia" w:eastAsiaTheme="majorEastAsia" w:hAnsiTheme="majorEastAsia" w:cs="宋体"/>
          <w:sz w:val="24"/>
          <w:szCs w:val="24"/>
        </w:rPr>
        <w:t>、增加</w:t>
      </w:r>
      <w:r w:rsidRPr="00A608D0">
        <w:rPr>
          <w:rFonts w:asciiTheme="majorEastAsia" w:eastAsiaTheme="majorEastAsia" w:hAnsiTheme="majorEastAsia" w:cs="宋体"/>
          <w:sz w:val="24"/>
          <w:szCs w:val="24"/>
        </w:rPr>
        <w:t>适用基金范围及变更费率优惠安排等）。相关活动的具体费率折扣及活动起止时间如有变化，敬请投资者留意</w:t>
      </w:r>
      <w:r w:rsidR="00DC6BB2">
        <w:rPr>
          <w:rFonts w:asciiTheme="majorEastAsia" w:eastAsiaTheme="majorEastAsia" w:hAnsiTheme="majorEastAsia" w:cs="宋体" w:hint="eastAsia"/>
          <w:sz w:val="24"/>
          <w:szCs w:val="24"/>
        </w:rPr>
        <w:t>广发银行</w:t>
      </w:r>
      <w:r w:rsidRPr="00A608D0">
        <w:rPr>
          <w:rFonts w:asciiTheme="majorEastAsia" w:eastAsiaTheme="majorEastAsia" w:hAnsiTheme="majorEastAsia" w:cs="宋体"/>
          <w:sz w:val="24"/>
          <w:szCs w:val="24"/>
        </w:rPr>
        <w:t>的有关公告。</w:t>
      </w:r>
    </w:p>
    <w:p w:rsidR="00A608D0" w:rsidRPr="00A608D0" w:rsidRDefault="00A608D0" w:rsidP="00A608D0">
      <w:pPr>
        <w:widowControl/>
        <w:snapToGrid w:val="0"/>
        <w:spacing w:line="360" w:lineRule="auto"/>
        <w:ind w:firstLineChars="200" w:firstLine="480"/>
        <w:jc w:val="left"/>
        <w:rPr>
          <w:rFonts w:asciiTheme="majorEastAsia" w:eastAsiaTheme="majorEastAsia" w:hAnsiTheme="majorEastAsia" w:cs="宋体"/>
          <w:sz w:val="24"/>
          <w:szCs w:val="24"/>
        </w:rPr>
      </w:pPr>
      <w:r w:rsidRPr="00A608D0">
        <w:rPr>
          <w:rFonts w:asciiTheme="majorEastAsia" w:eastAsiaTheme="majorEastAsia" w:hAnsiTheme="majorEastAsia" w:cs="宋体" w:hint="eastAsia"/>
          <w:sz w:val="24"/>
          <w:szCs w:val="24"/>
        </w:rPr>
        <w:t>3、</w:t>
      </w:r>
      <w:r w:rsidR="00DC6BB2">
        <w:rPr>
          <w:rFonts w:asciiTheme="majorEastAsia" w:eastAsiaTheme="majorEastAsia" w:hAnsiTheme="majorEastAsia" w:cs="宋体" w:hint="eastAsia"/>
          <w:sz w:val="24"/>
          <w:szCs w:val="24"/>
        </w:rPr>
        <w:t>广发银行后续新增参与活动的本公司相应基金产品情况参加代销机构公告</w:t>
      </w:r>
      <w:r w:rsidRPr="00A608D0">
        <w:rPr>
          <w:rFonts w:asciiTheme="majorEastAsia" w:eastAsiaTheme="majorEastAsia" w:hAnsiTheme="majorEastAsia" w:cs="宋体" w:hint="eastAsia"/>
          <w:sz w:val="24"/>
          <w:szCs w:val="24"/>
        </w:rPr>
        <w:t>。</w:t>
      </w:r>
    </w:p>
    <w:p w:rsidR="00FC7A8A" w:rsidRPr="009D660F" w:rsidRDefault="00A608D0" w:rsidP="005844F8">
      <w:pPr>
        <w:widowControl/>
        <w:snapToGrid w:val="0"/>
        <w:spacing w:line="360" w:lineRule="auto"/>
        <w:ind w:firstLineChars="200" w:firstLine="480"/>
        <w:jc w:val="left"/>
        <w:rPr>
          <w:rFonts w:asciiTheme="majorEastAsia" w:eastAsiaTheme="majorEastAsia" w:hAnsiTheme="majorEastAsia" w:cs="宋体"/>
          <w:sz w:val="24"/>
          <w:szCs w:val="24"/>
        </w:rPr>
      </w:pPr>
      <w:r>
        <w:rPr>
          <w:rFonts w:asciiTheme="majorEastAsia" w:eastAsiaTheme="majorEastAsia" w:hAnsiTheme="majorEastAsia" w:cs="宋体"/>
          <w:sz w:val="24"/>
          <w:szCs w:val="24"/>
        </w:rPr>
        <w:t>4</w:t>
      </w:r>
      <w:r w:rsidR="00FC7A8A" w:rsidRPr="009D660F">
        <w:rPr>
          <w:rFonts w:asciiTheme="majorEastAsia" w:eastAsiaTheme="majorEastAsia" w:hAnsiTheme="majorEastAsia" w:cs="宋体" w:hint="eastAsia"/>
          <w:sz w:val="24"/>
          <w:szCs w:val="24"/>
        </w:rPr>
        <w:t>、投资者欲了解上述基金产品的详细情况，请仔细阅读刊登于本公司网站的各基金的《基金合同》、《招募说明书》</w:t>
      </w:r>
      <w:r w:rsidR="00FD192F" w:rsidRPr="009D660F">
        <w:rPr>
          <w:rFonts w:asciiTheme="majorEastAsia" w:eastAsiaTheme="majorEastAsia" w:hAnsiTheme="majorEastAsia" w:cs="宋体" w:hint="eastAsia"/>
          <w:sz w:val="24"/>
          <w:szCs w:val="24"/>
        </w:rPr>
        <w:t>、《产品资料概要》</w:t>
      </w:r>
      <w:r w:rsidR="00FC7A8A" w:rsidRPr="009D660F">
        <w:rPr>
          <w:rFonts w:asciiTheme="majorEastAsia" w:eastAsiaTheme="majorEastAsia" w:hAnsiTheme="majorEastAsia" w:cs="宋体" w:hint="eastAsia"/>
          <w:sz w:val="24"/>
          <w:szCs w:val="24"/>
        </w:rPr>
        <w:t xml:space="preserve">等法律文件及相关业务公告。 </w:t>
      </w:r>
    </w:p>
    <w:p w:rsidR="00FC7A8A" w:rsidRPr="009D660F" w:rsidRDefault="00A608D0" w:rsidP="005844F8">
      <w:pPr>
        <w:widowControl/>
        <w:snapToGrid w:val="0"/>
        <w:spacing w:line="360" w:lineRule="auto"/>
        <w:ind w:firstLineChars="200" w:firstLine="480"/>
        <w:jc w:val="left"/>
        <w:rPr>
          <w:rFonts w:asciiTheme="majorEastAsia" w:eastAsiaTheme="majorEastAsia" w:hAnsiTheme="majorEastAsia" w:cs="宋体"/>
          <w:sz w:val="24"/>
          <w:szCs w:val="24"/>
        </w:rPr>
      </w:pPr>
      <w:r>
        <w:rPr>
          <w:rFonts w:asciiTheme="majorEastAsia" w:eastAsiaTheme="majorEastAsia" w:hAnsiTheme="majorEastAsia" w:cs="宋体"/>
          <w:sz w:val="24"/>
          <w:szCs w:val="24"/>
        </w:rPr>
        <w:t>5</w:t>
      </w:r>
      <w:r w:rsidR="00E96C48" w:rsidRPr="009D660F">
        <w:rPr>
          <w:rFonts w:asciiTheme="majorEastAsia" w:eastAsiaTheme="majorEastAsia" w:hAnsiTheme="majorEastAsia" w:cs="宋体" w:hint="eastAsia"/>
          <w:sz w:val="24"/>
          <w:szCs w:val="24"/>
        </w:rPr>
        <w:t>、</w:t>
      </w:r>
      <w:r w:rsidR="00FC7A8A" w:rsidRPr="009D660F">
        <w:rPr>
          <w:rFonts w:asciiTheme="majorEastAsia" w:eastAsiaTheme="majorEastAsia" w:hAnsiTheme="majorEastAsia" w:cs="宋体" w:hint="eastAsia"/>
          <w:sz w:val="24"/>
          <w:szCs w:val="24"/>
        </w:rPr>
        <w:t xml:space="preserve">投资者可通过以下途径了解或咨询相关情况： </w:t>
      </w:r>
    </w:p>
    <w:p w:rsidR="00FC7A8A" w:rsidRPr="009D660F" w:rsidRDefault="00E96C48" w:rsidP="005844F8">
      <w:pPr>
        <w:widowControl/>
        <w:shd w:val="clear" w:color="auto" w:fill="FFFFFF"/>
        <w:spacing w:line="360" w:lineRule="auto"/>
        <w:ind w:firstLineChars="200" w:firstLine="480"/>
        <w:jc w:val="left"/>
        <w:rPr>
          <w:rFonts w:asciiTheme="majorEastAsia" w:eastAsiaTheme="majorEastAsia" w:hAnsiTheme="majorEastAsia" w:cs="Arial"/>
          <w:color w:val="999999"/>
          <w:kern w:val="0"/>
          <w:sz w:val="24"/>
          <w:szCs w:val="24"/>
        </w:rPr>
      </w:pPr>
      <w:r w:rsidRPr="009D660F">
        <w:rPr>
          <w:rFonts w:asciiTheme="majorEastAsia" w:eastAsiaTheme="majorEastAsia" w:hAnsiTheme="majorEastAsia" w:cs="’Times New Roman’" w:hint="eastAsia"/>
          <w:color w:val="000000"/>
          <w:kern w:val="0"/>
          <w:sz w:val="24"/>
          <w:szCs w:val="24"/>
        </w:rPr>
        <w:t>（1）</w:t>
      </w:r>
      <w:r w:rsidR="00DC6BB2" w:rsidRPr="00DC6BB2">
        <w:rPr>
          <w:rFonts w:asciiTheme="majorEastAsia" w:eastAsiaTheme="majorEastAsia" w:hAnsiTheme="majorEastAsia" w:cs="宋体" w:hint="eastAsia"/>
          <w:color w:val="000000"/>
          <w:kern w:val="0"/>
          <w:sz w:val="24"/>
          <w:szCs w:val="24"/>
        </w:rPr>
        <w:t>广发银行股份有限公司</w:t>
      </w:r>
    </w:p>
    <w:p w:rsidR="00FD192F" w:rsidRPr="009D660F" w:rsidRDefault="00FD192F" w:rsidP="00FD192F">
      <w:pPr>
        <w:widowControl/>
        <w:shd w:val="clear" w:color="auto" w:fill="FFFFFF"/>
        <w:spacing w:line="360" w:lineRule="auto"/>
        <w:ind w:firstLineChars="350" w:firstLine="840"/>
        <w:jc w:val="left"/>
        <w:rPr>
          <w:rFonts w:asciiTheme="majorEastAsia" w:eastAsiaTheme="majorEastAsia" w:hAnsiTheme="majorEastAsia" w:cs="Arial"/>
          <w:color w:val="000000"/>
          <w:kern w:val="0"/>
          <w:sz w:val="24"/>
          <w:szCs w:val="24"/>
        </w:rPr>
      </w:pPr>
      <w:r w:rsidRPr="009D660F">
        <w:rPr>
          <w:rFonts w:asciiTheme="majorEastAsia" w:eastAsiaTheme="majorEastAsia" w:hAnsiTheme="majorEastAsia" w:cs="Arial" w:hint="eastAsia"/>
          <w:color w:val="000000"/>
          <w:kern w:val="0"/>
          <w:sz w:val="24"/>
          <w:szCs w:val="24"/>
        </w:rPr>
        <w:t>客服电话：</w:t>
      </w:r>
      <w:r w:rsidR="00DC6BB2" w:rsidRPr="00DC6BB2">
        <w:rPr>
          <w:rFonts w:asciiTheme="majorEastAsia" w:eastAsiaTheme="majorEastAsia" w:hAnsiTheme="majorEastAsia" w:cs="Arial"/>
          <w:color w:val="000000"/>
          <w:kern w:val="0"/>
          <w:sz w:val="24"/>
          <w:szCs w:val="24"/>
        </w:rPr>
        <w:t>400-830-8003</w:t>
      </w:r>
    </w:p>
    <w:p w:rsidR="00FC7A8A" w:rsidRPr="009D660F" w:rsidRDefault="00FD192F" w:rsidP="005844F8">
      <w:pPr>
        <w:widowControl/>
        <w:shd w:val="clear" w:color="auto" w:fill="FFFFFF"/>
        <w:spacing w:line="360" w:lineRule="auto"/>
        <w:ind w:firstLineChars="350" w:firstLine="840"/>
        <w:jc w:val="left"/>
        <w:rPr>
          <w:rFonts w:asciiTheme="majorEastAsia" w:eastAsiaTheme="majorEastAsia" w:hAnsiTheme="majorEastAsia" w:cs="Arial"/>
          <w:color w:val="000000"/>
          <w:kern w:val="0"/>
          <w:sz w:val="24"/>
          <w:szCs w:val="24"/>
        </w:rPr>
      </w:pPr>
      <w:r w:rsidRPr="009D660F">
        <w:rPr>
          <w:rFonts w:asciiTheme="majorEastAsia" w:eastAsiaTheme="majorEastAsia" w:hAnsiTheme="majorEastAsia" w:cs="Arial" w:hint="eastAsia"/>
          <w:color w:val="000000"/>
          <w:kern w:val="0"/>
          <w:sz w:val="24"/>
          <w:szCs w:val="24"/>
        </w:rPr>
        <w:t>网址：</w:t>
      </w:r>
      <w:r w:rsidR="00DC6BB2" w:rsidRPr="00DC6BB2">
        <w:rPr>
          <w:rFonts w:asciiTheme="majorEastAsia" w:eastAsiaTheme="majorEastAsia" w:hAnsiTheme="majorEastAsia" w:cs="Arial"/>
          <w:color w:val="000000"/>
          <w:kern w:val="0"/>
          <w:sz w:val="24"/>
          <w:szCs w:val="24"/>
        </w:rPr>
        <w:t>www.cgbchina.com.cn</w:t>
      </w:r>
    </w:p>
    <w:p w:rsidR="00FC7A8A" w:rsidRPr="009D660F" w:rsidRDefault="00E96C48" w:rsidP="005844F8">
      <w:pPr>
        <w:widowControl/>
        <w:shd w:val="clear" w:color="auto" w:fill="FFFFFF"/>
        <w:spacing w:line="360" w:lineRule="auto"/>
        <w:ind w:firstLineChars="200" w:firstLine="480"/>
        <w:jc w:val="left"/>
        <w:rPr>
          <w:rFonts w:asciiTheme="majorEastAsia" w:eastAsiaTheme="majorEastAsia" w:hAnsiTheme="majorEastAsia" w:cs="Arial"/>
          <w:color w:val="999999"/>
          <w:kern w:val="0"/>
          <w:sz w:val="24"/>
          <w:szCs w:val="24"/>
        </w:rPr>
      </w:pPr>
      <w:r w:rsidRPr="009D660F">
        <w:rPr>
          <w:rFonts w:asciiTheme="majorEastAsia" w:eastAsiaTheme="majorEastAsia" w:hAnsiTheme="majorEastAsia" w:cs="’Times New Roman’" w:hint="eastAsia"/>
          <w:color w:val="000000"/>
          <w:kern w:val="0"/>
          <w:sz w:val="24"/>
          <w:szCs w:val="24"/>
        </w:rPr>
        <w:t>（2）</w:t>
      </w:r>
      <w:r w:rsidR="00FC7A8A" w:rsidRPr="009D660F">
        <w:rPr>
          <w:rFonts w:asciiTheme="majorEastAsia" w:eastAsiaTheme="majorEastAsia" w:hAnsiTheme="majorEastAsia" w:cs="Arial"/>
          <w:color w:val="000000"/>
          <w:kern w:val="0"/>
          <w:sz w:val="24"/>
          <w:szCs w:val="24"/>
        </w:rPr>
        <w:t>新华</w:t>
      </w:r>
      <w:r w:rsidR="00EB5B0D" w:rsidRPr="009D660F">
        <w:rPr>
          <w:rFonts w:asciiTheme="majorEastAsia" w:eastAsiaTheme="majorEastAsia" w:hAnsiTheme="majorEastAsia" w:cs="Arial"/>
          <w:color w:val="000000"/>
          <w:kern w:val="0"/>
          <w:sz w:val="24"/>
          <w:szCs w:val="24"/>
        </w:rPr>
        <w:t>基金管理股份有限公司</w:t>
      </w:r>
      <w:r w:rsidR="00FC7A8A" w:rsidRPr="009D660F">
        <w:rPr>
          <w:rFonts w:asciiTheme="majorEastAsia" w:eastAsiaTheme="majorEastAsia" w:hAnsiTheme="majorEastAsia" w:cs="Arial"/>
          <w:color w:val="000000"/>
          <w:kern w:val="0"/>
          <w:sz w:val="24"/>
          <w:szCs w:val="24"/>
        </w:rPr>
        <w:t xml:space="preserve"> </w:t>
      </w:r>
    </w:p>
    <w:p w:rsidR="00FC7A8A" w:rsidRPr="009D660F" w:rsidRDefault="00FC7A8A" w:rsidP="005844F8">
      <w:pPr>
        <w:widowControl/>
        <w:shd w:val="clear" w:color="auto" w:fill="FFFFFF"/>
        <w:spacing w:line="360" w:lineRule="auto"/>
        <w:ind w:firstLineChars="350" w:firstLine="840"/>
        <w:jc w:val="left"/>
        <w:rPr>
          <w:rFonts w:asciiTheme="majorEastAsia" w:eastAsiaTheme="majorEastAsia" w:hAnsiTheme="majorEastAsia" w:cs="Arial"/>
          <w:color w:val="999999"/>
          <w:kern w:val="0"/>
          <w:sz w:val="24"/>
          <w:szCs w:val="24"/>
        </w:rPr>
      </w:pPr>
      <w:r w:rsidRPr="009D660F">
        <w:rPr>
          <w:rFonts w:asciiTheme="majorEastAsia" w:eastAsiaTheme="majorEastAsia" w:hAnsiTheme="majorEastAsia" w:cs="Arial"/>
          <w:color w:val="000000"/>
          <w:kern w:val="0"/>
          <w:sz w:val="24"/>
          <w:szCs w:val="24"/>
        </w:rPr>
        <w:lastRenderedPageBreak/>
        <w:t>客服</w:t>
      </w:r>
      <w:r w:rsidRPr="009D660F">
        <w:rPr>
          <w:rFonts w:asciiTheme="majorEastAsia" w:eastAsiaTheme="majorEastAsia" w:hAnsiTheme="majorEastAsia" w:cs="Arial" w:hint="eastAsia"/>
          <w:color w:val="000000"/>
          <w:kern w:val="0"/>
          <w:sz w:val="24"/>
          <w:szCs w:val="24"/>
        </w:rPr>
        <w:t>电话</w:t>
      </w:r>
      <w:r w:rsidRPr="009D660F">
        <w:rPr>
          <w:rFonts w:asciiTheme="majorEastAsia" w:eastAsiaTheme="majorEastAsia" w:hAnsiTheme="majorEastAsia" w:cs="Arial"/>
          <w:color w:val="000000"/>
          <w:kern w:val="0"/>
          <w:sz w:val="24"/>
          <w:szCs w:val="24"/>
        </w:rPr>
        <w:t>：</w:t>
      </w:r>
      <w:r w:rsidRPr="009D660F">
        <w:rPr>
          <w:rFonts w:asciiTheme="majorEastAsia" w:eastAsiaTheme="majorEastAsia" w:hAnsiTheme="majorEastAsia" w:cs="’Times New Roman’"/>
          <w:color w:val="000000"/>
          <w:kern w:val="0"/>
          <w:sz w:val="24"/>
          <w:szCs w:val="24"/>
        </w:rPr>
        <w:t>400-819-8866</w:t>
      </w:r>
      <w:r w:rsidRPr="009D660F">
        <w:rPr>
          <w:rFonts w:asciiTheme="majorEastAsia" w:eastAsiaTheme="majorEastAsia" w:hAnsiTheme="majorEastAsia" w:cs="Arial"/>
          <w:color w:val="000000"/>
          <w:kern w:val="0"/>
          <w:sz w:val="24"/>
          <w:szCs w:val="24"/>
        </w:rPr>
        <w:t xml:space="preserve"> </w:t>
      </w:r>
    </w:p>
    <w:p w:rsidR="00FC7A8A" w:rsidRPr="009D660F" w:rsidRDefault="00FC7A8A" w:rsidP="005844F8">
      <w:pPr>
        <w:widowControl/>
        <w:shd w:val="clear" w:color="auto" w:fill="FFFFFF"/>
        <w:spacing w:line="360" w:lineRule="auto"/>
        <w:ind w:firstLineChars="350" w:firstLine="840"/>
        <w:jc w:val="left"/>
        <w:rPr>
          <w:rFonts w:asciiTheme="majorEastAsia" w:eastAsiaTheme="majorEastAsia" w:hAnsiTheme="majorEastAsia" w:cs="Arial"/>
          <w:color w:val="999999"/>
          <w:kern w:val="0"/>
          <w:sz w:val="24"/>
          <w:szCs w:val="24"/>
        </w:rPr>
      </w:pPr>
      <w:r w:rsidRPr="009D660F">
        <w:rPr>
          <w:rFonts w:asciiTheme="majorEastAsia" w:eastAsiaTheme="majorEastAsia" w:hAnsiTheme="majorEastAsia" w:cs="Arial"/>
          <w:color w:val="000000"/>
          <w:kern w:val="0"/>
          <w:sz w:val="24"/>
          <w:szCs w:val="24"/>
        </w:rPr>
        <w:t>网址：</w:t>
      </w:r>
      <w:hyperlink r:id="rId7" w:history="1">
        <w:r w:rsidRPr="009D660F">
          <w:rPr>
            <w:rFonts w:asciiTheme="majorEastAsia" w:eastAsiaTheme="majorEastAsia" w:hAnsiTheme="majorEastAsia" w:cs="’Times New Roman’"/>
            <w:color w:val="000000"/>
            <w:kern w:val="0"/>
            <w:sz w:val="24"/>
            <w:szCs w:val="24"/>
          </w:rPr>
          <w:t>www.ncfund.com.cn</w:t>
        </w:r>
      </w:hyperlink>
      <w:r w:rsidRPr="009D660F">
        <w:rPr>
          <w:rFonts w:asciiTheme="majorEastAsia" w:eastAsiaTheme="majorEastAsia" w:hAnsiTheme="majorEastAsia" w:cs="’Times New Roman’"/>
          <w:color w:val="000000"/>
          <w:kern w:val="0"/>
          <w:sz w:val="24"/>
          <w:szCs w:val="24"/>
        </w:rPr>
        <w:t xml:space="preserve"> </w:t>
      </w:r>
    </w:p>
    <w:p w:rsidR="00FC7A8A" w:rsidRPr="009D660F" w:rsidRDefault="00204522" w:rsidP="005844F8">
      <w:pPr>
        <w:widowControl/>
        <w:snapToGrid w:val="0"/>
        <w:spacing w:line="360" w:lineRule="auto"/>
        <w:ind w:firstLineChars="200" w:firstLine="482"/>
        <w:jc w:val="left"/>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五</w:t>
      </w:r>
      <w:r w:rsidR="00FC7A8A" w:rsidRPr="009D660F">
        <w:rPr>
          <w:rFonts w:asciiTheme="majorEastAsia" w:eastAsiaTheme="majorEastAsia" w:hAnsiTheme="majorEastAsia" w:cs="宋体" w:hint="eastAsia"/>
          <w:b/>
          <w:sz w:val="24"/>
          <w:szCs w:val="24"/>
        </w:rPr>
        <w:t>、风险提示</w:t>
      </w:r>
    </w:p>
    <w:p w:rsidR="00FC7A8A" w:rsidRPr="009D660F" w:rsidRDefault="00FA4391" w:rsidP="005844F8">
      <w:pPr>
        <w:widowControl/>
        <w:shd w:val="clear" w:color="auto" w:fill="FFFFFF"/>
        <w:spacing w:line="360" w:lineRule="auto"/>
        <w:ind w:firstLineChars="200" w:firstLine="480"/>
        <w:jc w:val="left"/>
        <w:rPr>
          <w:rFonts w:asciiTheme="majorEastAsia" w:eastAsiaTheme="majorEastAsia" w:hAnsiTheme="majorEastAsia" w:cs="Arial"/>
          <w:color w:val="999999"/>
          <w:kern w:val="0"/>
          <w:sz w:val="24"/>
          <w:szCs w:val="24"/>
        </w:rPr>
      </w:pPr>
      <w:r w:rsidRPr="009D660F">
        <w:rPr>
          <w:rFonts w:asciiTheme="majorEastAsia" w:eastAsiaTheme="majorEastAsia" w:hAnsiTheme="majorEastAsia" w:cs="Arial"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FC7A8A" w:rsidRPr="009D660F" w:rsidRDefault="00FC7A8A" w:rsidP="005844F8">
      <w:pPr>
        <w:widowControl/>
        <w:shd w:val="clear" w:color="auto" w:fill="FFFFFF"/>
        <w:adjustRightInd w:val="0"/>
        <w:spacing w:line="360" w:lineRule="auto"/>
        <w:ind w:firstLineChars="200" w:firstLine="480"/>
        <w:jc w:val="left"/>
        <w:rPr>
          <w:rFonts w:asciiTheme="majorEastAsia" w:eastAsiaTheme="majorEastAsia" w:hAnsiTheme="majorEastAsia" w:cs="宋体"/>
          <w:color w:val="000000"/>
          <w:kern w:val="0"/>
          <w:sz w:val="24"/>
          <w:szCs w:val="24"/>
        </w:rPr>
      </w:pPr>
    </w:p>
    <w:p w:rsidR="00FC7A8A" w:rsidRPr="009D660F" w:rsidRDefault="00FC7A8A" w:rsidP="005844F8">
      <w:pPr>
        <w:widowControl/>
        <w:shd w:val="clear" w:color="auto" w:fill="FFFFFF"/>
        <w:adjustRightInd w:val="0"/>
        <w:spacing w:line="360" w:lineRule="auto"/>
        <w:ind w:firstLineChars="200" w:firstLine="480"/>
        <w:jc w:val="left"/>
        <w:rPr>
          <w:rFonts w:asciiTheme="majorEastAsia" w:eastAsiaTheme="majorEastAsia" w:hAnsiTheme="majorEastAsia" w:cs="宋体"/>
          <w:color w:val="999999"/>
          <w:kern w:val="0"/>
          <w:sz w:val="24"/>
          <w:szCs w:val="24"/>
        </w:rPr>
      </w:pPr>
      <w:r w:rsidRPr="009D660F">
        <w:rPr>
          <w:rFonts w:asciiTheme="majorEastAsia" w:eastAsiaTheme="majorEastAsia" w:hAnsiTheme="majorEastAsia" w:cs="宋体" w:hint="eastAsia"/>
          <w:color w:val="000000"/>
          <w:kern w:val="0"/>
          <w:sz w:val="24"/>
          <w:szCs w:val="24"/>
        </w:rPr>
        <w:t>特此公告。</w:t>
      </w:r>
    </w:p>
    <w:p w:rsidR="00FC7A8A" w:rsidRPr="009D660F" w:rsidRDefault="00FC7A8A" w:rsidP="005844F8">
      <w:pPr>
        <w:widowControl/>
        <w:shd w:val="clear" w:color="auto" w:fill="FFFFFF"/>
        <w:adjustRightInd w:val="0"/>
        <w:spacing w:line="360" w:lineRule="auto"/>
        <w:ind w:firstLineChars="200" w:firstLine="480"/>
        <w:jc w:val="left"/>
        <w:rPr>
          <w:rFonts w:asciiTheme="majorEastAsia" w:eastAsiaTheme="majorEastAsia" w:hAnsiTheme="majorEastAsia" w:cs="宋体"/>
          <w:color w:val="000000"/>
          <w:kern w:val="0"/>
          <w:sz w:val="24"/>
          <w:szCs w:val="24"/>
        </w:rPr>
      </w:pPr>
      <w:r w:rsidRPr="009D660F">
        <w:rPr>
          <w:rFonts w:asciiTheme="majorEastAsia" w:eastAsiaTheme="majorEastAsia" w:hAnsiTheme="majorEastAsia" w:cs="宋体" w:hint="eastAsia"/>
          <w:color w:val="000000"/>
          <w:kern w:val="0"/>
          <w:sz w:val="24"/>
          <w:szCs w:val="24"/>
        </w:rPr>
        <w:t> </w:t>
      </w:r>
    </w:p>
    <w:p w:rsidR="00FC7A8A" w:rsidRPr="009D660F" w:rsidRDefault="00FC7A8A" w:rsidP="00FC7A8A">
      <w:pPr>
        <w:widowControl/>
        <w:shd w:val="clear" w:color="auto" w:fill="FFFFFF"/>
        <w:adjustRightInd w:val="0"/>
        <w:spacing w:line="360" w:lineRule="auto"/>
        <w:jc w:val="left"/>
        <w:rPr>
          <w:rFonts w:asciiTheme="majorEastAsia" w:eastAsiaTheme="majorEastAsia" w:hAnsiTheme="majorEastAsia" w:cs="宋体"/>
          <w:color w:val="999999"/>
          <w:kern w:val="0"/>
          <w:sz w:val="24"/>
          <w:szCs w:val="24"/>
        </w:rPr>
      </w:pPr>
    </w:p>
    <w:p w:rsidR="00FC7A8A" w:rsidRPr="009D660F" w:rsidRDefault="00FC7A8A" w:rsidP="005844F8">
      <w:pPr>
        <w:widowControl/>
        <w:shd w:val="clear" w:color="auto" w:fill="FFFFFF"/>
        <w:adjustRightInd w:val="0"/>
        <w:spacing w:line="360" w:lineRule="auto"/>
        <w:ind w:firstLineChars="950" w:firstLine="2280"/>
        <w:jc w:val="right"/>
        <w:rPr>
          <w:rFonts w:asciiTheme="majorEastAsia" w:eastAsiaTheme="majorEastAsia" w:hAnsiTheme="majorEastAsia" w:cs="宋体"/>
          <w:color w:val="999999"/>
          <w:kern w:val="0"/>
          <w:sz w:val="24"/>
          <w:szCs w:val="24"/>
        </w:rPr>
      </w:pPr>
      <w:r w:rsidRPr="009D660F">
        <w:rPr>
          <w:rFonts w:asciiTheme="majorEastAsia" w:eastAsiaTheme="majorEastAsia" w:hAnsiTheme="majorEastAsia" w:cs="宋体" w:hint="eastAsia"/>
          <w:color w:val="000000"/>
          <w:kern w:val="0"/>
          <w:sz w:val="24"/>
          <w:szCs w:val="24"/>
        </w:rPr>
        <w:t xml:space="preserve"> 新华</w:t>
      </w:r>
      <w:r w:rsidR="00EB5B0D" w:rsidRPr="009D660F">
        <w:rPr>
          <w:rFonts w:asciiTheme="majorEastAsia" w:eastAsiaTheme="majorEastAsia" w:hAnsiTheme="majorEastAsia" w:cs="宋体" w:hint="eastAsia"/>
          <w:color w:val="000000"/>
          <w:kern w:val="0"/>
          <w:sz w:val="24"/>
          <w:szCs w:val="24"/>
        </w:rPr>
        <w:t>基金管理股份有限公司</w:t>
      </w:r>
    </w:p>
    <w:p w:rsidR="00FC7A8A" w:rsidRPr="009D660F" w:rsidRDefault="009467D5" w:rsidP="009467D5">
      <w:pPr>
        <w:widowControl/>
        <w:shd w:val="clear" w:color="auto" w:fill="FFFFFF"/>
        <w:adjustRightInd w:val="0"/>
        <w:spacing w:line="360" w:lineRule="auto"/>
        <w:ind w:firstLineChars="950" w:firstLine="2280"/>
        <w:jc w:val="right"/>
        <w:rPr>
          <w:rFonts w:asciiTheme="majorEastAsia" w:eastAsiaTheme="majorEastAsia" w:hAnsiTheme="majorEastAsia" w:cs="宋体"/>
          <w:color w:val="999999"/>
          <w:kern w:val="0"/>
          <w:sz w:val="24"/>
          <w:szCs w:val="24"/>
        </w:rPr>
      </w:pPr>
      <w:r w:rsidRPr="009D660F">
        <w:rPr>
          <w:rFonts w:asciiTheme="majorEastAsia" w:eastAsiaTheme="majorEastAsia" w:hAnsiTheme="majorEastAsia" w:cs="宋体" w:hint="eastAsia"/>
          <w:color w:val="000000"/>
          <w:kern w:val="0"/>
          <w:sz w:val="24"/>
          <w:szCs w:val="24"/>
        </w:rPr>
        <w:t>202</w:t>
      </w:r>
      <w:r w:rsidR="008C7AB4">
        <w:rPr>
          <w:rFonts w:asciiTheme="majorEastAsia" w:eastAsiaTheme="majorEastAsia" w:hAnsiTheme="majorEastAsia" w:cs="宋体"/>
          <w:color w:val="000000"/>
          <w:kern w:val="0"/>
          <w:sz w:val="24"/>
          <w:szCs w:val="24"/>
        </w:rPr>
        <w:t>3</w:t>
      </w:r>
      <w:r w:rsidRPr="009D660F">
        <w:rPr>
          <w:rFonts w:asciiTheme="majorEastAsia" w:eastAsiaTheme="majorEastAsia" w:hAnsiTheme="majorEastAsia" w:cs="宋体" w:hint="eastAsia"/>
          <w:color w:val="000000"/>
          <w:kern w:val="0"/>
          <w:sz w:val="24"/>
          <w:szCs w:val="24"/>
        </w:rPr>
        <w:t>年</w:t>
      </w:r>
      <w:r w:rsidR="00DC6BB2">
        <w:rPr>
          <w:rFonts w:asciiTheme="majorEastAsia" w:eastAsiaTheme="majorEastAsia" w:hAnsiTheme="majorEastAsia" w:cs="宋体"/>
          <w:color w:val="000000"/>
          <w:kern w:val="0"/>
          <w:sz w:val="24"/>
          <w:szCs w:val="24"/>
        </w:rPr>
        <w:t>9</w:t>
      </w:r>
      <w:r w:rsidRPr="009D660F">
        <w:rPr>
          <w:rFonts w:asciiTheme="majorEastAsia" w:eastAsiaTheme="majorEastAsia" w:hAnsiTheme="majorEastAsia" w:cs="宋体" w:hint="eastAsia"/>
          <w:color w:val="000000"/>
          <w:kern w:val="0"/>
          <w:sz w:val="24"/>
          <w:szCs w:val="24"/>
        </w:rPr>
        <w:t>月</w:t>
      </w:r>
      <w:r w:rsidR="00DC6BB2">
        <w:rPr>
          <w:rFonts w:asciiTheme="majorEastAsia" w:eastAsiaTheme="majorEastAsia" w:hAnsiTheme="majorEastAsia" w:cs="宋体"/>
          <w:color w:val="000000"/>
          <w:kern w:val="0"/>
          <w:sz w:val="24"/>
          <w:szCs w:val="24"/>
        </w:rPr>
        <w:t>5</w:t>
      </w:r>
      <w:r w:rsidRPr="009D660F">
        <w:rPr>
          <w:rFonts w:asciiTheme="majorEastAsia" w:eastAsiaTheme="majorEastAsia" w:hAnsiTheme="majorEastAsia" w:cs="宋体" w:hint="eastAsia"/>
          <w:color w:val="000000"/>
          <w:kern w:val="0"/>
          <w:sz w:val="24"/>
          <w:szCs w:val="24"/>
        </w:rPr>
        <w:t>日</w:t>
      </w:r>
    </w:p>
    <w:p w:rsidR="004F52C0" w:rsidRPr="009D660F" w:rsidRDefault="004F52C0">
      <w:pPr>
        <w:rPr>
          <w:rFonts w:asciiTheme="majorEastAsia" w:eastAsiaTheme="majorEastAsia" w:hAnsiTheme="majorEastAsia"/>
          <w:sz w:val="24"/>
          <w:szCs w:val="24"/>
        </w:rPr>
      </w:pPr>
    </w:p>
    <w:sectPr w:rsidR="004F52C0" w:rsidRPr="009D660F" w:rsidSect="001462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D9" w:rsidRDefault="000078D9" w:rsidP="005E0688">
      <w:r>
        <w:separator/>
      </w:r>
    </w:p>
  </w:endnote>
  <w:endnote w:type="continuationSeparator" w:id="0">
    <w:p w:rsidR="000078D9" w:rsidRDefault="000078D9" w:rsidP="005E0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D9" w:rsidRDefault="000078D9" w:rsidP="005E0688">
      <w:r>
        <w:separator/>
      </w:r>
    </w:p>
  </w:footnote>
  <w:footnote w:type="continuationSeparator" w:id="0">
    <w:p w:rsidR="000078D9" w:rsidRDefault="000078D9" w:rsidP="005E0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7FA15"/>
    <w:multiLevelType w:val="singleLevel"/>
    <w:tmpl w:val="5657FA1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A8A"/>
    <w:rsid w:val="000078D9"/>
    <w:rsid w:val="00046A38"/>
    <w:rsid w:val="0006483B"/>
    <w:rsid w:val="00072C1A"/>
    <w:rsid w:val="00077B24"/>
    <w:rsid w:val="000B2DF9"/>
    <w:rsid w:val="000C55C6"/>
    <w:rsid w:val="000C6D92"/>
    <w:rsid w:val="001360D3"/>
    <w:rsid w:val="0014622E"/>
    <w:rsid w:val="0015728D"/>
    <w:rsid w:val="00165E88"/>
    <w:rsid w:val="001874BE"/>
    <w:rsid w:val="001929DC"/>
    <w:rsid w:val="001D3362"/>
    <w:rsid w:val="00204522"/>
    <w:rsid w:val="0023377A"/>
    <w:rsid w:val="00264C10"/>
    <w:rsid w:val="002C0312"/>
    <w:rsid w:val="002C401C"/>
    <w:rsid w:val="00314A00"/>
    <w:rsid w:val="0031747D"/>
    <w:rsid w:val="00341ACD"/>
    <w:rsid w:val="00391E2D"/>
    <w:rsid w:val="003B5F9A"/>
    <w:rsid w:val="003C0ED8"/>
    <w:rsid w:val="003D14BB"/>
    <w:rsid w:val="004112EB"/>
    <w:rsid w:val="00415713"/>
    <w:rsid w:val="00431B7C"/>
    <w:rsid w:val="00435A85"/>
    <w:rsid w:val="004631BA"/>
    <w:rsid w:val="004A7F10"/>
    <w:rsid w:val="004E413C"/>
    <w:rsid w:val="004F52C0"/>
    <w:rsid w:val="005152F0"/>
    <w:rsid w:val="0052578F"/>
    <w:rsid w:val="0053134C"/>
    <w:rsid w:val="0053561D"/>
    <w:rsid w:val="00557464"/>
    <w:rsid w:val="005844F8"/>
    <w:rsid w:val="00584687"/>
    <w:rsid w:val="0059479B"/>
    <w:rsid w:val="005C2048"/>
    <w:rsid w:val="005C7D01"/>
    <w:rsid w:val="005D4A80"/>
    <w:rsid w:val="005E0688"/>
    <w:rsid w:val="005F0C21"/>
    <w:rsid w:val="00620504"/>
    <w:rsid w:val="00621485"/>
    <w:rsid w:val="006255B9"/>
    <w:rsid w:val="00643BDF"/>
    <w:rsid w:val="00646E9D"/>
    <w:rsid w:val="006717E7"/>
    <w:rsid w:val="00690711"/>
    <w:rsid w:val="006C1201"/>
    <w:rsid w:val="006D3711"/>
    <w:rsid w:val="006E72B9"/>
    <w:rsid w:val="006F0310"/>
    <w:rsid w:val="00715E63"/>
    <w:rsid w:val="00716E53"/>
    <w:rsid w:val="007336CE"/>
    <w:rsid w:val="00755551"/>
    <w:rsid w:val="00764F7C"/>
    <w:rsid w:val="00781BE3"/>
    <w:rsid w:val="007B3069"/>
    <w:rsid w:val="008137A2"/>
    <w:rsid w:val="00830575"/>
    <w:rsid w:val="00836B8F"/>
    <w:rsid w:val="00862756"/>
    <w:rsid w:val="008744F6"/>
    <w:rsid w:val="00875C94"/>
    <w:rsid w:val="00891095"/>
    <w:rsid w:val="008C7AB4"/>
    <w:rsid w:val="008F0376"/>
    <w:rsid w:val="00911132"/>
    <w:rsid w:val="009467D5"/>
    <w:rsid w:val="00951318"/>
    <w:rsid w:val="009710E6"/>
    <w:rsid w:val="009858E0"/>
    <w:rsid w:val="009A1479"/>
    <w:rsid w:val="009A19B3"/>
    <w:rsid w:val="009B0362"/>
    <w:rsid w:val="009C0F9D"/>
    <w:rsid w:val="009C3FC3"/>
    <w:rsid w:val="009D660F"/>
    <w:rsid w:val="009F26A5"/>
    <w:rsid w:val="00A16336"/>
    <w:rsid w:val="00A608D0"/>
    <w:rsid w:val="00A85595"/>
    <w:rsid w:val="00AE3AB4"/>
    <w:rsid w:val="00AF728A"/>
    <w:rsid w:val="00B40EE7"/>
    <w:rsid w:val="00B812E9"/>
    <w:rsid w:val="00B85947"/>
    <w:rsid w:val="00B864C5"/>
    <w:rsid w:val="00B92A51"/>
    <w:rsid w:val="00BC6AFB"/>
    <w:rsid w:val="00BD0541"/>
    <w:rsid w:val="00C00D8A"/>
    <w:rsid w:val="00C300D9"/>
    <w:rsid w:val="00C35115"/>
    <w:rsid w:val="00C372EF"/>
    <w:rsid w:val="00C76178"/>
    <w:rsid w:val="00C81262"/>
    <w:rsid w:val="00C85A5F"/>
    <w:rsid w:val="00CD12C0"/>
    <w:rsid w:val="00D12186"/>
    <w:rsid w:val="00D13214"/>
    <w:rsid w:val="00D55568"/>
    <w:rsid w:val="00DB75DA"/>
    <w:rsid w:val="00DC610C"/>
    <w:rsid w:val="00DC6BB2"/>
    <w:rsid w:val="00DC7E67"/>
    <w:rsid w:val="00DD211A"/>
    <w:rsid w:val="00DD7D74"/>
    <w:rsid w:val="00E23FBE"/>
    <w:rsid w:val="00E74E90"/>
    <w:rsid w:val="00E82F36"/>
    <w:rsid w:val="00E83B3F"/>
    <w:rsid w:val="00E91A6D"/>
    <w:rsid w:val="00E96C48"/>
    <w:rsid w:val="00EA064E"/>
    <w:rsid w:val="00EA66DB"/>
    <w:rsid w:val="00EB5B0D"/>
    <w:rsid w:val="00EC33AD"/>
    <w:rsid w:val="00EC681F"/>
    <w:rsid w:val="00EE6813"/>
    <w:rsid w:val="00F2518F"/>
    <w:rsid w:val="00F32371"/>
    <w:rsid w:val="00F578C8"/>
    <w:rsid w:val="00F73201"/>
    <w:rsid w:val="00FA4391"/>
    <w:rsid w:val="00FC7A8A"/>
    <w:rsid w:val="00FD192F"/>
    <w:rsid w:val="00FE61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B5B0D"/>
    <w:rPr>
      <w:sz w:val="18"/>
      <w:szCs w:val="18"/>
    </w:rPr>
  </w:style>
  <w:style w:type="character" w:customStyle="1" w:styleId="Char">
    <w:name w:val="批注框文本 Char"/>
    <w:basedOn w:val="a0"/>
    <w:link w:val="a4"/>
    <w:uiPriority w:val="99"/>
    <w:semiHidden/>
    <w:rsid w:val="00EB5B0D"/>
    <w:rPr>
      <w:sz w:val="18"/>
      <w:szCs w:val="18"/>
    </w:rPr>
  </w:style>
  <w:style w:type="paragraph" w:styleId="a5">
    <w:name w:val="header"/>
    <w:basedOn w:val="a"/>
    <w:link w:val="Char0"/>
    <w:uiPriority w:val="99"/>
    <w:unhideWhenUsed/>
    <w:rsid w:val="005E06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688"/>
    <w:rPr>
      <w:sz w:val="18"/>
      <w:szCs w:val="18"/>
    </w:rPr>
  </w:style>
  <w:style w:type="paragraph" w:styleId="a6">
    <w:name w:val="footer"/>
    <w:basedOn w:val="a"/>
    <w:link w:val="Char1"/>
    <w:uiPriority w:val="99"/>
    <w:unhideWhenUsed/>
    <w:rsid w:val="005E0688"/>
    <w:pPr>
      <w:tabs>
        <w:tab w:val="center" w:pos="4153"/>
        <w:tab w:val="right" w:pos="8306"/>
      </w:tabs>
      <w:snapToGrid w:val="0"/>
      <w:jc w:val="left"/>
    </w:pPr>
    <w:rPr>
      <w:sz w:val="18"/>
      <w:szCs w:val="18"/>
    </w:rPr>
  </w:style>
  <w:style w:type="character" w:customStyle="1" w:styleId="Char1">
    <w:name w:val="页脚 Char"/>
    <w:basedOn w:val="a0"/>
    <w:link w:val="a6"/>
    <w:uiPriority w:val="99"/>
    <w:rsid w:val="005E0688"/>
    <w:rPr>
      <w:sz w:val="18"/>
      <w:szCs w:val="18"/>
    </w:rPr>
  </w:style>
  <w:style w:type="paragraph" w:styleId="a7">
    <w:name w:val="Revision"/>
    <w:hidden/>
    <w:uiPriority w:val="99"/>
    <w:semiHidden/>
    <w:rsid w:val="005152F0"/>
  </w:style>
  <w:style w:type="character" w:styleId="a8">
    <w:name w:val="annotation reference"/>
    <w:basedOn w:val="a0"/>
    <w:uiPriority w:val="99"/>
    <w:semiHidden/>
    <w:unhideWhenUsed/>
    <w:rsid w:val="009710E6"/>
    <w:rPr>
      <w:sz w:val="21"/>
      <w:szCs w:val="21"/>
    </w:rPr>
  </w:style>
  <w:style w:type="paragraph" w:styleId="a9">
    <w:name w:val="annotation text"/>
    <w:basedOn w:val="a"/>
    <w:link w:val="Char2"/>
    <w:uiPriority w:val="99"/>
    <w:semiHidden/>
    <w:unhideWhenUsed/>
    <w:rsid w:val="009710E6"/>
    <w:pPr>
      <w:jc w:val="left"/>
    </w:pPr>
  </w:style>
  <w:style w:type="character" w:customStyle="1" w:styleId="Char2">
    <w:name w:val="批注文字 Char"/>
    <w:basedOn w:val="a0"/>
    <w:link w:val="a9"/>
    <w:uiPriority w:val="99"/>
    <w:semiHidden/>
    <w:rsid w:val="009710E6"/>
  </w:style>
  <w:style w:type="paragraph" w:styleId="aa">
    <w:name w:val="annotation subject"/>
    <w:basedOn w:val="a9"/>
    <w:next w:val="a9"/>
    <w:link w:val="Char3"/>
    <w:uiPriority w:val="99"/>
    <w:semiHidden/>
    <w:unhideWhenUsed/>
    <w:rsid w:val="009710E6"/>
    <w:rPr>
      <w:b/>
      <w:bCs/>
    </w:rPr>
  </w:style>
  <w:style w:type="character" w:customStyle="1" w:styleId="Char3">
    <w:name w:val="批注主题 Char"/>
    <w:basedOn w:val="Char2"/>
    <w:link w:val="aa"/>
    <w:uiPriority w:val="99"/>
    <w:semiHidden/>
    <w:rsid w:val="009710E6"/>
    <w:rPr>
      <w:b/>
      <w:bCs/>
    </w:rPr>
  </w:style>
</w:styles>
</file>

<file path=word/webSettings.xml><?xml version="1.0" encoding="utf-8"?>
<w:webSettings xmlns:r="http://schemas.openxmlformats.org/officeDocument/2006/relationships" xmlns:w="http://schemas.openxmlformats.org/wordprocessingml/2006/main">
  <w:divs>
    <w:div w:id="37702044">
      <w:bodyDiv w:val="1"/>
      <w:marLeft w:val="0"/>
      <w:marRight w:val="0"/>
      <w:marTop w:val="0"/>
      <w:marBottom w:val="0"/>
      <w:divBdr>
        <w:top w:val="none" w:sz="0" w:space="0" w:color="auto"/>
        <w:left w:val="none" w:sz="0" w:space="0" w:color="auto"/>
        <w:bottom w:val="none" w:sz="0" w:space="0" w:color="auto"/>
        <w:right w:val="none" w:sz="0" w:space="0" w:color="auto"/>
      </w:divBdr>
    </w:div>
    <w:div w:id="56050319">
      <w:bodyDiv w:val="1"/>
      <w:marLeft w:val="0"/>
      <w:marRight w:val="0"/>
      <w:marTop w:val="0"/>
      <w:marBottom w:val="0"/>
      <w:divBdr>
        <w:top w:val="none" w:sz="0" w:space="0" w:color="auto"/>
        <w:left w:val="none" w:sz="0" w:space="0" w:color="auto"/>
        <w:bottom w:val="none" w:sz="0" w:space="0" w:color="auto"/>
        <w:right w:val="none" w:sz="0" w:space="0" w:color="auto"/>
      </w:divBdr>
    </w:div>
    <w:div w:id="94402569">
      <w:bodyDiv w:val="1"/>
      <w:marLeft w:val="0"/>
      <w:marRight w:val="0"/>
      <w:marTop w:val="0"/>
      <w:marBottom w:val="0"/>
      <w:divBdr>
        <w:top w:val="none" w:sz="0" w:space="0" w:color="auto"/>
        <w:left w:val="none" w:sz="0" w:space="0" w:color="auto"/>
        <w:bottom w:val="none" w:sz="0" w:space="0" w:color="auto"/>
        <w:right w:val="none" w:sz="0" w:space="0" w:color="auto"/>
      </w:divBdr>
    </w:div>
    <w:div w:id="150145855">
      <w:bodyDiv w:val="1"/>
      <w:marLeft w:val="0"/>
      <w:marRight w:val="0"/>
      <w:marTop w:val="0"/>
      <w:marBottom w:val="0"/>
      <w:divBdr>
        <w:top w:val="none" w:sz="0" w:space="0" w:color="auto"/>
        <w:left w:val="none" w:sz="0" w:space="0" w:color="auto"/>
        <w:bottom w:val="none" w:sz="0" w:space="0" w:color="auto"/>
        <w:right w:val="none" w:sz="0" w:space="0" w:color="auto"/>
      </w:divBdr>
    </w:div>
    <w:div w:id="166136430">
      <w:bodyDiv w:val="1"/>
      <w:marLeft w:val="0"/>
      <w:marRight w:val="0"/>
      <w:marTop w:val="0"/>
      <w:marBottom w:val="0"/>
      <w:divBdr>
        <w:top w:val="none" w:sz="0" w:space="0" w:color="auto"/>
        <w:left w:val="none" w:sz="0" w:space="0" w:color="auto"/>
        <w:bottom w:val="none" w:sz="0" w:space="0" w:color="auto"/>
        <w:right w:val="none" w:sz="0" w:space="0" w:color="auto"/>
      </w:divBdr>
    </w:div>
    <w:div w:id="212927152">
      <w:bodyDiv w:val="1"/>
      <w:marLeft w:val="0"/>
      <w:marRight w:val="0"/>
      <w:marTop w:val="0"/>
      <w:marBottom w:val="0"/>
      <w:divBdr>
        <w:top w:val="none" w:sz="0" w:space="0" w:color="auto"/>
        <w:left w:val="none" w:sz="0" w:space="0" w:color="auto"/>
        <w:bottom w:val="none" w:sz="0" w:space="0" w:color="auto"/>
        <w:right w:val="none" w:sz="0" w:space="0" w:color="auto"/>
      </w:divBdr>
    </w:div>
    <w:div w:id="271281817">
      <w:bodyDiv w:val="1"/>
      <w:marLeft w:val="0"/>
      <w:marRight w:val="0"/>
      <w:marTop w:val="0"/>
      <w:marBottom w:val="0"/>
      <w:divBdr>
        <w:top w:val="none" w:sz="0" w:space="0" w:color="auto"/>
        <w:left w:val="none" w:sz="0" w:space="0" w:color="auto"/>
        <w:bottom w:val="none" w:sz="0" w:space="0" w:color="auto"/>
        <w:right w:val="none" w:sz="0" w:space="0" w:color="auto"/>
      </w:divBdr>
    </w:div>
    <w:div w:id="312881263">
      <w:bodyDiv w:val="1"/>
      <w:marLeft w:val="0"/>
      <w:marRight w:val="0"/>
      <w:marTop w:val="0"/>
      <w:marBottom w:val="0"/>
      <w:divBdr>
        <w:top w:val="none" w:sz="0" w:space="0" w:color="auto"/>
        <w:left w:val="none" w:sz="0" w:space="0" w:color="auto"/>
        <w:bottom w:val="none" w:sz="0" w:space="0" w:color="auto"/>
        <w:right w:val="none" w:sz="0" w:space="0" w:color="auto"/>
      </w:divBdr>
    </w:div>
    <w:div w:id="366570403">
      <w:bodyDiv w:val="1"/>
      <w:marLeft w:val="0"/>
      <w:marRight w:val="0"/>
      <w:marTop w:val="0"/>
      <w:marBottom w:val="0"/>
      <w:divBdr>
        <w:top w:val="none" w:sz="0" w:space="0" w:color="auto"/>
        <w:left w:val="none" w:sz="0" w:space="0" w:color="auto"/>
        <w:bottom w:val="none" w:sz="0" w:space="0" w:color="auto"/>
        <w:right w:val="none" w:sz="0" w:space="0" w:color="auto"/>
      </w:divBdr>
    </w:div>
    <w:div w:id="396631368">
      <w:bodyDiv w:val="1"/>
      <w:marLeft w:val="0"/>
      <w:marRight w:val="0"/>
      <w:marTop w:val="0"/>
      <w:marBottom w:val="0"/>
      <w:divBdr>
        <w:top w:val="none" w:sz="0" w:space="0" w:color="auto"/>
        <w:left w:val="none" w:sz="0" w:space="0" w:color="auto"/>
        <w:bottom w:val="none" w:sz="0" w:space="0" w:color="auto"/>
        <w:right w:val="none" w:sz="0" w:space="0" w:color="auto"/>
      </w:divBdr>
    </w:div>
    <w:div w:id="444154050">
      <w:bodyDiv w:val="1"/>
      <w:marLeft w:val="0"/>
      <w:marRight w:val="0"/>
      <w:marTop w:val="0"/>
      <w:marBottom w:val="0"/>
      <w:divBdr>
        <w:top w:val="none" w:sz="0" w:space="0" w:color="auto"/>
        <w:left w:val="none" w:sz="0" w:space="0" w:color="auto"/>
        <w:bottom w:val="none" w:sz="0" w:space="0" w:color="auto"/>
        <w:right w:val="none" w:sz="0" w:space="0" w:color="auto"/>
      </w:divBdr>
    </w:div>
    <w:div w:id="446194528">
      <w:bodyDiv w:val="1"/>
      <w:marLeft w:val="0"/>
      <w:marRight w:val="0"/>
      <w:marTop w:val="0"/>
      <w:marBottom w:val="0"/>
      <w:divBdr>
        <w:top w:val="none" w:sz="0" w:space="0" w:color="auto"/>
        <w:left w:val="none" w:sz="0" w:space="0" w:color="auto"/>
        <w:bottom w:val="none" w:sz="0" w:space="0" w:color="auto"/>
        <w:right w:val="none" w:sz="0" w:space="0" w:color="auto"/>
      </w:divBdr>
    </w:div>
    <w:div w:id="500125027">
      <w:bodyDiv w:val="1"/>
      <w:marLeft w:val="0"/>
      <w:marRight w:val="0"/>
      <w:marTop w:val="0"/>
      <w:marBottom w:val="0"/>
      <w:divBdr>
        <w:top w:val="none" w:sz="0" w:space="0" w:color="auto"/>
        <w:left w:val="none" w:sz="0" w:space="0" w:color="auto"/>
        <w:bottom w:val="none" w:sz="0" w:space="0" w:color="auto"/>
        <w:right w:val="none" w:sz="0" w:space="0" w:color="auto"/>
      </w:divBdr>
    </w:div>
    <w:div w:id="659968118">
      <w:bodyDiv w:val="1"/>
      <w:marLeft w:val="0"/>
      <w:marRight w:val="0"/>
      <w:marTop w:val="0"/>
      <w:marBottom w:val="0"/>
      <w:divBdr>
        <w:top w:val="none" w:sz="0" w:space="0" w:color="auto"/>
        <w:left w:val="none" w:sz="0" w:space="0" w:color="auto"/>
        <w:bottom w:val="none" w:sz="0" w:space="0" w:color="auto"/>
        <w:right w:val="none" w:sz="0" w:space="0" w:color="auto"/>
      </w:divBdr>
    </w:div>
    <w:div w:id="813182534">
      <w:bodyDiv w:val="1"/>
      <w:marLeft w:val="0"/>
      <w:marRight w:val="0"/>
      <w:marTop w:val="0"/>
      <w:marBottom w:val="0"/>
      <w:divBdr>
        <w:top w:val="none" w:sz="0" w:space="0" w:color="auto"/>
        <w:left w:val="none" w:sz="0" w:space="0" w:color="auto"/>
        <w:bottom w:val="none" w:sz="0" w:space="0" w:color="auto"/>
        <w:right w:val="none" w:sz="0" w:space="0" w:color="auto"/>
      </w:divBdr>
    </w:div>
    <w:div w:id="1015764682">
      <w:bodyDiv w:val="1"/>
      <w:marLeft w:val="0"/>
      <w:marRight w:val="0"/>
      <w:marTop w:val="0"/>
      <w:marBottom w:val="0"/>
      <w:divBdr>
        <w:top w:val="none" w:sz="0" w:space="0" w:color="auto"/>
        <w:left w:val="none" w:sz="0" w:space="0" w:color="auto"/>
        <w:bottom w:val="none" w:sz="0" w:space="0" w:color="auto"/>
        <w:right w:val="none" w:sz="0" w:space="0" w:color="auto"/>
      </w:divBdr>
    </w:div>
    <w:div w:id="1125582397">
      <w:bodyDiv w:val="1"/>
      <w:marLeft w:val="0"/>
      <w:marRight w:val="0"/>
      <w:marTop w:val="0"/>
      <w:marBottom w:val="0"/>
      <w:divBdr>
        <w:top w:val="none" w:sz="0" w:space="0" w:color="auto"/>
        <w:left w:val="none" w:sz="0" w:space="0" w:color="auto"/>
        <w:bottom w:val="none" w:sz="0" w:space="0" w:color="auto"/>
        <w:right w:val="none" w:sz="0" w:space="0" w:color="auto"/>
      </w:divBdr>
    </w:div>
    <w:div w:id="1145320352">
      <w:bodyDiv w:val="1"/>
      <w:marLeft w:val="0"/>
      <w:marRight w:val="0"/>
      <w:marTop w:val="0"/>
      <w:marBottom w:val="0"/>
      <w:divBdr>
        <w:top w:val="none" w:sz="0" w:space="0" w:color="auto"/>
        <w:left w:val="none" w:sz="0" w:space="0" w:color="auto"/>
        <w:bottom w:val="none" w:sz="0" w:space="0" w:color="auto"/>
        <w:right w:val="none" w:sz="0" w:space="0" w:color="auto"/>
      </w:divBdr>
    </w:div>
    <w:div w:id="1180774855">
      <w:bodyDiv w:val="1"/>
      <w:marLeft w:val="0"/>
      <w:marRight w:val="0"/>
      <w:marTop w:val="0"/>
      <w:marBottom w:val="0"/>
      <w:divBdr>
        <w:top w:val="none" w:sz="0" w:space="0" w:color="auto"/>
        <w:left w:val="none" w:sz="0" w:space="0" w:color="auto"/>
        <w:bottom w:val="none" w:sz="0" w:space="0" w:color="auto"/>
        <w:right w:val="none" w:sz="0" w:space="0" w:color="auto"/>
      </w:divBdr>
    </w:div>
    <w:div w:id="1181045488">
      <w:bodyDiv w:val="1"/>
      <w:marLeft w:val="0"/>
      <w:marRight w:val="0"/>
      <w:marTop w:val="0"/>
      <w:marBottom w:val="0"/>
      <w:divBdr>
        <w:top w:val="none" w:sz="0" w:space="0" w:color="auto"/>
        <w:left w:val="none" w:sz="0" w:space="0" w:color="auto"/>
        <w:bottom w:val="none" w:sz="0" w:space="0" w:color="auto"/>
        <w:right w:val="none" w:sz="0" w:space="0" w:color="auto"/>
      </w:divBdr>
    </w:div>
    <w:div w:id="1188105990">
      <w:bodyDiv w:val="1"/>
      <w:marLeft w:val="0"/>
      <w:marRight w:val="0"/>
      <w:marTop w:val="0"/>
      <w:marBottom w:val="0"/>
      <w:divBdr>
        <w:top w:val="none" w:sz="0" w:space="0" w:color="auto"/>
        <w:left w:val="none" w:sz="0" w:space="0" w:color="auto"/>
        <w:bottom w:val="none" w:sz="0" w:space="0" w:color="auto"/>
        <w:right w:val="none" w:sz="0" w:space="0" w:color="auto"/>
      </w:divBdr>
    </w:div>
    <w:div w:id="1231115075">
      <w:bodyDiv w:val="1"/>
      <w:marLeft w:val="0"/>
      <w:marRight w:val="0"/>
      <w:marTop w:val="0"/>
      <w:marBottom w:val="0"/>
      <w:divBdr>
        <w:top w:val="none" w:sz="0" w:space="0" w:color="auto"/>
        <w:left w:val="none" w:sz="0" w:space="0" w:color="auto"/>
        <w:bottom w:val="none" w:sz="0" w:space="0" w:color="auto"/>
        <w:right w:val="none" w:sz="0" w:space="0" w:color="auto"/>
      </w:divBdr>
    </w:div>
    <w:div w:id="1262255011">
      <w:bodyDiv w:val="1"/>
      <w:marLeft w:val="0"/>
      <w:marRight w:val="0"/>
      <w:marTop w:val="0"/>
      <w:marBottom w:val="0"/>
      <w:divBdr>
        <w:top w:val="none" w:sz="0" w:space="0" w:color="auto"/>
        <w:left w:val="none" w:sz="0" w:space="0" w:color="auto"/>
        <w:bottom w:val="none" w:sz="0" w:space="0" w:color="auto"/>
        <w:right w:val="none" w:sz="0" w:space="0" w:color="auto"/>
      </w:divBdr>
    </w:div>
    <w:div w:id="1357390791">
      <w:bodyDiv w:val="1"/>
      <w:marLeft w:val="0"/>
      <w:marRight w:val="0"/>
      <w:marTop w:val="0"/>
      <w:marBottom w:val="0"/>
      <w:divBdr>
        <w:top w:val="none" w:sz="0" w:space="0" w:color="auto"/>
        <w:left w:val="none" w:sz="0" w:space="0" w:color="auto"/>
        <w:bottom w:val="none" w:sz="0" w:space="0" w:color="auto"/>
        <w:right w:val="none" w:sz="0" w:space="0" w:color="auto"/>
      </w:divBdr>
    </w:div>
    <w:div w:id="1375230887">
      <w:bodyDiv w:val="1"/>
      <w:marLeft w:val="0"/>
      <w:marRight w:val="0"/>
      <w:marTop w:val="0"/>
      <w:marBottom w:val="0"/>
      <w:divBdr>
        <w:top w:val="none" w:sz="0" w:space="0" w:color="auto"/>
        <w:left w:val="none" w:sz="0" w:space="0" w:color="auto"/>
        <w:bottom w:val="none" w:sz="0" w:space="0" w:color="auto"/>
        <w:right w:val="none" w:sz="0" w:space="0" w:color="auto"/>
      </w:divBdr>
    </w:div>
    <w:div w:id="1499342372">
      <w:bodyDiv w:val="1"/>
      <w:marLeft w:val="0"/>
      <w:marRight w:val="0"/>
      <w:marTop w:val="0"/>
      <w:marBottom w:val="0"/>
      <w:divBdr>
        <w:top w:val="none" w:sz="0" w:space="0" w:color="auto"/>
        <w:left w:val="none" w:sz="0" w:space="0" w:color="auto"/>
        <w:bottom w:val="none" w:sz="0" w:space="0" w:color="auto"/>
        <w:right w:val="none" w:sz="0" w:space="0" w:color="auto"/>
      </w:divBdr>
    </w:div>
    <w:div w:id="1540699602">
      <w:bodyDiv w:val="1"/>
      <w:marLeft w:val="0"/>
      <w:marRight w:val="0"/>
      <w:marTop w:val="0"/>
      <w:marBottom w:val="0"/>
      <w:divBdr>
        <w:top w:val="none" w:sz="0" w:space="0" w:color="auto"/>
        <w:left w:val="none" w:sz="0" w:space="0" w:color="auto"/>
        <w:bottom w:val="none" w:sz="0" w:space="0" w:color="auto"/>
        <w:right w:val="none" w:sz="0" w:space="0" w:color="auto"/>
      </w:divBdr>
    </w:div>
    <w:div w:id="1544946567">
      <w:bodyDiv w:val="1"/>
      <w:marLeft w:val="0"/>
      <w:marRight w:val="0"/>
      <w:marTop w:val="0"/>
      <w:marBottom w:val="0"/>
      <w:divBdr>
        <w:top w:val="none" w:sz="0" w:space="0" w:color="auto"/>
        <w:left w:val="none" w:sz="0" w:space="0" w:color="auto"/>
        <w:bottom w:val="none" w:sz="0" w:space="0" w:color="auto"/>
        <w:right w:val="none" w:sz="0" w:space="0" w:color="auto"/>
      </w:divBdr>
    </w:div>
    <w:div w:id="1635065366">
      <w:bodyDiv w:val="1"/>
      <w:marLeft w:val="0"/>
      <w:marRight w:val="0"/>
      <w:marTop w:val="0"/>
      <w:marBottom w:val="0"/>
      <w:divBdr>
        <w:top w:val="none" w:sz="0" w:space="0" w:color="auto"/>
        <w:left w:val="none" w:sz="0" w:space="0" w:color="auto"/>
        <w:bottom w:val="none" w:sz="0" w:space="0" w:color="auto"/>
        <w:right w:val="none" w:sz="0" w:space="0" w:color="auto"/>
      </w:divBdr>
    </w:div>
    <w:div w:id="1669409325">
      <w:bodyDiv w:val="1"/>
      <w:marLeft w:val="0"/>
      <w:marRight w:val="0"/>
      <w:marTop w:val="0"/>
      <w:marBottom w:val="0"/>
      <w:divBdr>
        <w:top w:val="none" w:sz="0" w:space="0" w:color="auto"/>
        <w:left w:val="none" w:sz="0" w:space="0" w:color="auto"/>
        <w:bottom w:val="none" w:sz="0" w:space="0" w:color="auto"/>
        <w:right w:val="none" w:sz="0" w:space="0" w:color="auto"/>
      </w:divBdr>
    </w:div>
    <w:div w:id="1678267524">
      <w:bodyDiv w:val="1"/>
      <w:marLeft w:val="0"/>
      <w:marRight w:val="0"/>
      <w:marTop w:val="0"/>
      <w:marBottom w:val="0"/>
      <w:divBdr>
        <w:top w:val="none" w:sz="0" w:space="0" w:color="auto"/>
        <w:left w:val="none" w:sz="0" w:space="0" w:color="auto"/>
        <w:bottom w:val="none" w:sz="0" w:space="0" w:color="auto"/>
        <w:right w:val="none" w:sz="0" w:space="0" w:color="auto"/>
      </w:divBdr>
    </w:div>
    <w:div w:id="1686901566">
      <w:bodyDiv w:val="1"/>
      <w:marLeft w:val="0"/>
      <w:marRight w:val="0"/>
      <w:marTop w:val="0"/>
      <w:marBottom w:val="0"/>
      <w:divBdr>
        <w:top w:val="none" w:sz="0" w:space="0" w:color="auto"/>
        <w:left w:val="none" w:sz="0" w:space="0" w:color="auto"/>
        <w:bottom w:val="none" w:sz="0" w:space="0" w:color="auto"/>
        <w:right w:val="none" w:sz="0" w:space="0" w:color="auto"/>
      </w:divBdr>
    </w:div>
    <w:div w:id="1698964402">
      <w:bodyDiv w:val="1"/>
      <w:marLeft w:val="0"/>
      <w:marRight w:val="0"/>
      <w:marTop w:val="0"/>
      <w:marBottom w:val="0"/>
      <w:divBdr>
        <w:top w:val="none" w:sz="0" w:space="0" w:color="auto"/>
        <w:left w:val="none" w:sz="0" w:space="0" w:color="auto"/>
        <w:bottom w:val="none" w:sz="0" w:space="0" w:color="auto"/>
        <w:right w:val="none" w:sz="0" w:space="0" w:color="auto"/>
      </w:divBdr>
    </w:div>
    <w:div w:id="1702583959">
      <w:bodyDiv w:val="1"/>
      <w:marLeft w:val="0"/>
      <w:marRight w:val="0"/>
      <w:marTop w:val="0"/>
      <w:marBottom w:val="0"/>
      <w:divBdr>
        <w:top w:val="none" w:sz="0" w:space="0" w:color="auto"/>
        <w:left w:val="none" w:sz="0" w:space="0" w:color="auto"/>
        <w:bottom w:val="none" w:sz="0" w:space="0" w:color="auto"/>
        <w:right w:val="none" w:sz="0" w:space="0" w:color="auto"/>
      </w:divBdr>
    </w:div>
    <w:div w:id="1789279580">
      <w:bodyDiv w:val="1"/>
      <w:marLeft w:val="0"/>
      <w:marRight w:val="0"/>
      <w:marTop w:val="0"/>
      <w:marBottom w:val="0"/>
      <w:divBdr>
        <w:top w:val="none" w:sz="0" w:space="0" w:color="auto"/>
        <w:left w:val="none" w:sz="0" w:space="0" w:color="auto"/>
        <w:bottom w:val="none" w:sz="0" w:space="0" w:color="auto"/>
        <w:right w:val="none" w:sz="0" w:space="0" w:color="auto"/>
      </w:divBdr>
    </w:div>
    <w:div w:id="1875146955">
      <w:bodyDiv w:val="1"/>
      <w:marLeft w:val="0"/>
      <w:marRight w:val="0"/>
      <w:marTop w:val="0"/>
      <w:marBottom w:val="0"/>
      <w:divBdr>
        <w:top w:val="none" w:sz="0" w:space="0" w:color="auto"/>
        <w:left w:val="none" w:sz="0" w:space="0" w:color="auto"/>
        <w:bottom w:val="none" w:sz="0" w:space="0" w:color="auto"/>
        <w:right w:val="none" w:sz="0" w:space="0" w:color="auto"/>
      </w:divBdr>
    </w:div>
    <w:div w:id="1898277491">
      <w:bodyDiv w:val="1"/>
      <w:marLeft w:val="0"/>
      <w:marRight w:val="0"/>
      <w:marTop w:val="0"/>
      <w:marBottom w:val="0"/>
      <w:divBdr>
        <w:top w:val="none" w:sz="0" w:space="0" w:color="auto"/>
        <w:left w:val="none" w:sz="0" w:space="0" w:color="auto"/>
        <w:bottom w:val="none" w:sz="0" w:space="0" w:color="auto"/>
        <w:right w:val="none" w:sz="0" w:space="0" w:color="auto"/>
      </w:divBdr>
    </w:div>
    <w:div w:id="1904558506">
      <w:bodyDiv w:val="1"/>
      <w:marLeft w:val="0"/>
      <w:marRight w:val="0"/>
      <w:marTop w:val="0"/>
      <w:marBottom w:val="0"/>
      <w:divBdr>
        <w:top w:val="none" w:sz="0" w:space="0" w:color="auto"/>
        <w:left w:val="none" w:sz="0" w:space="0" w:color="auto"/>
        <w:bottom w:val="none" w:sz="0" w:space="0" w:color="auto"/>
        <w:right w:val="none" w:sz="0" w:space="0" w:color="auto"/>
      </w:divBdr>
    </w:div>
    <w:div w:id="1965428444">
      <w:bodyDiv w:val="1"/>
      <w:marLeft w:val="0"/>
      <w:marRight w:val="0"/>
      <w:marTop w:val="0"/>
      <w:marBottom w:val="0"/>
      <w:divBdr>
        <w:top w:val="none" w:sz="0" w:space="0" w:color="auto"/>
        <w:left w:val="none" w:sz="0" w:space="0" w:color="auto"/>
        <w:bottom w:val="none" w:sz="0" w:space="0" w:color="auto"/>
        <w:right w:val="none" w:sz="0" w:space="0" w:color="auto"/>
      </w:divBdr>
    </w:div>
    <w:div w:id="1972857999">
      <w:bodyDiv w:val="1"/>
      <w:marLeft w:val="0"/>
      <w:marRight w:val="0"/>
      <w:marTop w:val="0"/>
      <w:marBottom w:val="0"/>
      <w:divBdr>
        <w:top w:val="none" w:sz="0" w:space="0" w:color="auto"/>
        <w:left w:val="none" w:sz="0" w:space="0" w:color="auto"/>
        <w:bottom w:val="none" w:sz="0" w:space="0" w:color="auto"/>
        <w:right w:val="none" w:sz="0" w:space="0" w:color="auto"/>
      </w:divBdr>
    </w:div>
    <w:div w:id="1998997239">
      <w:bodyDiv w:val="1"/>
      <w:marLeft w:val="0"/>
      <w:marRight w:val="0"/>
      <w:marTop w:val="0"/>
      <w:marBottom w:val="0"/>
      <w:divBdr>
        <w:top w:val="none" w:sz="0" w:space="0" w:color="auto"/>
        <w:left w:val="none" w:sz="0" w:space="0" w:color="auto"/>
        <w:bottom w:val="none" w:sz="0" w:space="0" w:color="auto"/>
        <w:right w:val="none" w:sz="0" w:space="0" w:color="auto"/>
      </w:divBdr>
    </w:div>
    <w:div w:id="2040155620">
      <w:bodyDiv w:val="1"/>
      <w:marLeft w:val="0"/>
      <w:marRight w:val="0"/>
      <w:marTop w:val="0"/>
      <w:marBottom w:val="0"/>
      <w:divBdr>
        <w:top w:val="none" w:sz="0" w:space="0" w:color="auto"/>
        <w:left w:val="none" w:sz="0" w:space="0" w:color="auto"/>
        <w:bottom w:val="none" w:sz="0" w:space="0" w:color="auto"/>
        <w:right w:val="none" w:sz="0" w:space="0" w:color="auto"/>
      </w:divBdr>
    </w:div>
    <w:div w:id="2086493795">
      <w:bodyDiv w:val="1"/>
      <w:marLeft w:val="0"/>
      <w:marRight w:val="0"/>
      <w:marTop w:val="0"/>
      <w:marBottom w:val="0"/>
      <w:divBdr>
        <w:top w:val="none" w:sz="0" w:space="0" w:color="auto"/>
        <w:left w:val="none" w:sz="0" w:space="0" w:color="auto"/>
        <w:bottom w:val="none" w:sz="0" w:space="0" w:color="auto"/>
        <w:right w:val="none" w:sz="0" w:space="0" w:color="auto"/>
      </w:divBdr>
    </w:div>
    <w:div w:id="2121339219">
      <w:bodyDiv w:val="1"/>
      <w:marLeft w:val="0"/>
      <w:marRight w:val="0"/>
      <w:marTop w:val="0"/>
      <w:marBottom w:val="0"/>
      <w:divBdr>
        <w:top w:val="none" w:sz="0" w:space="0" w:color="auto"/>
        <w:left w:val="none" w:sz="0" w:space="0" w:color="auto"/>
        <w:bottom w:val="none" w:sz="0" w:space="0" w:color="auto"/>
        <w:right w:val="none" w:sz="0" w:space="0" w:color="auto"/>
      </w:divBdr>
    </w:div>
    <w:div w:id="21419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1553</Characters>
  <Application>Microsoft Office Word</Application>
  <DocSecurity>4</DocSecurity>
  <Lines>12</Lines>
  <Paragraphs>3</Paragraphs>
  <ScaleCrop>false</ScaleCrop>
  <Company>chenzy</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杨韵涵</dc:creator>
  <cp:keywords/>
  <dc:description/>
  <cp:lastModifiedBy>ZHONGM</cp:lastModifiedBy>
  <cp:revision>2</cp:revision>
  <dcterms:created xsi:type="dcterms:W3CDTF">2023-09-04T16:01:00Z</dcterms:created>
  <dcterms:modified xsi:type="dcterms:W3CDTF">2023-09-04T16:01:00Z</dcterms:modified>
</cp:coreProperties>
</file>