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D" w:rsidRDefault="001417E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山西证券股份有限公司关于旗下</w:t>
      </w:r>
      <w:r>
        <w:rPr>
          <w:rFonts w:hint="eastAsia"/>
          <w:b/>
          <w:bCs/>
          <w:sz w:val="32"/>
          <w:szCs w:val="32"/>
        </w:rPr>
        <w:t>部分公募</w:t>
      </w:r>
      <w:r>
        <w:rPr>
          <w:b/>
          <w:bCs/>
          <w:sz w:val="32"/>
          <w:szCs w:val="32"/>
        </w:rPr>
        <w:t>基金</w:t>
      </w:r>
    </w:p>
    <w:p w:rsidR="006708CD" w:rsidRDefault="001417E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实行费率优惠的公告</w:t>
      </w:r>
    </w:p>
    <w:p w:rsidR="006708CD" w:rsidRDefault="006708CD">
      <w:pPr>
        <w:spacing w:line="360" w:lineRule="auto"/>
        <w:rPr>
          <w:sz w:val="24"/>
          <w:szCs w:val="24"/>
        </w:rPr>
      </w:pP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为了更好的满足投资者的投资需求，山西证券股份有限公司（以下简称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本公司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）决定自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5</w:t>
      </w:r>
      <w:r>
        <w:rPr>
          <w:sz w:val="24"/>
          <w:szCs w:val="24"/>
        </w:rPr>
        <w:t>日起，对投资者通过</w:t>
      </w:r>
      <w:r>
        <w:rPr>
          <w:rFonts w:hint="eastAsia"/>
          <w:sz w:val="24"/>
          <w:szCs w:val="24"/>
        </w:rPr>
        <w:t>山西证券股份有限公司营业部（以下简称“本公司营业部”）交易系统</w:t>
      </w:r>
      <w:r>
        <w:rPr>
          <w:sz w:val="24"/>
          <w:szCs w:val="24"/>
        </w:rPr>
        <w:t>申购的</w:t>
      </w:r>
      <w:r>
        <w:rPr>
          <w:rFonts w:hint="eastAsia"/>
          <w:sz w:val="24"/>
          <w:szCs w:val="24"/>
        </w:rPr>
        <w:t>山西证券旗下部分公募基金</w:t>
      </w:r>
      <w:r>
        <w:rPr>
          <w:sz w:val="24"/>
          <w:szCs w:val="24"/>
        </w:rPr>
        <w:t>实行费率优惠。现将有关事项公告如下：</w:t>
      </w:r>
      <w:r>
        <w:rPr>
          <w:sz w:val="24"/>
          <w:szCs w:val="24"/>
        </w:rPr>
        <w:t xml:space="preserve"> </w:t>
      </w:r>
    </w:p>
    <w:p w:rsidR="006708CD" w:rsidRDefault="006708CD">
      <w:pPr>
        <w:spacing w:line="360" w:lineRule="auto"/>
        <w:ind w:firstLine="720"/>
        <w:rPr>
          <w:sz w:val="24"/>
          <w:szCs w:val="24"/>
        </w:rPr>
      </w:pPr>
    </w:p>
    <w:p w:rsidR="006708CD" w:rsidRDefault="001417E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一、适用基金</w:t>
      </w:r>
      <w:r>
        <w:rPr>
          <w:b/>
          <w:bCs/>
          <w:sz w:val="24"/>
          <w:szCs w:val="24"/>
        </w:rPr>
        <w:t xml:space="preserve"> </w:t>
      </w:r>
    </w:p>
    <w:tbl>
      <w:tblPr>
        <w:tblW w:w="8039" w:type="dxa"/>
        <w:tblInd w:w="96" w:type="dxa"/>
        <w:tblLayout w:type="fixed"/>
        <w:tblLook w:val="04A0"/>
      </w:tblPr>
      <w:tblGrid>
        <w:gridCol w:w="6536"/>
        <w:gridCol w:w="1503"/>
      </w:tblGrid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基金名称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/>
              </w:rPr>
              <w:t>基金代码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90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天滚动持有短债债券型证券投资基金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014476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山西证券策略精选灵活配置混合型证券投资基金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003659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山西证券改革精选灵活配置混合型证券投资基金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005226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山西证券品质生活混合型证券投资基金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011917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山西证券超短债债券型证券投资基金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006626</w:t>
            </w:r>
          </w:p>
        </w:tc>
      </w:tr>
      <w:tr w:rsidR="006708CD">
        <w:trPr>
          <w:trHeight w:val="61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山西证券丰盈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180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天滚动持有中短债债券型证券投资基金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017201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山西证券裕景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30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天持有期债券型发起式证券投资基金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016881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山西证券裕睿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6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个月定期开放债券型证券投资基金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007268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8CD" w:rsidRDefault="001417E5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山西证券裕享增强债券型发起式证券投资基金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015239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山西证券裕桓一年持有期混合型发起式证券投资基金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009595</w:t>
            </w:r>
          </w:p>
        </w:tc>
      </w:tr>
      <w:tr w:rsidR="006708CD">
        <w:trPr>
          <w:trHeight w:val="5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山西证券裕鑫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180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天持有期债券型发起式证券投资基金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A</w:t>
            </w:r>
            <w:r>
              <w:rPr>
                <w:rStyle w:val="font61"/>
                <w:rFonts w:ascii="宋体" w:eastAsia="宋体" w:hAnsi="宋体" w:cs="宋体"/>
                <w:sz w:val="24"/>
                <w:szCs w:val="24"/>
                <w:lang w:val="en-US"/>
              </w:rPr>
              <w:t>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8CD" w:rsidRDefault="001417E5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016883</w:t>
            </w:r>
          </w:p>
        </w:tc>
      </w:tr>
    </w:tbl>
    <w:p w:rsidR="006708CD" w:rsidRDefault="006708CD">
      <w:pPr>
        <w:spacing w:line="360" w:lineRule="auto"/>
        <w:ind w:firstLine="720"/>
        <w:rPr>
          <w:b/>
          <w:bCs/>
          <w:sz w:val="24"/>
          <w:szCs w:val="24"/>
        </w:rPr>
      </w:pPr>
    </w:p>
    <w:p w:rsidR="006708CD" w:rsidRDefault="001417E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二、具体活动内容</w:t>
      </w:r>
      <w:r>
        <w:rPr>
          <w:b/>
          <w:bCs/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、自</w:t>
      </w:r>
      <w:r>
        <w:rPr>
          <w:sz w:val="24"/>
          <w:szCs w:val="24"/>
        </w:rPr>
        <w:t xml:space="preserve"> 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5</w:t>
      </w:r>
      <w:r>
        <w:rPr>
          <w:sz w:val="24"/>
          <w:szCs w:val="24"/>
        </w:rPr>
        <w:t>日（含）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  <w:lang w:val="en-US"/>
        </w:rPr>
        <w:t>202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  <w:lang w:val="en-US"/>
        </w:rPr>
        <w:t>年</w:t>
      </w:r>
      <w:r>
        <w:rPr>
          <w:rFonts w:hint="eastAsia"/>
          <w:sz w:val="24"/>
          <w:szCs w:val="24"/>
          <w:lang w:val="en-US"/>
        </w:rPr>
        <w:t>12</w:t>
      </w:r>
      <w:r>
        <w:rPr>
          <w:rFonts w:hint="eastAsia"/>
          <w:sz w:val="24"/>
          <w:szCs w:val="24"/>
          <w:lang w:val="en-US"/>
        </w:rPr>
        <w:t>月</w:t>
      </w:r>
      <w:r>
        <w:rPr>
          <w:rFonts w:hint="eastAsia"/>
          <w:sz w:val="24"/>
          <w:szCs w:val="24"/>
          <w:lang w:val="en-US"/>
        </w:rPr>
        <w:t>31</w:t>
      </w:r>
      <w:r>
        <w:rPr>
          <w:rFonts w:hint="eastAsia"/>
          <w:sz w:val="24"/>
          <w:szCs w:val="24"/>
          <w:lang w:val="en-US"/>
        </w:rPr>
        <w:t>日（含）</w:t>
      </w:r>
      <w:r>
        <w:rPr>
          <w:sz w:val="24"/>
          <w:szCs w:val="24"/>
        </w:rPr>
        <w:t>，投资者通过</w:t>
      </w:r>
      <w:r>
        <w:rPr>
          <w:rFonts w:hint="eastAsia"/>
          <w:sz w:val="24"/>
          <w:szCs w:val="24"/>
        </w:rPr>
        <w:t>本公司营业部交易系统</w:t>
      </w:r>
      <w:r>
        <w:rPr>
          <w:sz w:val="24"/>
          <w:szCs w:val="24"/>
        </w:rPr>
        <w:t>申购</w:t>
      </w:r>
      <w:r>
        <w:rPr>
          <w:rFonts w:hint="eastAsia"/>
          <w:sz w:val="24"/>
          <w:szCs w:val="24"/>
          <w:lang w:val="en-US"/>
        </w:rPr>
        <w:t>上述列表中的基金</w:t>
      </w:r>
      <w:r>
        <w:rPr>
          <w:rFonts w:hint="eastAsia"/>
          <w:sz w:val="24"/>
          <w:szCs w:val="24"/>
        </w:rPr>
        <w:t>，享受基金申购费率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含定期定额投资和转换转入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折优惠。</w:t>
      </w:r>
      <w:r>
        <w:rPr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lastRenderedPageBreak/>
        <w:t>2</w:t>
      </w:r>
      <w:r>
        <w:rPr>
          <w:sz w:val="24"/>
          <w:szCs w:val="24"/>
        </w:rPr>
        <w:t>、各基金费率详见各基金合同、招募说明书（更新）等法律文件，以及本公司发布的最新业务公告。优惠前的原费率为固定费率的，则按原费率执行，不参与费率优惠活动。</w:t>
      </w:r>
      <w:r>
        <w:rPr>
          <w:sz w:val="24"/>
          <w:szCs w:val="24"/>
        </w:rPr>
        <w:t xml:space="preserve"> </w:t>
      </w:r>
    </w:p>
    <w:p w:rsidR="006708CD" w:rsidRDefault="006708CD">
      <w:pPr>
        <w:spacing w:line="360" w:lineRule="auto"/>
        <w:ind w:firstLine="720"/>
        <w:rPr>
          <w:sz w:val="24"/>
          <w:szCs w:val="24"/>
        </w:rPr>
      </w:pPr>
    </w:p>
    <w:p w:rsidR="006708CD" w:rsidRDefault="001417E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三、重要提示</w:t>
      </w:r>
      <w:r>
        <w:rPr>
          <w:b/>
          <w:bCs/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</w:t>
      </w:r>
      <w:r>
        <w:rPr>
          <w:sz w:val="24"/>
          <w:szCs w:val="24"/>
        </w:rPr>
        <w:t>、费率优惠活动期间，业务办理的流程以</w:t>
      </w:r>
      <w:r>
        <w:rPr>
          <w:rFonts w:hint="eastAsia"/>
          <w:sz w:val="24"/>
          <w:szCs w:val="24"/>
        </w:rPr>
        <w:t>山西证券股份有限公司营业部</w:t>
      </w:r>
      <w:r>
        <w:rPr>
          <w:sz w:val="24"/>
          <w:szCs w:val="24"/>
        </w:rPr>
        <w:t>的规定为准。投资者欲了解本基金产品详细情况，请仔细阅读本基金的基金合同、招募说明书（更新）等法律文件。</w:t>
      </w:r>
      <w:r>
        <w:rPr>
          <w:sz w:val="24"/>
          <w:szCs w:val="24"/>
        </w:rPr>
        <w:t xml:space="preserve">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</w:t>
      </w:r>
      <w:r>
        <w:rPr>
          <w:sz w:val="24"/>
          <w:szCs w:val="24"/>
        </w:rPr>
        <w:t>、本公告的解释权归本公司所有。</w:t>
      </w:r>
      <w:r>
        <w:rPr>
          <w:sz w:val="24"/>
          <w:szCs w:val="24"/>
        </w:rPr>
        <w:t xml:space="preserve"> </w:t>
      </w:r>
    </w:p>
    <w:p w:rsidR="006708CD" w:rsidRDefault="006708CD">
      <w:pPr>
        <w:spacing w:line="360" w:lineRule="auto"/>
        <w:rPr>
          <w:sz w:val="24"/>
          <w:szCs w:val="24"/>
        </w:rPr>
      </w:pPr>
    </w:p>
    <w:p w:rsidR="006708CD" w:rsidRDefault="001417E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四、投资者可通过以下途径了解或咨询相关情况：</w:t>
      </w:r>
      <w:r>
        <w:rPr>
          <w:b/>
          <w:bCs/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、山西证券股份有限公司</w:t>
      </w:r>
      <w:r>
        <w:rPr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客服电话：</w:t>
      </w:r>
      <w:r>
        <w:rPr>
          <w:rFonts w:hint="eastAsia"/>
          <w:sz w:val="24"/>
          <w:szCs w:val="24"/>
          <w:lang w:val="en-US"/>
        </w:rPr>
        <w:t>0351-</w:t>
      </w:r>
      <w:r>
        <w:rPr>
          <w:sz w:val="24"/>
          <w:szCs w:val="24"/>
        </w:rPr>
        <w:t xml:space="preserve">95573  </w:t>
      </w:r>
    </w:p>
    <w:p w:rsidR="006708CD" w:rsidRDefault="001417E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本公司公募基金业务网站：</w:t>
      </w:r>
      <w:r>
        <w:rPr>
          <w:sz w:val="24"/>
          <w:szCs w:val="24"/>
        </w:rPr>
        <w:t xml:space="preserve">http://publiclyfund.sxzq.com:8000 </w:t>
      </w:r>
    </w:p>
    <w:p w:rsidR="006708CD" w:rsidRDefault="006708CD">
      <w:pPr>
        <w:spacing w:line="360" w:lineRule="auto"/>
        <w:rPr>
          <w:b/>
          <w:bCs/>
          <w:sz w:val="24"/>
          <w:szCs w:val="24"/>
        </w:rPr>
      </w:pPr>
    </w:p>
    <w:p w:rsidR="006708CD" w:rsidRDefault="001417E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五、风险提示</w:t>
      </w:r>
      <w:r>
        <w:rPr>
          <w:b/>
          <w:bCs/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本公司承诺以诚实信用、勤勉尽责的原则管理和运用基金资产，但不保证基金一定盈利，也不保证最低收益。基金的过往业绩及</w:t>
      </w:r>
      <w:r>
        <w:rPr>
          <w:sz w:val="24"/>
          <w:szCs w:val="24"/>
        </w:rPr>
        <w:t>其净值高低并不预示其未来业绩表现。敬请投资者注意风险。投资者投资基金前应认真阅读本基金的基金合同、招募说明书等法律文件，投资与自身风险承受能力相适应的基金。</w:t>
      </w:r>
      <w:r>
        <w:rPr>
          <w:sz w:val="24"/>
          <w:szCs w:val="24"/>
        </w:rPr>
        <w:t xml:space="preserve">  </w:t>
      </w:r>
    </w:p>
    <w:p w:rsidR="006708CD" w:rsidRDefault="001417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特此公告。</w:t>
      </w:r>
    </w:p>
    <w:p w:rsidR="006708CD" w:rsidRDefault="006708CD">
      <w:pPr>
        <w:spacing w:line="360" w:lineRule="auto"/>
        <w:ind w:firstLineChars="200" w:firstLine="480"/>
        <w:rPr>
          <w:sz w:val="24"/>
          <w:szCs w:val="24"/>
        </w:rPr>
      </w:pPr>
    </w:p>
    <w:p w:rsidR="006708CD" w:rsidRDefault="006708CD">
      <w:pPr>
        <w:spacing w:line="360" w:lineRule="auto"/>
        <w:ind w:firstLineChars="200" w:firstLine="480"/>
        <w:rPr>
          <w:sz w:val="24"/>
          <w:szCs w:val="24"/>
        </w:rPr>
      </w:pPr>
    </w:p>
    <w:p w:rsidR="006708CD" w:rsidRDefault="001417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山西证券股份有限公司</w:t>
      </w:r>
      <w:r>
        <w:rPr>
          <w:sz w:val="24"/>
          <w:szCs w:val="24"/>
        </w:rPr>
        <w:t xml:space="preserve"> </w:t>
      </w:r>
    </w:p>
    <w:p w:rsidR="006708CD" w:rsidRDefault="001417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5</w:t>
      </w:r>
      <w:r>
        <w:rPr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6708CD" w:rsidRDefault="006708CD">
      <w:pPr>
        <w:spacing w:line="360" w:lineRule="auto"/>
        <w:rPr>
          <w:sz w:val="24"/>
          <w:szCs w:val="24"/>
        </w:rPr>
      </w:pPr>
    </w:p>
    <w:sectPr w:rsidR="006708CD" w:rsidSect="006708CD"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mUxMTM1Nzc2ZGJkNGYxYzc0NjEwZDBjMDNhNWY2OTEifQ=="/>
  </w:docVars>
  <w:rsids>
    <w:rsidRoot w:val="003125B9"/>
    <w:rsid w:val="001417E5"/>
    <w:rsid w:val="001D06F6"/>
    <w:rsid w:val="002339AE"/>
    <w:rsid w:val="003125B9"/>
    <w:rsid w:val="00424DE7"/>
    <w:rsid w:val="006708CD"/>
    <w:rsid w:val="006B7515"/>
    <w:rsid w:val="007F37C8"/>
    <w:rsid w:val="00997AFC"/>
    <w:rsid w:val="00DF5318"/>
    <w:rsid w:val="03357110"/>
    <w:rsid w:val="199A6168"/>
    <w:rsid w:val="356B680D"/>
    <w:rsid w:val="4C5A54DD"/>
    <w:rsid w:val="713A5D4A"/>
    <w:rsid w:val="7364141A"/>
    <w:rsid w:val="7AFC67D0"/>
    <w:rsid w:val="7D18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708C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708CD"/>
    <w:pPr>
      <w:spacing w:before="3"/>
      <w:ind w:left="6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708CD"/>
    <w:pPr>
      <w:spacing w:before="161"/>
      <w:ind w:left="120"/>
    </w:pPr>
    <w:rPr>
      <w:sz w:val="24"/>
      <w:szCs w:val="24"/>
    </w:rPr>
  </w:style>
  <w:style w:type="paragraph" w:styleId="a4">
    <w:name w:val="footer"/>
    <w:basedOn w:val="a"/>
    <w:link w:val="Char"/>
    <w:qFormat/>
    <w:rsid w:val="006708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67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708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0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6708CD"/>
  </w:style>
  <w:style w:type="paragraph" w:customStyle="1" w:styleId="TableParagraph">
    <w:name w:val="Table Paragraph"/>
    <w:basedOn w:val="a"/>
    <w:uiPriority w:val="1"/>
    <w:qFormat/>
    <w:rsid w:val="006708CD"/>
  </w:style>
  <w:style w:type="character" w:customStyle="1" w:styleId="Char0">
    <w:name w:val="页眉 Char"/>
    <w:basedOn w:val="a0"/>
    <w:link w:val="a5"/>
    <w:qFormat/>
    <w:rsid w:val="006708CD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6708CD"/>
    <w:rPr>
      <w:rFonts w:ascii="宋体" w:hAnsi="宋体" w:cs="宋体"/>
      <w:sz w:val="18"/>
      <w:szCs w:val="18"/>
      <w:lang w:val="zh-CN" w:bidi="zh-CN"/>
    </w:rPr>
  </w:style>
  <w:style w:type="character" w:customStyle="1" w:styleId="font61">
    <w:name w:val="font61"/>
    <w:basedOn w:val="a0"/>
    <w:qFormat/>
    <w:rsid w:val="006708CD"/>
    <w:rPr>
      <w:rFonts w:ascii="仿宋" w:eastAsia="仿宋" w:hAnsi="仿宋" w:cs="仿宋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Company>CNSTOCK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黄瑞洁</dc:creator>
  <cp:lastModifiedBy>ZHONGM</cp:lastModifiedBy>
  <cp:revision>2</cp:revision>
  <dcterms:created xsi:type="dcterms:W3CDTF">2023-09-04T16:00:00Z</dcterms:created>
  <dcterms:modified xsi:type="dcterms:W3CDTF">2023-09-04T16:00:00Z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A66F07DDE5134A43B6A4D8647F91BC13</vt:lpwstr>
  </property>
</Properties>
</file>