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E0" w:rsidRPr="0041032B" w:rsidRDefault="002A709C" w:rsidP="0041032B">
      <w:pPr>
        <w:jc w:val="center"/>
        <w:rPr>
          <w:rFonts w:ascii="宋体" w:eastAsia="宋体" w:hAnsi="宋体"/>
          <w:b/>
          <w:sz w:val="32"/>
        </w:rPr>
      </w:pPr>
      <w:r w:rsidRPr="002A709C">
        <w:rPr>
          <w:rFonts w:ascii="宋体" w:eastAsia="宋体" w:hAnsi="宋体" w:hint="eastAsia"/>
          <w:b/>
          <w:sz w:val="32"/>
        </w:rPr>
        <w:t>南方基金管理股份有限公司关于旗下部分</w:t>
      </w:r>
      <w:r w:rsidR="002338D6">
        <w:rPr>
          <w:rFonts w:ascii="宋体" w:eastAsia="宋体" w:hAnsi="宋体" w:hint="eastAsia"/>
          <w:b/>
          <w:sz w:val="32"/>
        </w:rPr>
        <w:t>深圳证券交易所</w:t>
      </w:r>
      <w:r w:rsidRPr="002A709C">
        <w:rPr>
          <w:rFonts w:ascii="宋体" w:eastAsia="宋体" w:hAnsi="宋体"/>
          <w:b/>
          <w:sz w:val="32"/>
        </w:rPr>
        <w:t>ETF暂停申购、赎回业务的公告</w:t>
      </w:r>
    </w:p>
    <w:p w:rsidR="0041032B" w:rsidRPr="0041032B" w:rsidRDefault="0041032B" w:rsidP="0041032B">
      <w:pPr>
        <w:jc w:val="center"/>
        <w:rPr>
          <w:rFonts w:ascii="宋体" w:eastAsia="宋体" w:hAnsi="宋体"/>
          <w:color w:val="333333"/>
          <w:sz w:val="36"/>
          <w:szCs w:val="36"/>
        </w:rPr>
      </w:pPr>
    </w:p>
    <w:p w:rsidR="00F2189A" w:rsidRDefault="0093744F" w:rsidP="000114A7">
      <w:pPr>
        <w:widowControl/>
        <w:shd w:val="clear" w:color="auto" w:fill="FFFFFF"/>
        <w:spacing w:line="360" w:lineRule="auto"/>
        <w:ind w:firstLineChars="200" w:firstLine="420"/>
        <w:rPr>
          <w:rFonts w:ascii="宋体" w:eastAsia="宋体" w:hAnsi="宋体" w:cs="宋体"/>
          <w:kern w:val="0"/>
          <w:szCs w:val="18"/>
        </w:rPr>
      </w:pPr>
      <w:r w:rsidRPr="0093744F">
        <w:rPr>
          <w:rFonts w:ascii="宋体" w:eastAsia="宋体" w:hAnsi="宋体" w:cs="宋体" w:hint="eastAsia"/>
          <w:kern w:val="0"/>
          <w:szCs w:val="18"/>
        </w:rPr>
        <w:t>因香港交易所临时停市，为保护基金份额持有人的利益，保障基金平稳运作</w:t>
      </w:r>
      <w:r w:rsidR="00141F8E">
        <w:rPr>
          <w:rFonts w:ascii="宋体" w:eastAsia="宋体" w:hAnsi="宋体" w:cs="宋体" w:hint="eastAsia"/>
          <w:kern w:val="0"/>
          <w:szCs w:val="18"/>
        </w:rPr>
        <w:t>，经向</w:t>
      </w:r>
      <w:r w:rsidR="002338D6">
        <w:rPr>
          <w:rFonts w:ascii="宋体" w:eastAsia="宋体" w:hAnsi="宋体" w:cs="宋体" w:hint="eastAsia"/>
          <w:kern w:val="0"/>
          <w:szCs w:val="18"/>
        </w:rPr>
        <w:t>深圳证券交易所</w:t>
      </w:r>
      <w:r w:rsidR="0041032B" w:rsidRPr="0041032B">
        <w:rPr>
          <w:rFonts w:ascii="宋体" w:eastAsia="宋体" w:hAnsi="宋体" w:cs="宋体" w:hint="eastAsia"/>
          <w:kern w:val="0"/>
          <w:szCs w:val="18"/>
        </w:rPr>
        <w:t>申请，</w:t>
      </w:r>
      <w:r w:rsidR="00794BD1">
        <w:rPr>
          <w:rFonts w:ascii="宋体" w:eastAsia="宋体" w:hAnsi="宋体" w:cs="宋体" w:hint="eastAsia"/>
          <w:kern w:val="0"/>
          <w:szCs w:val="18"/>
        </w:rPr>
        <w:t>南方基金管理股份有限公司</w:t>
      </w:r>
      <w:r w:rsidR="00794BD1">
        <w:rPr>
          <w:rFonts w:ascii="宋体" w:eastAsia="宋体" w:hAnsi="宋体" w:cs="宋体"/>
          <w:kern w:val="0"/>
          <w:szCs w:val="18"/>
        </w:rPr>
        <w:t>（以下简称“本基金”）旗下部分</w:t>
      </w:r>
      <w:r w:rsidR="002338D6">
        <w:rPr>
          <w:rFonts w:ascii="宋体" w:eastAsia="宋体" w:hAnsi="宋体" w:cs="宋体" w:hint="eastAsia"/>
          <w:kern w:val="0"/>
          <w:szCs w:val="18"/>
        </w:rPr>
        <w:t>深圳证券交易所</w:t>
      </w:r>
      <w:r w:rsidR="00794BD1">
        <w:rPr>
          <w:rFonts w:ascii="宋体" w:eastAsia="宋体" w:hAnsi="宋体" w:cs="宋体" w:hint="eastAsia"/>
          <w:kern w:val="0"/>
          <w:szCs w:val="18"/>
        </w:rPr>
        <w:t>ETF</w:t>
      </w:r>
      <w:r w:rsidR="0041032B" w:rsidRPr="0041032B">
        <w:rPr>
          <w:rFonts w:ascii="宋体" w:eastAsia="宋体" w:hAnsi="宋体" w:cs="宋体" w:hint="eastAsia"/>
          <w:kern w:val="0"/>
          <w:szCs w:val="18"/>
        </w:rPr>
        <w:t>于</w:t>
      </w:r>
      <w:bookmarkStart w:id="0" w:name="_Hlk144370925"/>
      <w:r w:rsidR="003D7EE2" w:rsidRPr="003D7EE2">
        <w:rPr>
          <w:rFonts w:ascii="宋体" w:eastAsia="宋体" w:hAnsi="宋体" w:cs="宋体"/>
          <w:kern w:val="0"/>
          <w:szCs w:val="18"/>
        </w:rPr>
        <w:t>2023年9月1日</w:t>
      </w:r>
      <w:r w:rsidR="00F71CEC">
        <w:rPr>
          <w:rFonts w:ascii="宋体" w:eastAsia="宋体" w:hAnsi="宋体" w:cs="宋体" w:hint="eastAsia"/>
          <w:kern w:val="0"/>
          <w:szCs w:val="18"/>
        </w:rPr>
        <w:t>开市</w:t>
      </w:r>
      <w:r w:rsidR="00F71CEC" w:rsidRPr="009B7EDD">
        <w:rPr>
          <w:rFonts w:ascii="宋体" w:eastAsia="宋体" w:hAnsi="宋体" w:cs="宋体"/>
          <w:kern w:val="0"/>
          <w:szCs w:val="18"/>
        </w:rPr>
        <w:t>起</w:t>
      </w:r>
      <w:bookmarkEnd w:id="0"/>
      <w:r w:rsidRPr="0093744F">
        <w:rPr>
          <w:rFonts w:ascii="宋体" w:eastAsia="宋体" w:hAnsi="宋体" w:cs="宋体"/>
          <w:kern w:val="0"/>
          <w:szCs w:val="18"/>
        </w:rPr>
        <w:t>至收市暂停申购、赎回业务</w:t>
      </w:r>
      <w:r w:rsidR="0041032B" w:rsidRPr="0041032B">
        <w:rPr>
          <w:rFonts w:ascii="宋体" w:eastAsia="宋体" w:hAnsi="宋体" w:cs="宋体" w:hint="eastAsia"/>
          <w:kern w:val="0"/>
          <w:szCs w:val="18"/>
        </w:rPr>
        <w:t>。</w:t>
      </w:r>
      <w:r w:rsidR="00F2189A">
        <w:rPr>
          <w:rFonts w:ascii="宋体" w:eastAsia="宋体" w:hAnsi="宋体" w:cs="宋体" w:hint="eastAsia"/>
          <w:kern w:val="0"/>
          <w:szCs w:val="18"/>
        </w:rPr>
        <w:t>具体</w:t>
      </w:r>
      <w:r w:rsidR="00F2189A">
        <w:rPr>
          <w:rFonts w:ascii="宋体" w:eastAsia="宋体" w:hAnsi="宋体" w:cs="宋体"/>
          <w:kern w:val="0"/>
          <w:szCs w:val="18"/>
        </w:rPr>
        <w:t>基金明细如下：</w:t>
      </w:r>
    </w:p>
    <w:tbl>
      <w:tblPr>
        <w:tblStyle w:val="a5"/>
        <w:tblW w:w="0" w:type="auto"/>
        <w:jc w:val="center"/>
        <w:tblLook w:val="04A0"/>
      </w:tblPr>
      <w:tblGrid>
        <w:gridCol w:w="1129"/>
        <w:gridCol w:w="5102"/>
        <w:gridCol w:w="1984"/>
      </w:tblGrid>
      <w:tr w:rsidR="002338D6" w:rsidTr="002338D6">
        <w:trPr>
          <w:jc w:val="center"/>
        </w:trPr>
        <w:tc>
          <w:tcPr>
            <w:tcW w:w="1129" w:type="dxa"/>
            <w:vAlign w:val="center"/>
          </w:tcPr>
          <w:p w:rsidR="002338D6" w:rsidRPr="00947552" w:rsidRDefault="002338D6" w:rsidP="00947552">
            <w:pPr>
              <w:widowControl/>
              <w:spacing w:line="360" w:lineRule="auto"/>
              <w:jc w:val="center"/>
              <w:rPr>
                <w:rFonts w:ascii="宋体" w:eastAsia="宋体" w:hAnsi="宋体" w:cs="宋体"/>
                <w:b/>
                <w:kern w:val="0"/>
                <w:szCs w:val="18"/>
              </w:rPr>
            </w:pPr>
            <w:r w:rsidRPr="00947552">
              <w:rPr>
                <w:rFonts w:ascii="宋体" w:eastAsia="宋体" w:hAnsi="宋体" w:cs="宋体" w:hint="eastAsia"/>
                <w:b/>
                <w:kern w:val="0"/>
                <w:szCs w:val="18"/>
              </w:rPr>
              <w:t>基金</w:t>
            </w:r>
            <w:r w:rsidRPr="00947552">
              <w:rPr>
                <w:rFonts w:ascii="宋体" w:eastAsia="宋体" w:hAnsi="宋体" w:cs="宋体"/>
                <w:b/>
                <w:kern w:val="0"/>
                <w:szCs w:val="18"/>
              </w:rPr>
              <w:t>代码</w:t>
            </w:r>
          </w:p>
        </w:tc>
        <w:tc>
          <w:tcPr>
            <w:tcW w:w="5102" w:type="dxa"/>
            <w:vAlign w:val="center"/>
          </w:tcPr>
          <w:p w:rsidR="002338D6" w:rsidRPr="00947552" w:rsidRDefault="002338D6" w:rsidP="00947552">
            <w:pPr>
              <w:widowControl/>
              <w:spacing w:line="360" w:lineRule="auto"/>
              <w:jc w:val="center"/>
              <w:rPr>
                <w:rFonts w:ascii="宋体" w:eastAsia="宋体" w:hAnsi="宋体" w:cs="宋体"/>
                <w:b/>
                <w:kern w:val="0"/>
                <w:szCs w:val="18"/>
              </w:rPr>
            </w:pPr>
            <w:r w:rsidRPr="00947552">
              <w:rPr>
                <w:rFonts w:ascii="宋体" w:eastAsia="宋体" w:hAnsi="宋体" w:cs="宋体" w:hint="eastAsia"/>
                <w:b/>
                <w:kern w:val="0"/>
                <w:szCs w:val="18"/>
              </w:rPr>
              <w:t>基金全称</w:t>
            </w:r>
          </w:p>
        </w:tc>
        <w:tc>
          <w:tcPr>
            <w:tcW w:w="1984" w:type="dxa"/>
            <w:vAlign w:val="center"/>
          </w:tcPr>
          <w:p w:rsidR="002338D6" w:rsidRPr="00947552" w:rsidRDefault="002338D6" w:rsidP="00947552">
            <w:pPr>
              <w:widowControl/>
              <w:spacing w:line="360" w:lineRule="auto"/>
              <w:jc w:val="center"/>
              <w:rPr>
                <w:rFonts w:ascii="宋体" w:eastAsia="宋体" w:hAnsi="宋体" w:cs="宋体"/>
                <w:b/>
                <w:kern w:val="0"/>
                <w:szCs w:val="18"/>
              </w:rPr>
            </w:pPr>
            <w:r w:rsidRPr="00947552">
              <w:rPr>
                <w:rFonts w:ascii="宋体" w:eastAsia="宋体" w:hAnsi="宋体" w:cs="宋体" w:hint="eastAsia"/>
                <w:b/>
                <w:kern w:val="0"/>
                <w:szCs w:val="18"/>
              </w:rPr>
              <w:t>场内</w:t>
            </w:r>
            <w:r w:rsidRPr="00947552">
              <w:rPr>
                <w:rFonts w:ascii="宋体" w:eastAsia="宋体" w:hAnsi="宋体" w:cs="宋体"/>
                <w:b/>
                <w:kern w:val="0"/>
                <w:szCs w:val="18"/>
              </w:rPr>
              <w:t>简称</w:t>
            </w:r>
          </w:p>
        </w:tc>
      </w:tr>
      <w:tr w:rsidR="002338D6" w:rsidTr="002338D6">
        <w:trPr>
          <w:jc w:val="center"/>
        </w:trPr>
        <w:tc>
          <w:tcPr>
            <w:tcW w:w="1129" w:type="dxa"/>
            <w:vAlign w:val="center"/>
          </w:tcPr>
          <w:p w:rsidR="002338D6" w:rsidRPr="00947552" w:rsidRDefault="002338D6" w:rsidP="00947552">
            <w:pPr>
              <w:widowControl/>
              <w:spacing w:line="360" w:lineRule="auto"/>
              <w:jc w:val="center"/>
              <w:rPr>
                <w:rFonts w:ascii="宋体" w:eastAsia="宋体" w:hAnsi="宋体" w:cs="宋体"/>
                <w:kern w:val="0"/>
                <w:szCs w:val="18"/>
              </w:rPr>
            </w:pPr>
            <w:r w:rsidRPr="002338D6">
              <w:rPr>
                <w:rFonts w:ascii="宋体" w:eastAsia="宋体" w:hAnsi="宋体" w:cs="宋体"/>
                <w:kern w:val="0"/>
                <w:szCs w:val="18"/>
              </w:rPr>
              <w:t>159954</w:t>
            </w:r>
          </w:p>
        </w:tc>
        <w:tc>
          <w:tcPr>
            <w:tcW w:w="5102" w:type="dxa"/>
            <w:vAlign w:val="center"/>
          </w:tcPr>
          <w:p w:rsidR="002338D6" w:rsidRPr="00947552" w:rsidRDefault="002338D6" w:rsidP="00B86AA3">
            <w:pPr>
              <w:widowControl/>
              <w:spacing w:line="360" w:lineRule="auto"/>
              <w:jc w:val="left"/>
              <w:rPr>
                <w:rFonts w:ascii="宋体" w:eastAsia="宋体" w:hAnsi="宋体" w:cs="宋体"/>
                <w:kern w:val="0"/>
                <w:szCs w:val="18"/>
              </w:rPr>
            </w:pPr>
            <w:r w:rsidRPr="002338D6">
              <w:rPr>
                <w:rFonts w:ascii="宋体" w:eastAsia="宋体" w:hAnsi="宋体" w:cs="宋体" w:hint="eastAsia"/>
                <w:kern w:val="0"/>
                <w:szCs w:val="18"/>
              </w:rPr>
              <w:t>南方恒生中国企业交易型开放式指数证券投资基金</w:t>
            </w:r>
          </w:p>
        </w:tc>
        <w:tc>
          <w:tcPr>
            <w:tcW w:w="1984" w:type="dxa"/>
            <w:vAlign w:val="center"/>
          </w:tcPr>
          <w:p w:rsidR="002338D6" w:rsidRPr="00947552" w:rsidRDefault="007271A8" w:rsidP="00947552">
            <w:pPr>
              <w:widowControl/>
              <w:spacing w:line="360" w:lineRule="auto"/>
              <w:jc w:val="center"/>
              <w:rPr>
                <w:rFonts w:ascii="宋体" w:eastAsia="宋体" w:hAnsi="宋体" w:cs="宋体"/>
                <w:kern w:val="0"/>
                <w:szCs w:val="18"/>
              </w:rPr>
            </w:pPr>
            <w:r w:rsidRPr="007271A8">
              <w:rPr>
                <w:rFonts w:ascii="宋体" w:eastAsia="宋体" w:hAnsi="宋体" w:cs="宋体"/>
                <w:kern w:val="0"/>
                <w:szCs w:val="18"/>
              </w:rPr>
              <w:t>H股ETF</w:t>
            </w:r>
          </w:p>
        </w:tc>
      </w:tr>
      <w:tr w:rsidR="002338D6" w:rsidTr="002338D6">
        <w:trPr>
          <w:jc w:val="center"/>
        </w:trPr>
        <w:tc>
          <w:tcPr>
            <w:tcW w:w="1129" w:type="dxa"/>
            <w:vAlign w:val="center"/>
          </w:tcPr>
          <w:p w:rsidR="002338D6" w:rsidRPr="00984908" w:rsidRDefault="007271A8" w:rsidP="00CD6D9A">
            <w:pPr>
              <w:widowControl/>
              <w:spacing w:line="360" w:lineRule="auto"/>
              <w:jc w:val="center"/>
              <w:rPr>
                <w:rFonts w:ascii="宋体" w:eastAsia="宋体" w:hAnsi="宋体" w:cs="宋体"/>
                <w:kern w:val="0"/>
                <w:szCs w:val="18"/>
              </w:rPr>
            </w:pPr>
            <w:r w:rsidRPr="007271A8">
              <w:rPr>
                <w:rFonts w:ascii="宋体" w:eastAsia="宋体" w:hAnsi="宋体" w:cs="宋体"/>
                <w:kern w:val="0"/>
                <w:szCs w:val="18"/>
              </w:rPr>
              <w:t>159747</w:t>
            </w:r>
          </w:p>
        </w:tc>
        <w:tc>
          <w:tcPr>
            <w:tcW w:w="5102" w:type="dxa"/>
            <w:vAlign w:val="center"/>
          </w:tcPr>
          <w:p w:rsidR="002338D6" w:rsidRPr="00090BD4" w:rsidRDefault="007271A8" w:rsidP="00CD6D9A">
            <w:pPr>
              <w:widowControl/>
              <w:spacing w:line="360" w:lineRule="auto"/>
              <w:jc w:val="left"/>
              <w:rPr>
                <w:rFonts w:ascii="宋体" w:eastAsia="宋体" w:hAnsi="宋体" w:cs="宋体"/>
                <w:kern w:val="0"/>
                <w:szCs w:val="18"/>
              </w:rPr>
            </w:pPr>
            <w:r w:rsidRPr="007271A8">
              <w:rPr>
                <w:rFonts w:ascii="宋体" w:eastAsia="宋体" w:hAnsi="宋体" w:cs="宋体" w:hint="eastAsia"/>
                <w:kern w:val="0"/>
                <w:szCs w:val="18"/>
              </w:rPr>
              <w:t>南方中证香港科技交易型开放式指数证券投资基金</w:t>
            </w:r>
            <w:r>
              <w:rPr>
                <w:rFonts w:ascii="宋体" w:eastAsia="宋体" w:hAnsi="宋体" w:cs="宋体" w:hint="eastAsia"/>
                <w:kern w:val="0"/>
                <w:szCs w:val="18"/>
              </w:rPr>
              <w:t>（</w:t>
            </w:r>
            <w:r w:rsidRPr="007271A8">
              <w:rPr>
                <w:rFonts w:ascii="宋体" w:eastAsia="宋体" w:hAnsi="宋体" w:cs="宋体"/>
                <w:kern w:val="0"/>
                <w:szCs w:val="18"/>
              </w:rPr>
              <w:t>QDII</w:t>
            </w:r>
            <w:r>
              <w:rPr>
                <w:rFonts w:ascii="宋体" w:eastAsia="宋体" w:hAnsi="宋体" w:cs="宋体" w:hint="eastAsia"/>
                <w:kern w:val="0"/>
                <w:szCs w:val="18"/>
              </w:rPr>
              <w:t>）</w:t>
            </w:r>
          </w:p>
        </w:tc>
        <w:tc>
          <w:tcPr>
            <w:tcW w:w="1984" w:type="dxa"/>
            <w:vAlign w:val="center"/>
          </w:tcPr>
          <w:p w:rsidR="002338D6" w:rsidRPr="00090BD4" w:rsidRDefault="007271A8" w:rsidP="00CD6D9A">
            <w:pPr>
              <w:widowControl/>
              <w:spacing w:line="360" w:lineRule="auto"/>
              <w:jc w:val="center"/>
              <w:rPr>
                <w:rFonts w:ascii="宋体" w:eastAsia="宋体" w:hAnsi="宋体" w:cs="宋体"/>
                <w:kern w:val="0"/>
                <w:szCs w:val="18"/>
              </w:rPr>
            </w:pPr>
            <w:r w:rsidRPr="007271A8">
              <w:rPr>
                <w:rFonts w:ascii="宋体" w:eastAsia="宋体" w:hAnsi="宋体" w:cs="宋体" w:hint="eastAsia"/>
                <w:kern w:val="0"/>
                <w:szCs w:val="18"/>
              </w:rPr>
              <w:t>香港科技</w:t>
            </w:r>
            <w:r w:rsidRPr="007271A8">
              <w:rPr>
                <w:rFonts w:ascii="宋体" w:eastAsia="宋体" w:hAnsi="宋体" w:cs="宋体"/>
                <w:kern w:val="0"/>
                <w:szCs w:val="18"/>
              </w:rPr>
              <w:t>ETF</w:t>
            </w:r>
          </w:p>
        </w:tc>
      </w:tr>
      <w:tr w:rsidR="002338D6" w:rsidTr="002338D6">
        <w:trPr>
          <w:jc w:val="center"/>
        </w:trPr>
        <w:tc>
          <w:tcPr>
            <w:tcW w:w="1129" w:type="dxa"/>
            <w:vAlign w:val="center"/>
          </w:tcPr>
          <w:p w:rsidR="002338D6" w:rsidRPr="00947552" w:rsidRDefault="007271A8" w:rsidP="00CD6D9A">
            <w:pPr>
              <w:widowControl/>
              <w:spacing w:line="360" w:lineRule="auto"/>
              <w:jc w:val="center"/>
              <w:rPr>
                <w:rFonts w:ascii="宋体" w:eastAsia="宋体" w:hAnsi="宋体" w:cs="宋体"/>
                <w:kern w:val="0"/>
                <w:szCs w:val="18"/>
              </w:rPr>
            </w:pPr>
            <w:r w:rsidRPr="007271A8">
              <w:rPr>
                <w:rFonts w:ascii="宋体" w:eastAsia="宋体" w:hAnsi="宋体" w:cs="宋体"/>
                <w:kern w:val="0"/>
                <w:szCs w:val="18"/>
              </w:rPr>
              <w:t>159615</w:t>
            </w:r>
          </w:p>
        </w:tc>
        <w:tc>
          <w:tcPr>
            <w:tcW w:w="5102" w:type="dxa"/>
            <w:vAlign w:val="center"/>
          </w:tcPr>
          <w:p w:rsidR="002338D6" w:rsidRPr="00947552" w:rsidRDefault="007271A8" w:rsidP="00CD6D9A">
            <w:pPr>
              <w:widowControl/>
              <w:spacing w:line="360" w:lineRule="auto"/>
              <w:jc w:val="left"/>
              <w:rPr>
                <w:rFonts w:ascii="宋体" w:eastAsia="宋体" w:hAnsi="宋体" w:cs="宋体"/>
                <w:kern w:val="0"/>
                <w:szCs w:val="18"/>
              </w:rPr>
            </w:pPr>
            <w:r w:rsidRPr="007271A8">
              <w:rPr>
                <w:rFonts w:ascii="宋体" w:eastAsia="宋体" w:hAnsi="宋体" w:cs="宋体" w:hint="eastAsia"/>
                <w:kern w:val="0"/>
                <w:szCs w:val="18"/>
              </w:rPr>
              <w:t>南方恒生香港上市生物科技交易型开放式指数证券投资基金</w:t>
            </w:r>
            <w:r>
              <w:rPr>
                <w:rFonts w:ascii="宋体" w:eastAsia="宋体" w:hAnsi="宋体" w:cs="宋体" w:hint="eastAsia"/>
                <w:kern w:val="0"/>
                <w:szCs w:val="18"/>
              </w:rPr>
              <w:t>（</w:t>
            </w:r>
            <w:r w:rsidRPr="007271A8">
              <w:rPr>
                <w:rFonts w:ascii="宋体" w:eastAsia="宋体" w:hAnsi="宋体" w:cs="宋体"/>
                <w:kern w:val="0"/>
                <w:szCs w:val="18"/>
              </w:rPr>
              <w:t>QDII</w:t>
            </w:r>
            <w:r>
              <w:rPr>
                <w:rFonts w:ascii="宋体" w:eastAsia="宋体" w:hAnsi="宋体" w:cs="宋体" w:hint="eastAsia"/>
                <w:kern w:val="0"/>
                <w:szCs w:val="18"/>
              </w:rPr>
              <w:t>）</w:t>
            </w:r>
          </w:p>
        </w:tc>
        <w:tc>
          <w:tcPr>
            <w:tcW w:w="1984" w:type="dxa"/>
            <w:vAlign w:val="center"/>
          </w:tcPr>
          <w:p w:rsidR="002338D6" w:rsidRPr="00947552" w:rsidRDefault="00A258D5" w:rsidP="00CD6D9A">
            <w:pPr>
              <w:widowControl/>
              <w:spacing w:line="360" w:lineRule="auto"/>
              <w:jc w:val="center"/>
              <w:rPr>
                <w:rFonts w:ascii="宋体" w:eastAsia="宋体" w:hAnsi="宋体" w:cs="宋体"/>
                <w:kern w:val="0"/>
                <w:szCs w:val="18"/>
              </w:rPr>
            </w:pPr>
            <w:r w:rsidRPr="00A258D5">
              <w:rPr>
                <w:rFonts w:ascii="宋体" w:eastAsia="宋体" w:hAnsi="宋体" w:cs="宋体" w:hint="eastAsia"/>
                <w:kern w:val="0"/>
                <w:szCs w:val="18"/>
              </w:rPr>
              <w:t>恒生生物科技</w:t>
            </w:r>
            <w:r w:rsidRPr="00A258D5">
              <w:rPr>
                <w:rFonts w:ascii="宋体" w:eastAsia="宋体" w:hAnsi="宋体" w:cs="宋体"/>
                <w:kern w:val="0"/>
                <w:szCs w:val="18"/>
              </w:rPr>
              <w:t>ETF</w:t>
            </w:r>
          </w:p>
        </w:tc>
      </w:tr>
      <w:tr w:rsidR="002338D6" w:rsidTr="002338D6">
        <w:trPr>
          <w:jc w:val="center"/>
        </w:trPr>
        <w:tc>
          <w:tcPr>
            <w:tcW w:w="1129" w:type="dxa"/>
            <w:vAlign w:val="center"/>
          </w:tcPr>
          <w:p w:rsidR="002338D6" w:rsidRPr="009063B7" w:rsidRDefault="00A258D5" w:rsidP="00CD6D9A">
            <w:pPr>
              <w:widowControl/>
              <w:spacing w:line="360" w:lineRule="auto"/>
              <w:jc w:val="center"/>
              <w:rPr>
                <w:rFonts w:ascii="宋体" w:eastAsia="宋体" w:hAnsi="宋体" w:cs="宋体"/>
                <w:kern w:val="0"/>
                <w:szCs w:val="18"/>
              </w:rPr>
            </w:pPr>
            <w:r w:rsidRPr="00A258D5">
              <w:rPr>
                <w:rFonts w:ascii="宋体" w:eastAsia="宋体" w:hAnsi="宋体" w:cs="宋体"/>
                <w:kern w:val="0"/>
                <w:szCs w:val="18"/>
              </w:rPr>
              <w:t>159687</w:t>
            </w:r>
          </w:p>
        </w:tc>
        <w:tc>
          <w:tcPr>
            <w:tcW w:w="5102" w:type="dxa"/>
            <w:vAlign w:val="center"/>
          </w:tcPr>
          <w:p w:rsidR="002338D6" w:rsidRPr="00ED51F4" w:rsidRDefault="00A258D5" w:rsidP="00CD6D9A">
            <w:pPr>
              <w:widowControl/>
              <w:spacing w:line="360" w:lineRule="auto"/>
              <w:jc w:val="left"/>
              <w:rPr>
                <w:rFonts w:ascii="宋体" w:eastAsia="宋体" w:hAnsi="宋体" w:cs="宋体"/>
                <w:kern w:val="0"/>
                <w:szCs w:val="18"/>
              </w:rPr>
            </w:pPr>
            <w:r w:rsidRPr="00A258D5">
              <w:rPr>
                <w:rFonts w:ascii="宋体" w:eastAsia="宋体" w:hAnsi="宋体" w:cs="宋体" w:hint="eastAsia"/>
                <w:kern w:val="0"/>
                <w:szCs w:val="18"/>
              </w:rPr>
              <w:t>南方基金南方东英银河联昌富时亚太低碳精选交易型开放式指数证券投资基金（</w:t>
            </w:r>
            <w:r w:rsidRPr="00A258D5">
              <w:rPr>
                <w:rFonts w:ascii="宋体" w:eastAsia="宋体" w:hAnsi="宋体" w:cs="宋体"/>
                <w:kern w:val="0"/>
                <w:szCs w:val="18"/>
              </w:rPr>
              <w:t>QDII）</w:t>
            </w:r>
          </w:p>
        </w:tc>
        <w:tc>
          <w:tcPr>
            <w:tcW w:w="1984" w:type="dxa"/>
            <w:vAlign w:val="center"/>
          </w:tcPr>
          <w:p w:rsidR="002338D6" w:rsidRDefault="00A258D5" w:rsidP="00CD6D9A">
            <w:pPr>
              <w:widowControl/>
              <w:spacing w:line="360" w:lineRule="auto"/>
              <w:jc w:val="center"/>
              <w:rPr>
                <w:rFonts w:ascii="宋体" w:eastAsia="宋体" w:hAnsi="宋体" w:cs="宋体"/>
                <w:kern w:val="0"/>
                <w:szCs w:val="18"/>
              </w:rPr>
            </w:pPr>
            <w:r w:rsidRPr="00A258D5">
              <w:rPr>
                <w:rFonts w:ascii="宋体" w:eastAsia="宋体" w:hAnsi="宋体" w:cs="宋体" w:hint="eastAsia"/>
                <w:kern w:val="0"/>
                <w:szCs w:val="18"/>
              </w:rPr>
              <w:t>亚太低碳</w:t>
            </w:r>
            <w:r w:rsidRPr="00A258D5">
              <w:rPr>
                <w:rFonts w:ascii="宋体" w:eastAsia="宋体" w:hAnsi="宋体" w:cs="宋体"/>
                <w:kern w:val="0"/>
                <w:szCs w:val="18"/>
              </w:rPr>
              <w:t>ETF</w:t>
            </w:r>
          </w:p>
        </w:tc>
      </w:tr>
    </w:tbl>
    <w:p w:rsidR="000F08BC" w:rsidRDefault="003D7EE2" w:rsidP="000114A7">
      <w:pPr>
        <w:widowControl/>
        <w:shd w:val="clear" w:color="auto" w:fill="FFFFFF"/>
        <w:spacing w:line="360" w:lineRule="auto"/>
        <w:ind w:firstLineChars="200" w:firstLine="420"/>
        <w:rPr>
          <w:rFonts w:ascii="宋体" w:eastAsia="宋体" w:hAnsi="宋体" w:cs="宋体"/>
          <w:kern w:val="0"/>
          <w:szCs w:val="18"/>
        </w:rPr>
      </w:pPr>
      <w:r w:rsidRPr="003D7EE2">
        <w:rPr>
          <w:rFonts w:ascii="宋体" w:eastAsia="宋体" w:hAnsi="宋体" w:cs="宋体"/>
          <w:kern w:val="0"/>
          <w:szCs w:val="18"/>
        </w:rPr>
        <w:t>2023年9月1日</w:t>
      </w:r>
      <w:r w:rsidR="00D178A8" w:rsidRPr="00D178A8">
        <w:rPr>
          <w:rFonts w:ascii="宋体" w:eastAsia="宋体" w:hAnsi="宋体" w:cs="宋体"/>
          <w:kern w:val="0"/>
          <w:szCs w:val="18"/>
        </w:rPr>
        <w:t>上述基金暂停申购、赎回期间，投资者仍可进行二级市</w:t>
      </w:r>
      <w:r w:rsidR="00D178A8" w:rsidRPr="00D178A8">
        <w:rPr>
          <w:rFonts w:ascii="宋体" w:eastAsia="宋体" w:hAnsi="宋体" w:cs="宋体" w:hint="eastAsia"/>
          <w:kern w:val="0"/>
          <w:szCs w:val="18"/>
        </w:rPr>
        <w:t>场交易。</w:t>
      </w:r>
    </w:p>
    <w:p w:rsidR="00593F9E" w:rsidRDefault="00346B88" w:rsidP="000114A7">
      <w:pPr>
        <w:widowControl/>
        <w:shd w:val="clear" w:color="auto" w:fill="FFFFFF"/>
        <w:spacing w:line="360" w:lineRule="auto"/>
        <w:ind w:firstLineChars="200" w:firstLine="420"/>
        <w:rPr>
          <w:rFonts w:ascii="宋体" w:eastAsia="宋体" w:hAnsi="宋体" w:cs="宋体"/>
          <w:kern w:val="0"/>
          <w:szCs w:val="18"/>
        </w:rPr>
      </w:pPr>
      <w:r w:rsidRPr="00346B88">
        <w:rPr>
          <w:rFonts w:ascii="宋体" w:eastAsia="宋体" w:hAnsi="宋体" w:cs="宋体" w:hint="eastAsia"/>
          <w:kern w:val="0"/>
          <w:szCs w:val="18"/>
        </w:rPr>
        <w:t>若</w:t>
      </w:r>
      <w:r w:rsidR="003D7EE2" w:rsidRPr="003D7EE2">
        <w:rPr>
          <w:rFonts w:ascii="宋体" w:eastAsia="宋体" w:hAnsi="宋体" w:cs="宋体"/>
          <w:kern w:val="0"/>
          <w:szCs w:val="18"/>
        </w:rPr>
        <w:t>2023年9月</w:t>
      </w:r>
      <w:r w:rsidR="003D7EE2">
        <w:rPr>
          <w:rFonts w:ascii="宋体" w:eastAsia="宋体" w:hAnsi="宋体" w:cs="宋体"/>
          <w:kern w:val="0"/>
          <w:szCs w:val="18"/>
        </w:rPr>
        <w:t>4</w:t>
      </w:r>
      <w:r w:rsidR="003D7EE2" w:rsidRPr="003D7EE2">
        <w:rPr>
          <w:rFonts w:ascii="宋体" w:eastAsia="宋体" w:hAnsi="宋体" w:cs="宋体"/>
          <w:kern w:val="0"/>
          <w:szCs w:val="18"/>
        </w:rPr>
        <w:t>日</w:t>
      </w:r>
      <w:r w:rsidR="0093744F" w:rsidRPr="0093744F">
        <w:rPr>
          <w:rFonts w:ascii="宋体" w:eastAsia="宋体" w:hAnsi="宋体" w:cs="宋体" w:hint="eastAsia"/>
          <w:kern w:val="0"/>
          <w:szCs w:val="18"/>
        </w:rPr>
        <w:t>香港交易所继续暂停交易，本基金拟继续暂停申购、赎回业务，本公司将另行公告相关事宜。若</w:t>
      </w:r>
      <w:r w:rsidR="003D7EE2" w:rsidRPr="003D7EE2">
        <w:rPr>
          <w:rFonts w:ascii="宋体" w:eastAsia="宋体" w:hAnsi="宋体" w:cs="宋体"/>
          <w:kern w:val="0"/>
          <w:szCs w:val="18"/>
        </w:rPr>
        <w:t>2023年9月</w:t>
      </w:r>
      <w:r w:rsidR="003D7EE2">
        <w:rPr>
          <w:rFonts w:ascii="宋体" w:eastAsia="宋体" w:hAnsi="宋体" w:cs="宋体"/>
          <w:kern w:val="0"/>
          <w:szCs w:val="18"/>
        </w:rPr>
        <w:t>4</w:t>
      </w:r>
      <w:r w:rsidR="003D7EE2" w:rsidRPr="003D7EE2">
        <w:rPr>
          <w:rFonts w:ascii="宋体" w:eastAsia="宋体" w:hAnsi="宋体" w:cs="宋体"/>
          <w:kern w:val="0"/>
          <w:szCs w:val="18"/>
        </w:rPr>
        <w:t>日</w:t>
      </w:r>
      <w:r w:rsidR="0093744F" w:rsidRPr="0093744F">
        <w:rPr>
          <w:rFonts w:ascii="宋体" w:eastAsia="宋体" w:hAnsi="宋体" w:cs="宋体"/>
          <w:kern w:val="0"/>
          <w:szCs w:val="18"/>
        </w:rPr>
        <w:t>香港交易所恢复正常交易，本基金将同步恢复办理申购、赎回业务，届时本公司将不再另行公告。</w:t>
      </w:r>
      <w:r w:rsidR="0041032B" w:rsidRPr="0041032B">
        <w:rPr>
          <w:rFonts w:ascii="宋体" w:eastAsia="宋体" w:hAnsi="宋体" w:cs="宋体" w:hint="eastAsia"/>
          <w:kern w:val="0"/>
          <w:szCs w:val="18"/>
        </w:rPr>
        <w:t>敬请投资者留意。</w:t>
      </w:r>
    </w:p>
    <w:p w:rsidR="0041032B" w:rsidRPr="0041032B" w:rsidRDefault="0041032B" w:rsidP="00583DDC">
      <w:pPr>
        <w:widowControl/>
        <w:shd w:val="clear" w:color="auto" w:fill="FFFFFF"/>
        <w:spacing w:line="360" w:lineRule="auto"/>
        <w:ind w:firstLineChars="200" w:firstLine="420"/>
        <w:rPr>
          <w:rFonts w:ascii="宋体" w:eastAsia="宋体" w:hAnsi="宋体" w:cs="宋体"/>
          <w:kern w:val="0"/>
          <w:szCs w:val="18"/>
        </w:rPr>
      </w:pPr>
      <w:r w:rsidRPr="0041032B">
        <w:rPr>
          <w:rFonts w:ascii="宋体" w:eastAsia="宋体" w:hAnsi="宋体" w:cs="宋体"/>
          <w:kern w:val="0"/>
          <w:szCs w:val="18"/>
        </w:rPr>
        <w:t xml:space="preserve">特此公告。 </w:t>
      </w:r>
    </w:p>
    <w:p w:rsidR="0041032B" w:rsidRDefault="0041032B" w:rsidP="0041032B">
      <w:pPr>
        <w:jc w:val="center"/>
        <w:rPr>
          <w:rFonts w:ascii="宋体" w:eastAsia="宋体" w:hAnsi="宋体"/>
        </w:rPr>
      </w:pPr>
    </w:p>
    <w:p w:rsidR="00621C45" w:rsidRDefault="00621C45" w:rsidP="0041032B">
      <w:pPr>
        <w:jc w:val="center"/>
        <w:rPr>
          <w:rFonts w:ascii="宋体" w:eastAsia="宋体" w:hAnsi="宋体"/>
        </w:rPr>
      </w:pPr>
    </w:p>
    <w:p w:rsidR="00621C45" w:rsidRDefault="00621C45" w:rsidP="0041032B">
      <w:pPr>
        <w:jc w:val="center"/>
        <w:rPr>
          <w:rFonts w:ascii="宋体" w:eastAsia="宋体" w:hAnsi="宋体"/>
        </w:rPr>
      </w:pPr>
    </w:p>
    <w:p w:rsidR="00621C45" w:rsidRPr="00621C45" w:rsidRDefault="00621C45" w:rsidP="00621C45">
      <w:pPr>
        <w:widowControl/>
        <w:spacing w:line="331" w:lineRule="auto"/>
        <w:jc w:val="right"/>
        <w:rPr>
          <w:rFonts w:ascii="宋体" w:eastAsia="宋体" w:hAnsi="宋体" w:cs="宋体"/>
          <w:kern w:val="0"/>
          <w:szCs w:val="18"/>
        </w:rPr>
      </w:pPr>
      <w:r w:rsidRPr="00621C45">
        <w:rPr>
          <w:rFonts w:ascii="宋体" w:eastAsia="宋体" w:hAnsi="宋体" w:cs="宋体" w:hint="eastAsia"/>
          <w:kern w:val="0"/>
          <w:szCs w:val="18"/>
        </w:rPr>
        <w:t>南方基金管理股份有限公司</w:t>
      </w:r>
    </w:p>
    <w:p w:rsidR="00621C45" w:rsidRPr="00621C45" w:rsidRDefault="003D7EE2" w:rsidP="00621C45">
      <w:pPr>
        <w:widowControl/>
        <w:spacing w:line="331" w:lineRule="auto"/>
        <w:jc w:val="right"/>
        <w:rPr>
          <w:rFonts w:ascii="宋体" w:eastAsia="宋体" w:hAnsi="宋体" w:cs="宋体"/>
          <w:kern w:val="0"/>
          <w:szCs w:val="18"/>
        </w:rPr>
      </w:pPr>
      <w:r w:rsidRPr="003D7EE2">
        <w:rPr>
          <w:rFonts w:ascii="宋体" w:eastAsia="宋体" w:hAnsi="宋体" w:cs="宋体"/>
          <w:kern w:val="0"/>
          <w:szCs w:val="18"/>
        </w:rPr>
        <w:t>2023年9月1日</w:t>
      </w:r>
    </w:p>
    <w:p w:rsidR="00621C45" w:rsidRPr="0041032B" w:rsidRDefault="00621C45" w:rsidP="0041032B">
      <w:pPr>
        <w:jc w:val="center"/>
        <w:rPr>
          <w:rFonts w:ascii="宋体" w:eastAsia="宋体" w:hAnsi="宋体"/>
        </w:rPr>
      </w:pPr>
    </w:p>
    <w:sectPr w:rsidR="00621C45" w:rsidRPr="0041032B" w:rsidSect="00B673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37" w:rsidRDefault="00C75637" w:rsidP="005B43CF">
      <w:r>
        <w:separator/>
      </w:r>
    </w:p>
  </w:endnote>
  <w:endnote w:type="continuationSeparator" w:id="0">
    <w:p w:rsidR="00C75637" w:rsidRDefault="00C75637" w:rsidP="005B43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37" w:rsidRDefault="00C75637" w:rsidP="005B43CF">
      <w:r>
        <w:separator/>
      </w:r>
    </w:p>
  </w:footnote>
  <w:footnote w:type="continuationSeparator" w:id="0">
    <w:p w:rsidR="00C75637" w:rsidRDefault="00C75637" w:rsidP="005B43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32B"/>
    <w:rsid w:val="0000165B"/>
    <w:rsid w:val="0001127C"/>
    <w:rsid w:val="000114A7"/>
    <w:rsid w:val="00016983"/>
    <w:rsid w:val="0002752A"/>
    <w:rsid w:val="00090BD4"/>
    <w:rsid w:val="000C7951"/>
    <w:rsid w:val="000E3B7F"/>
    <w:rsid w:val="000F08BC"/>
    <w:rsid w:val="000F7444"/>
    <w:rsid w:val="00127BC6"/>
    <w:rsid w:val="00135945"/>
    <w:rsid w:val="00140A73"/>
    <w:rsid w:val="00141F8E"/>
    <w:rsid w:val="00144C91"/>
    <w:rsid w:val="00154458"/>
    <w:rsid w:val="00175901"/>
    <w:rsid w:val="00191E89"/>
    <w:rsid w:val="0019421A"/>
    <w:rsid w:val="001A594A"/>
    <w:rsid w:val="001B4016"/>
    <w:rsid w:val="001B7D8D"/>
    <w:rsid w:val="001C626C"/>
    <w:rsid w:val="001D6A32"/>
    <w:rsid w:val="001F43CD"/>
    <w:rsid w:val="00212EC4"/>
    <w:rsid w:val="00221B28"/>
    <w:rsid w:val="00224AB0"/>
    <w:rsid w:val="002338D6"/>
    <w:rsid w:val="00237344"/>
    <w:rsid w:val="00252FD2"/>
    <w:rsid w:val="002639AA"/>
    <w:rsid w:val="002700D8"/>
    <w:rsid w:val="002A709C"/>
    <w:rsid w:val="002D0861"/>
    <w:rsid w:val="002D4999"/>
    <w:rsid w:val="002F3698"/>
    <w:rsid w:val="00313080"/>
    <w:rsid w:val="00334D55"/>
    <w:rsid w:val="00336916"/>
    <w:rsid w:val="00346B88"/>
    <w:rsid w:val="003B004B"/>
    <w:rsid w:val="003B0283"/>
    <w:rsid w:val="003D1F13"/>
    <w:rsid w:val="003D7EE2"/>
    <w:rsid w:val="004004E9"/>
    <w:rsid w:val="00407969"/>
    <w:rsid w:val="0041032B"/>
    <w:rsid w:val="004B4817"/>
    <w:rsid w:val="0051751F"/>
    <w:rsid w:val="005204B7"/>
    <w:rsid w:val="005258E2"/>
    <w:rsid w:val="00527C2F"/>
    <w:rsid w:val="00583DDC"/>
    <w:rsid w:val="0059268B"/>
    <w:rsid w:val="00593F9E"/>
    <w:rsid w:val="005B43CF"/>
    <w:rsid w:val="005B7A47"/>
    <w:rsid w:val="005E2EA9"/>
    <w:rsid w:val="005E524E"/>
    <w:rsid w:val="005F4B96"/>
    <w:rsid w:val="005F5593"/>
    <w:rsid w:val="00620D79"/>
    <w:rsid w:val="00621C45"/>
    <w:rsid w:val="0066187A"/>
    <w:rsid w:val="00665649"/>
    <w:rsid w:val="00672ADB"/>
    <w:rsid w:val="0067365E"/>
    <w:rsid w:val="00681B1F"/>
    <w:rsid w:val="00693983"/>
    <w:rsid w:val="006E360A"/>
    <w:rsid w:val="0071720C"/>
    <w:rsid w:val="007271A8"/>
    <w:rsid w:val="00782747"/>
    <w:rsid w:val="00794BD1"/>
    <w:rsid w:val="007E015E"/>
    <w:rsid w:val="007E6378"/>
    <w:rsid w:val="0085152F"/>
    <w:rsid w:val="008631B6"/>
    <w:rsid w:val="008E0929"/>
    <w:rsid w:val="00904C6C"/>
    <w:rsid w:val="009063B7"/>
    <w:rsid w:val="0091051A"/>
    <w:rsid w:val="0093744F"/>
    <w:rsid w:val="00947552"/>
    <w:rsid w:val="00956C71"/>
    <w:rsid w:val="00984908"/>
    <w:rsid w:val="009D59A3"/>
    <w:rsid w:val="009E7EB4"/>
    <w:rsid w:val="009F66B6"/>
    <w:rsid w:val="00A068E4"/>
    <w:rsid w:val="00A258D5"/>
    <w:rsid w:val="00A434FD"/>
    <w:rsid w:val="00A47A18"/>
    <w:rsid w:val="00A624F5"/>
    <w:rsid w:val="00A63EDE"/>
    <w:rsid w:val="00AF4BB3"/>
    <w:rsid w:val="00AF558B"/>
    <w:rsid w:val="00B044CD"/>
    <w:rsid w:val="00B3389D"/>
    <w:rsid w:val="00B673CE"/>
    <w:rsid w:val="00B6790F"/>
    <w:rsid w:val="00B86AA3"/>
    <w:rsid w:val="00BB363A"/>
    <w:rsid w:val="00BC10F1"/>
    <w:rsid w:val="00BE4CAC"/>
    <w:rsid w:val="00C050EA"/>
    <w:rsid w:val="00C06666"/>
    <w:rsid w:val="00C13BE3"/>
    <w:rsid w:val="00C17A62"/>
    <w:rsid w:val="00C20079"/>
    <w:rsid w:val="00C228B8"/>
    <w:rsid w:val="00C474AA"/>
    <w:rsid w:val="00C61A14"/>
    <w:rsid w:val="00C75637"/>
    <w:rsid w:val="00C80295"/>
    <w:rsid w:val="00CA088D"/>
    <w:rsid w:val="00CD2D3B"/>
    <w:rsid w:val="00CD6D9A"/>
    <w:rsid w:val="00CF700B"/>
    <w:rsid w:val="00D135CF"/>
    <w:rsid w:val="00D178A8"/>
    <w:rsid w:val="00D17C7D"/>
    <w:rsid w:val="00D33C1B"/>
    <w:rsid w:val="00D33EA7"/>
    <w:rsid w:val="00D43A45"/>
    <w:rsid w:val="00D52888"/>
    <w:rsid w:val="00D549E0"/>
    <w:rsid w:val="00D6336D"/>
    <w:rsid w:val="00D82209"/>
    <w:rsid w:val="00D91CE1"/>
    <w:rsid w:val="00D94D12"/>
    <w:rsid w:val="00DA2BA4"/>
    <w:rsid w:val="00DB76DC"/>
    <w:rsid w:val="00DE39A2"/>
    <w:rsid w:val="00E01CE7"/>
    <w:rsid w:val="00E22A37"/>
    <w:rsid w:val="00E330B7"/>
    <w:rsid w:val="00E63B75"/>
    <w:rsid w:val="00E64222"/>
    <w:rsid w:val="00E747ED"/>
    <w:rsid w:val="00EB3B63"/>
    <w:rsid w:val="00ED51F4"/>
    <w:rsid w:val="00EF38CB"/>
    <w:rsid w:val="00F11CF0"/>
    <w:rsid w:val="00F13F0D"/>
    <w:rsid w:val="00F2189A"/>
    <w:rsid w:val="00F32533"/>
    <w:rsid w:val="00F411F6"/>
    <w:rsid w:val="00F43AD8"/>
    <w:rsid w:val="00F51B6F"/>
    <w:rsid w:val="00F670DF"/>
    <w:rsid w:val="00F71CEC"/>
    <w:rsid w:val="00FA275A"/>
    <w:rsid w:val="00FF15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43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43CF"/>
    <w:rPr>
      <w:sz w:val="18"/>
      <w:szCs w:val="18"/>
    </w:rPr>
  </w:style>
  <w:style w:type="paragraph" w:styleId="a4">
    <w:name w:val="footer"/>
    <w:basedOn w:val="a"/>
    <w:link w:val="Char0"/>
    <w:uiPriority w:val="99"/>
    <w:unhideWhenUsed/>
    <w:rsid w:val="005B43CF"/>
    <w:pPr>
      <w:tabs>
        <w:tab w:val="center" w:pos="4153"/>
        <w:tab w:val="right" w:pos="8306"/>
      </w:tabs>
      <w:snapToGrid w:val="0"/>
      <w:jc w:val="left"/>
    </w:pPr>
    <w:rPr>
      <w:sz w:val="18"/>
      <w:szCs w:val="18"/>
    </w:rPr>
  </w:style>
  <w:style w:type="character" w:customStyle="1" w:styleId="Char0">
    <w:name w:val="页脚 Char"/>
    <w:basedOn w:val="a0"/>
    <w:link w:val="a4"/>
    <w:uiPriority w:val="99"/>
    <w:rsid w:val="005B43CF"/>
    <w:rPr>
      <w:sz w:val="18"/>
      <w:szCs w:val="18"/>
    </w:rPr>
  </w:style>
  <w:style w:type="table" w:styleId="a5">
    <w:name w:val="Table Grid"/>
    <w:basedOn w:val="a1"/>
    <w:uiPriority w:val="39"/>
    <w:rsid w:val="00C80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909475">
      <w:bodyDiv w:val="1"/>
      <w:marLeft w:val="0"/>
      <w:marRight w:val="0"/>
      <w:marTop w:val="0"/>
      <w:marBottom w:val="0"/>
      <w:divBdr>
        <w:top w:val="none" w:sz="0" w:space="0" w:color="auto"/>
        <w:left w:val="none" w:sz="0" w:space="0" w:color="auto"/>
        <w:bottom w:val="none" w:sz="0" w:space="0" w:color="auto"/>
        <w:right w:val="none" w:sz="0" w:space="0" w:color="auto"/>
      </w:divBdr>
      <w:divsChild>
        <w:div w:id="917783465">
          <w:marLeft w:val="0"/>
          <w:marRight w:val="0"/>
          <w:marTop w:val="0"/>
          <w:marBottom w:val="0"/>
          <w:divBdr>
            <w:top w:val="none" w:sz="0" w:space="0" w:color="auto"/>
            <w:left w:val="none" w:sz="0" w:space="0" w:color="auto"/>
            <w:bottom w:val="none" w:sz="0" w:space="0" w:color="auto"/>
            <w:right w:val="none" w:sz="0" w:space="0" w:color="auto"/>
          </w:divBdr>
          <w:divsChild>
            <w:div w:id="1632664359">
              <w:marLeft w:val="0"/>
              <w:marRight w:val="0"/>
              <w:marTop w:val="0"/>
              <w:marBottom w:val="0"/>
              <w:divBdr>
                <w:top w:val="none" w:sz="0" w:space="0" w:color="auto"/>
                <w:left w:val="none" w:sz="0" w:space="0" w:color="auto"/>
                <w:bottom w:val="none" w:sz="0" w:space="0" w:color="auto"/>
                <w:right w:val="none" w:sz="0" w:space="0" w:color="auto"/>
              </w:divBdr>
              <w:divsChild>
                <w:div w:id="605163807">
                  <w:marLeft w:val="0"/>
                  <w:marRight w:val="0"/>
                  <w:marTop w:val="0"/>
                  <w:marBottom w:val="0"/>
                  <w:divBdr>
                    <w:top w:val="none" w:sz="0" w:space="0" w:color="auto"/>
                    <w:left w:val="none" w:sz="0" w:space="0" w:color="auto"/>
                    <w:bottom w:val="none" w:sz="0" w:space="0" w:color="auto"/>
                    <w:right w:val="none" w:sz="0" w:space="0" w:color="auto"/>
                  </w:divBdr>
                  <w:divsChild>
                    <w:div w:id="1674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4</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2022-08-25T01:44:00Z</cp:lastPrinted>
  <dcterms:created xsi:type="dcterms:W3CDTF">2023-09-01T16:02:00Z</dcterms:created>
  <dcterms:modified xsi:type="dcterms:W3CDTF">2023-09-01T16:02:00Z</dcterms:modified>
</cp:coreProperties>
</file>