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16" w:rsidRPr="00E36087" w:rsidRDefault="00C755AF">
      <w:pPr>
        <w:spacing w:line="360" w:lineRule="auto"/>
        <w:ind w:left="353" w:hanging="353"/>
        <w:jc w:val="center"/>
        <w:rPr>
          <w:rFonts w:ascii="Times New Roman" w:eastAsia="宋体" w:hAnsi="Times New Roman" w:cs="Times New Roman"/>
          <w:b/>
          <w:bCs/>
          <w:sz w:val="28"/>
          <w:szCs w:val="28"/>
        </w:rPr>
      </w:pPr>
      <w:r w:rsidRPr="00E36087">
        <w:rPr>
          <w:rFonts w:ascii="Times New Roman" w:eastAsia="宋体" w:hAnsi="Times New Roman" w:cs="Times New Roman"/>
          <w:b/>
          <w:bCs/>
          <w:sz w:val="28"/>
          <w:szCs w:val="28"/>
        </w:rPr>
        <w:t>国泰基金管理有限公司关于旗下部分交易型开放式基金新增</w:t>
      </w:r>
    </w:p>
    <w:p w:rsidR="003A1E16" w:rsidRPr="00E36087" w:rsidRDefault="002511D9">
      <w:pPr>
        <w:spacing w:line="360" w:lineRule="auto"/>
        <w:ind w:left="353" w:hanging="353"/>
        <w:jc w:val="center"/>
        <w:rPr>
          <w:rFonts w:ascii="Times New Roman" w:eastAsia="宋体" w:hAnsi="Times New Roman" w:cs="Times New Roman"/>
          <w:b/>
          <w:bCs/>
          <w:sz w:val="28"/>
          <w:szCs w:val="28"/>
        </w:rPr>
      </w:pPr>
      <w:r w:rsidRPr="00E36087">
        <w:rPr>
          <w:rFonts w:ascii="Times New Roman" w:eastAsia="宋体" w:hAnsi="Times New Roman" w:cs="Times New Roman"/>
          <w:b/>
          <w:bCs/>
          <w:sz w:val="28"/>
          <w:szCs w:val="28"/>
        </w:rPr>
        <w:t>东莞证券股份有限公司</w:t>
      </w:r>
      <w:r w:rsidR="00C755AF" w:rsidRPr="00E36087">
        <w:rPr>
          <w:rFonts w:ascii="Times New Roman" w:eastAsia="宋体" w:hAnsi="Times New Roman" w:cs="Times New Roman"/>
          <w:b/>
          <w:bCs/>
          <w:sz w:val="28"/>
          <w:szCs w:val="28"/>
        </w:rPr>
        <w:t>为一级交易商的公告</w:t>
      </w:r>
    </w:p>
    <w:p w:rsidR="003A1E16" w:rsidRPr="00E36087" w:rsidRDefault="003A1E16">
      <w:pPr>
        <w:spacing w:line="360" w:lineRule="auto"/>
        <w:ind w:left="353" w:hanging="353"/>
        <w:jc w:val="center"/>
        <w:rPr>
          <w:rFonts w:ascii="Times New Roman" w:hAnsi="Times New Roman" w:cs="Times New Roman"/>
          <w:b/>
          <w:bCs/>
          <w:szCs w:val="21"/>
        </w:rPr>
      </w:pPr>
    </w:p>
    <w:p w:rsidR="003A1E16" w:rsidRPr="00E36087" w:rsidRDefault="00C755AF">
      <w:pPr>
        <w:pStyle w:val="Default"/>
        <w:tabs>
          <w:tab w:val="left" w:pos="426"/>
        </w:tabs>
        <w:spacing w:line="360" w:lineRule="auto"/>
        <w:ind w:leftChars="43" w:left="90" w:firstLineChars="207" w:firstLine="435"/>
        <w:jc w:val="both"/>
        <w:rPr>
          <w:rFonts w:ascii="Times New Roman" w:hAnsi="Times New Roman" w:cs="Times New Roman"/>
          <w:sz w:val="21"/>
          <w:szCs w:val="21"/>
        </w:rPr>
      </w:pPr>
      <w:r w:rsidRPr="00E36087">
        <w:rPr>
          <w:rFonts w:ascii="Times New Roman" w:hAnsi="Times New Roman" w:cs="Times New Roman"/>
          <w:sz w:val="21"/>
          <w:szCs w:val="21"/>
        </w:rPr>
        <w:t>国泰基金管理有限公司（以下简称</w:t>
      </w:r>
      <w:r w:rsidRPr="00E36087">
        <w:rPr>
          <w:rFonts w:ascii="Times New Roman" w:hAnsi="Times New Roman" w:cs="Times New Roman"/>
          <w:sz w:val="21"/>
          <w:szCs w:val="21"/>
        </w:rPr>
        <w:t>“</w:t>
      </w:r>
      <w:r w:rsidRPr="00E36087">
        <w:rPr>
          <w:rFonts w:ascii="Times New Roman" w:hAnsi="Times New Roman" w:cs="Times New Roman"/>
          <w:sz w:val="21"/>
          <w:szCs w:val="21"/>
        </w:rPr>
        <w:t>本基金管理人</w:t>
      </w:r>
      <w:r w:rsidRPr="00E36087">
        <w:rPr>
          <w:rFonts w:ascii="Times New Roman" w:hAnsi="Times New Roman" w:cs="Times New Roman"/>
          <w:sz w:val="21"/>
          <w:szCs w:val="21"/>
        </w:rPr>
        <w:t>”</w:t>
      </w:r>
      <w:r w:rsidRPr="00E36087">
        <w:rPr>
          <w:rFonts w:ascii="Times New Roman" w:hAnsi="Times New Roman" w:cs="Times New Roman"/>
          <w:sz w:val="21"/>
          <w:szCs w:val="21"/>
        </w:rPr>
        <w:t>）旗下部分交易型开放式基金自</w:t>
      </w:r>
      <w:r w:rsidRPr="00E36087">
        <w:rPr>
          <w:rFonts w:ascii="Times New Roman" w:hAnsi="Times New Roman" w:cs="Times New Roman"/>
          <w:sz w:val="21"/>
          <w:szCs w:val="21"/>
        </w:rPr>
        <w:t>2023</w:t>
      </w:r>
      <w:r w:rsidRPr="00E36087">
        <w:rPr>
          <w:rFonts w:ascii="Times New Roman" w:hAnsi="Times New Roman" w:cs="Times New Roman"/>
          <w:sz w:val="21"/>
          <w:szCs w:val="21"/>
        </w:rPr>
        <w:t>年</w:t>
      </w:r>
      <w:r w:rsidR="00042E7D" w:rsidRPr="00E36087">
        <w:rPr>
          <w:rFonts w:ascii="Times New Roman" w:hAnsi="Times New Roman" w:cs="Times New Roman"/>
          <w:sz w:val="21"/>
          <w:szCs w:val="21"/>
        </w:rPr>
        <w:t>8</w:t>
      </w:r>
      <w:r w:rsidRPr="00E36087">
        <w:rPr>
          <w:rFonts w:ascii="Times New Roman" w:hAnsi="Times New Roman" w:cs="Times New Roman"/>
          <w:sz w:val="21"/>
          <w:szCs w:val="21"/>
        </w:rPr>
        <w:t>月</w:t>
      </w:r>
      <w:r w:rsidR="002511D9" w:rsidRPr="00E36087">
        <w:rPr>
          <w:rFonts w:ascii="Times New Roman" w:hAnsi="Times New Roman" w:cs="Times New Roman"/>
          <w:sz w:val="21"/>
          <w:szCs w:val="21"/>
        </w:rPr>
        <w:t>30</w:t>
      </w:r>
      <w:r w:rsidRPr="00E36087">
        <w:rPr>
          <w:rFonts w:ascii="Times New Roman" w:hAnsi="Times New Roman" w:cs="Times New Roman"/>
          <w:sz w:val="21"/>
          <w:szCs w:val="21"/>
        </w:rPr>
        <w:t>日起增加</w:t>
      </w:r>
      <w:r w:rsidR="002511D9" w:rsidRPr="00E36087">
        <w:rPr>
          <w:rFonts w:ascii="Times New Roman" w:hAnsi="Times New Roman" w:cs="Times New Roman"/>
          <w:sz w:val="21"/>
          <w:szCs w:val="21"/>
        </w:rPr>
        <w:t>东莞证券股份有限公司</w:t>
      </w:r>
      <w:r w:rsidRPr="00E36087">
        <w:rPr>
          <w:rFonts w:ascii="Times New Roman" w:hAnsi="Times New Roman" w:cs="Times New Roman"/>
          <w:sz w:val="21"/>
          <w:szCs w:val="21"/>
        </w:rPr>
        <w:t>（以下简称</w:t>
      </w:r>
      <w:r w:rsidRPr="00E36087">
        <w:rPr>
          <w:rFonts w:ascii="Times New Roman" w:hAnsi="Times New Roman" w:cs="Times New Roman"/>
          <w:sz w:val="21"/>
          <w:szCs w:val="21"/>
        </w:rPr>
        <w:t>“</w:t>
      </w:r>
      <w:r w:rsidR="002511D9" w:rsidRPr="00E36087">
        <w:rPr>
          <w:rFonts w:ascii="Times New Roman" w:hAnsi="Times New Roman" w:cs="Times New Roman"/>
          <w:sz w:val="21"/>
          <w:szCs w:val="21"/>
        </w:rPr>
        <w:t>东莞</w:t>
      </w:r>
      <w:r w:rsidRPr="00E36087">
        <w:rPr>
          <w:rFonts w:ascii="Times New Roman" w:hAnsi="Times New Roman" w:cs="Times New Roman"/>
          <w:sz w:val="21"/>
          <w:szCs w:val="21"/>
        </w:rPr>
        <w:t>证券</w:t>
      </w:r>
      <w:r w:rsidRPr="00E36087">
        <w:rPr>
          <w:rFonts w:ascii="Times New Roman" w:hAnsi="Times New Roman" w:cs="Times New Roman"/>
          <w:sz w:val="21"/>
          <w:szCs w:val="21"/>
        </w:rPr>
        <w:t>”</w:t>
      </w:r>
      <w:r w:rsidRPr="00E36087">
        <w:rPr>
          <w:rFonts w:ascii="Times New Roman" w:hAnsi="Times New Roman" w:cs="Times New Roman"/>
          <w:sz w:val="21"/>
          <w:szCs w:val="21"/>
        </w:rPr>
        <w:t>）为申购赎回代理券商（以</w:t>
      </w:r>
      <w:bookmarkStart w:id="0" w:name="_GoBack"/>
      <w:bookmarkEnd w:id="0"/>
      <w:r w:rsidRPr="00E36087">
        <w:rPr>
          <w:rFonts w:ascii="Times New Roman" w:hAnsi="Times New Roman" w:cs="Times New Roman"/>
          <w:sz w:val="21"/>
          <w:szCs w:val="21"/>
        </w:rPr>
        <w:t>下简称</w:t>
      </w:r>
      <w:r w:rsidRPr="00E36087">
        <w:rPr>
          <w:rFonts w:ascii="Times New Roman" w:hAnsi="Times New Roman" w:cs="Times New Roman"/>
          <w:sz w:val="21"/>
          <w:szCs w:val="21"/>
        </w:rPr>
        <w:t>“</w:t>
      </w:r>
      <w:r w:rsidRPr="00E36087">
        <w:rPr>
          <w:rFonts w:ascii="Times New Roman" w:hAnsi="Times New Roman" w:cs="Times New Roman"/>
          <w:sz w:val="21"/>
          <w:szCs w:val="21"/>
        </w:rPr>
        <w:t>一级交易商</w:t>
      </w:r>
      <w:r w:rsidRPr="00E36087">
        <w:rPr>
          <w:rFonts w:ascii="Times New Roman" w:hAnsi="Times New Roman" w:cs="Times New Roman"/>
          <w:sz w:val="21"/>
          <w:szCs w:val="21"/>
        </w:rPr>
        <w:t>”</w:t>
      </w:r>
      <w:r w:rsidRPr="00E36087">
        <w:rPr>
          <w:rFonts w:ascii="Times New Roman" w:hAnsi="Times New Roman" w:cs="Times New Roman"/>
          <w:sz w:val="21"/>
          <w:szCs w:val="21"/>
        </w:rPr>
        <w:t>）。投资者可通过</w:t>
      </w:r>
      <w:r w:rsidR="002511D9" w:rsidRPr="00E36087">
        <w:rPr>
          <w:rFonts w:ascii="Times New Roman" w:hAnsi="Times New Roman" w:cs="Times New Roman"/>
          <w:sz w:val="21"/>
          <w:szCs w:val="21"/>
        </w:rPr>
        <w:t>东莞证券</w:t>
      </w:r>
      <w:r w:rsidRPr="00E36087">
        <w:rPr>
          <w:rFonts w:ascii="Times New Roman" w:hAnsi="Times New Roman" w:cs="Times New Roman"/>
          <w:sz w:val="21"/>
          <w:szCs w:val="21"/>
        </w:rPr>
        <w:t>各营业网点办理相关基金的申购、赎回等业务。具体公告如下：</w:t>
      </w:r>
    </w:p>
    <w:p w:rsidR="003A1E16" w:rsidRPr="00E36087" w:rsidRDefault="00C755AF">
      <w:pPr>
        <w:pStyle w:val="CM12"/>
        <w:numPr>
          <w:ilvl w:val="0"/>
          <w:numId w:val="1"/>
        </w:numPr>
        <w:spacing w:line="360" w:lineRule="auto"/>
        <w:jc w:val="both"/>
        <w:rPr>
          <w:rFonts w:ascii="Times New Roman" w:hAnsi="Times New Roman" w:cs="Times New Roman"/>
          <w:color w:val="000000"/>
          <w:sz w:val="21"/>
          <w:szCs w:val="21"/>
        </w:rPr>
      </w:pPr>
      <w:r w:rsidRPr="00E36087">
        <w:rPr>
          <w:rFonts w:ascii="Times New Roman" w:hAnsi="Times New Roman" w:cs="Times New Roman"/>
          <w:color w:val="000000"/>
          <w:sz w:val="21"/>
          <w:szCs w:val="21"/>
        </w:rPr>
        <w:t>适用基金列表：</w:t>
      </w:r>
    </w:p>
    <w:tbl>
      <w:tblPr>
        <w:tblW w:w="8230" w:type="dxa"/>
        <w:jc w:val="center"/>
        <w:tblLook w:val="04A0"/>
      </w:tblPr>
      <w:tblGrid>
        <w:gridCol w:w="1413"/>
        <w:gridCol w:w="6817"/>
      </w:tblGrid>
      <w:tr w:rsidR="002511D9" w:rsidRPr="00E36087" w:rsidTr="00042293">
        <w:trPr>
          <w:trHeight w:val="280"/>
          <w:tblHeade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基金代码</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基金名称</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159516</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国泰中证半导体材料设备主题交易型开放式指数证券投资基金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159612</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国泰标普</w:t>
            </w:r>
            <w:r w:rsidRPr="00E36087">
              <w:rPr>
                <w:rFonts w:ascii="Times New Roman" w:eastAsia="宋体" w:hAnsi="Times New Roman" w:cs="Times New Roman"/>
                <w:color w:val="000000"/>
                <w:kern w:val="0"/>
                <w:szCs w:val="21"/>
              </w:rPr>
              <w:t>500</w:t>
            </w:r>
            <w:r w:rsidRPr="00E36087">
              <w:rPr>
                <w:rFonts w:ascii="Times New Roman" w:eastAsia="宋体" w:hAnsi="Times New Roman" w:cs="Times New Roman"/>
                <w:color w:val="000000"/>
                <w:kern w:val="0"/>
                <w:szCs w:val="21"/>
              </w:rPr>
              <w:t>交易型开放式指数证券投资基金</w:t>
            </w:r>
            <w:r w:rsidRPr="00E36087">
              <w:rPr>
                <w:rFonts w:ascii="Times New Roman" w:eastAsia="宋体" w:hAnsi="Times New Roman" w:cs="Times New Roman"/>
                <w:color w:val="000000"/>
                <w:kern w:val="0"/>
                <w:szCs w:val="21"/>
              </w:rPr>
              <w:t>(QDII)</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159619</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国泰中证基建交易型开放式指数证券投资基金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159621</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w:t>
            </w:r>
            <w:r w:rsidRPr="00E36087">
              <w:rPr>
                <w:rFonts w:ascii="Times New Roman" w:eastAsia="宋体" w:hAnsi="Times New Roman" w:cs="Times New Roman"/>
                <w:color w:val="000000"/>
                <w:kern w:val="0"/>
                <w:szCs w:val="21"/>
              </w:rPr>
              <w:t>MSCI</w:t>
            </w:r>
            <w:r w:rsidRPr="00E36087">
              <w:rPr>
                <w:rFonts w:ascii="Times New Roman" w:eastAsia="宋体" w:hAnsi="Times New Roman" w:cs="Times New Roman"/>
                <w:color w:val="000000"/>
                <w:kern w:val="0"/>
                <w:szCs w:val="21"/>
              </w:rPr>
              <w:t>中国</w:t>
            </w:r>
            <w:r w:rsidRPr="00E36087">
              <w:rPr>
                <w:rFonts w:ascii="Times New Roman" w:eastAsia="宋体" w:hAnsi="Times New Roman" w:cs="Times New Roman"/>
                <w:color w:val="000000"/>
                <w:kern w:val="0"/>
                <w:szCs w:val="21"/>
              </w:rPr>
              <w:t>A</w:t>
            </w:r>
            <w:r w:rsidRPr="00E36087">
              <w:rPr>
                <w:rFonts w:ascii="Times New Roman" w:eastAsia="宋体" w:hAnsi="Times New Roman" w:cs="Times New Roman"/>
                <w:color w:val="000000"/>
                <w:kern w:val="0"/>
                <w:szCs w:val="21"/>
              </w:rPr>
              <w:t>股</w:t>
            </w:r>
            <w:r w:rsidRPr="00E36087">
              <w:rPr>
                <w:rFonts w:ascii="Times New Roman" w:eastAsia="宋体" w:hAnsi="Times New Roman" w:cs="Times New Roman"/>
                <w:color w:val="000000"/>
                <w:kern w:val="0"/>
                <w:szCs w:val="21"/>
              </w:rPr>
              <w:t>ESG</w:t>
            </w:r>
            <w:r w:rsidRPr="00E36087">
              <w:rPr>
                <w:rFonts w:ascii="Times New Roman" w:eastAsia="宋体" w:hAnsi="Times New Roman" w:cs="Times New Roman"/>
                <w:color w:val="000000"/>
                <w:kern w:val="0"/>
                <w:szCs w:val="21"/>
              </w:rPr>
              <w:t>通用交易型开放式指数证券投资基金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159643</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国泰国证疫苗与生物科技交易型开放式指数证券投资基金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159667</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国泰中证机床交易型开放式指数证券投资基金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159669</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国泰国证绿色电力交易型开放式指数证券投资基金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159679</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w:t>
            </w:r>
            <w:r w:rsidRPr="00E36087">
              <w:rPr>
                <w:rFonts w:ascii="Times New Roman" w:eastAsia="宋体" w:hAnsi="Times New Roman" w:cs="Times New Roman"/>
                <w:color w:val="000000"/>
                <w:kern w:val="0"/>
                <w:szCs w:val="21"/>
              </w:rPr>
              <w:t>1000</w:t>
            </w:r>
            <w:r w:rsidRPr="00E36087">
              <w:rPr>
                <w:rFonts w:ascii="Times New Roman" w:eastAsia="宋体" w:hAnsi="Times New Roman" w:cs="Times New Roman"/>
                <w:color w:val="000000"/>
                <w:kern w:val="0"/>
                <w:szCs w:val="21"/>
              </w:rPr>
              <w:t>增强策略交易型开放式指数证券投资基金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159712</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国泰中证港股通</w:t>
            </w:r>
            <w:r w:rsidRPr="00E36087">
              <w:rPr>
                <w:rFonts w:ascii="Times New Roman" w:eastAsia="宋体" w:hAnsi="Times New Roman" w:cs="Times New Roman"/>
                <w:color w:val="000000"/>
                <w:kern w:val="0"/>
                <w:szCs w:val="21"/>
              </w:rPr>
              <w:t>50</w:t>
            </w:r>
            <w:r w:rsidRPr="00E36087">
              <w:rPr>
                <w:rFonts w:ascii="Times New Roman" w:eastAsia="宋体" w:hAnsi="Times New Roman" w:cs="Times New Roman"/>
                <w:color w:val="000000"/>
                <w:kern w:val="0"/>
                <w:szCs w:val="21"/>
              </w:rPr>
              <w:t>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159745</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国泰中证全指建筑材料交易型开放式指数证券投资基金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159761</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国泰中证新材料主题交易型开放式指数证券投资基金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159806</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国泰中证新能源汽车交易型开放式指数证券投资基金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159828</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国泰中证医疗交易型开放式指数证券投资基金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159861</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国泰中证环保产业</w:t>
            </w:r>
            <w:r w:rsidRPr="00E36087">
              <w:rPr>
                <w:rFonts w:ascii="Times New Roman" w:eastAsia="宋体" w:hAnsi="Times New Roman" w:cs="Times New Roman"/>
                <w:color w:val="000000"/>
                <w:kern w:val="0"/>
                <w:szCs w:val="21"/>
              </w:rPr>
              <w:t>50</w:t>
            </w:r>
            <w:r w:rsidRPr="00E36087">
              <w:rPr>
                <w:rFonts w:ascii="Times New Roman" w:eastAsia="宋体" w:hAnsi="Times New Roman" w:cs="Times New Roman"/>
                <w:color w:val="000000"/>
                <w:kern w:val="0"/>
                <w:szCs w:val="21"/>
              </w:rPr>
              <w:t>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159864</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国泰中证光伏产业交易型开放式指数证券投资基金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159865</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国泰中证畜牧养殖交易型开放式指数证券投资基金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159881</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国泰中证有色金属交易型开放式指数证券投资基金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159889</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国泰中证智能汽车主题交易型开放式指数证券投资基金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159996</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国泰中证全指家用电器交易型开放式指数证券投资基金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510760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国泰上证综合交易型开放式指数证券投资基金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511010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上证</w:t>
            </w:r>
            <w:r w:rsidRPr="00E36087">
              <w:rPr>
                <w:rFonts w:ascii="Times New Roman" w:eastAsia="宋体" w:hAnsi="Times New Roman" w:cs="Times New Roman"/>
                <w:color w:val="000000"/>
                <w:kern w:val="0"/>
                <w:szCs w:val="21"/>
              </w:rPr>
              <w:t>5</w:t>
            </w:r>
            <w:r w:rsidRPr="00E36087">
              <w:rPr>
                <w:rFonts w:ascii="Times New Roman" w:eastAsia="宋体" w:hAnsi="Times New Roman" w:cs="Times New Roman"/>
                <w:color w:val="000000"/>
                <w:kern w:val="0"/>
                <w:szCs w:val="21"/>
              </w:rPr>
              <w:t>年期国债交易型开放式指数证券投资基金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511260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上证</w:t>
            </w:r>
            <w:r w:rsidRPr="00E36087">
              <w:rPr>
                <w:rFonts w:ascii="Times New Roman" w:eastAsia="宋体" w:hAnsi="Times New Roman" w:cs="Times New Roman"/>
                <w:color w:val="000000"/>
                <w:kern w:val="0"/>
                <w:szCs w:val="21"/>
              </w:rPr>
              <w:t>10</w:t>
            </w:r>
            <w:r w:rsidRPr="00E36087">
              <w:rPr>
                <w:rFonts w:ascii="Times New Roman" w:eastAsia="宋体" w:hAnsi="Times New Roman" w:cs="Times New Roman"/>
                <w:color w:val="000000"/>
                <w:kern w:val="0"/>
                <w:szCs w:val="21"/>
              </w:rPr>
              <w:t>年期国债交易型开放式指数证券投资基金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511620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国泰瞬利交易型货币市场基金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512290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国泰中证生物医药交易型开放式指数证券投资基金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512660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国泰中证军工交易型开放式指数证券投资基金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512720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国泰中证计算机主题交易型开放式指数证券投资基金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512760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w:t>
            </w:r>
            <w:r w:rsidRPr="00E36087">
              <w:rPr>
                <w:rFonts w:ascii="Times New Roman" w:eastAsia="宋体" w:hAnsi="Times New Roman" w:cs="Times New Roman"/>
                <w:color w:val="000000"/>
                <w:kern w:val="0"/>
                <w:szCs w:val="21"/>
              </w:rPr>
              <w:t>CES</w:t>
            </w:r>
            <w:r w:rsidRPr="00E36087">
              <w:rPr>
                <w:rFonts w:ascii="Times New Roman" w:eastAsia="宋体" w:hAnsi="Times New Roman" w:cs="Times New Roman"/>
                <w:color w:val="000000"/>
                <w:kern w:val="0"/>
                <w:szCs w:val="21"/>
              </w:rPr>
              <w:t>半导体芯片行业交易型开放式指数证券投资基金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512880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国泰中证全指证券公司交易型开放式指数证券投资基金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513020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国泰中证港股通科技交易型开放式指数证券投资基金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lastRenderedPageBreak/>
              <w:t>513100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纳斯达克</w:t>
            </w:r>
            <w:r w:rsidRPr="00E36087">
              <w:rPr>
                <w:rFonts w:ascii="Times New Roman" w:eastAsia="宋体" w:hAnsi="Times New Roman" w:cs="Times New Roman"/>
                <w:color w:val="000000"/>
                <w:kern w:val="0"/>
                <w:szCs w:val="21"/>
              </w:rPr>
              <w:t>100</w:t>
            </w:r>
            <w:r w:rsidRPr="00E36087">
              <w:rPr>
                <w:rFonts w:ascii="Times New Roman" w:eastAsia="宋体" w:hAnsi="Times New Roman" w:cs="Times New Roman"/>
                <w:color w:val="000000"/>
                <w:kern w:val="0"/>
                <w:szCs w:val="21"/>
              </w:rPr>
              <w:t>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515210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国泰中证钢铁交易型开放式指数证券投资基金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515220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国泰中证煤炭交易型开放式指数证券投资基金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515230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国泰中证全指软件交易型开放式指数证券投资基金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515880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国泰中证全指通信设备交易型开放式指数证券投资基金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516010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国泰中证动漫游戏交易型开放式指数证券投资基金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516110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w:t>
            </w:r>
            <w:r w:rsidRPr="00E36087">
              <w:rPr>
                <w:rFonts w:ascii="Times New Roman" w:eastAsia="宋体" w:hAnsi="Times New Roman" w:cs="Times New Roman"/>
                <w:color w:val="000000"/>
                <w:kern w:val="0"/>
                <w:szCs w:val="21"/>
              </w:rPr>
              <w:t>800</w:t>
            </w:r>
            <w:r w:rsidRPr="00E36087">
              <w:rPr>
                <w:rFonts w:ascii="Times New Roman" w:eastAsia="宋体" w:hAnsi="Times New Roman" w:cs="Times New Roman"/>
                <w:color w:val="000000"/>
                <w:kern w:val="0"/>
                <w:szCs w:val="21"/>
              </w:rPr>
              <w:t>汽车与零部件交易型开放式指数证券投资基金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516220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国泰中证细分化工产业主题交易型开放式指数证券投资基金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516620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国泰中证影视主题交易型开放式指数证券投资基金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516960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国泰中证细分机械设备产业主题交易型开放式指数证券投资基金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517090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国泰富时中国国企开放共赢交易型开放式指数证券投资基金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517110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国泰中证沪港深创新药产业交易型开放式指数证券投资基金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517500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国泰中证沪港深动漫游戏交易型开放式指数证券投资基金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518800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国泰黄金交易型开放式证券投资基金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561300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国泰沪深</w:t>
            </w:r>
            <w:r w:rsidRPr="00E36087">
              <w:rPr>
                <w:rFonts w:ascii="Times New Roman" w:eastAsia="宋体" w:hAnsi="Times New Roman" w:cs="Times New Roman"/>
                <w:color w:val="000000"/>
                <w:kern w:val="0"/>
                <w:szCs w:val="21"/>
              </w:rPr>
              <w:t>300</w:t>
            </w:r>
            <w:r w:rsidRPr="00E36087">
              <w:rPr>
                <w:rFonts w:ascii="Times New Roman" w:eastAsia="宋体" w:hAnsi="Times New Roman" w:cs="Times New Roman"/>
                <w:color w:val="000000"/>
                <w:kern w:val="0"/>
                <w:szCs w:val="21"/>
              </w:rPr>
              <w:t>增强策略交易型开放式指数证券投资基金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561310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国泰中证消费电子主题交易型开放式指数证券投资基金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561320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国泰中证内地运输主题交易型开放式指数证券投资基金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561330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国泰中证有色金属矿业主题交易型开放式指数证券投资基金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561350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w:t>
            </w:r>
            <w:r w:rsidRPr="00E36087">
              <w:rPr>
                <w:rFonts w:ascii="Times New Roman" w:eastAsia="宋体" w:hAnsi="Times New Roman" w:cs="Times New Roman"/>
                <w:color w:val="000000"/>
                <w:kern w:val="0"/>
                <w:szCs w:val="21"/>
              </w:rPr>
              <w:t>500</w:t>
            </w:r>
            <w:r w:rsidRPr="00E36087">
              <w:rPr>
                <w:rFonts w:ascii="Times New Roman" w:eastAsia="宋体" w:hAnsi="Times New Roman" w:cs="Times New Roman"/>
                <w:color w:val="000000"/>
                <w:kern w:val="0"/>
                <w:szCs w:val="21"/>
              </w:rPr>
              <w:t>交易型开放式指数证券投资基金</w:t>
            </w:r>
          </w:p>
        </w:tc>
      </w:tr>
      <w:tr w:rsidR="002511D9" w:rsidRPr="00E36087" w:rsidTr="00042293">
        <w:trPr>
          <w:trHeight w:val="28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588360</w:t>
            </w:r>
          </w:p>
        </w:tc>
        <w:tc>
          <w:tcPr>
            <w:tcW w:w="68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11D9" w:rsidRPr="00E36087" w:rsidRDefault="002511D9" w:rsidP="002511D9">
            <w:pPr>
              <w:widowControl/>
              <w:jc w:val="center"/>
              <w:rPr>
                <w:rFonts w:ascii="Times New Roman" w:eastAsia="宋体" w:hAnsi="Times New Roman" w:cs="Times New Roman"/>
                <w:color w:val="000000"/>
                <w:kern w:val="0"/>
                <w:szCs w:val="21"/>
              </w:rPr>
            </w:pPr>
            <w:r w:rsidRPr="00E36087">
              <w:rPr>
                <w:rFonts w:ascii="Times New Roman" w:eastAsia="宋体" w:hAnsi="Times New Roman" w:cs="Times New Roman"/>
                <w:color w:val="000000"/>
                <w:kern w:val="0"/>
                <w:szCs w:val="21"/>
              </w:rPr>
              <w:t>国泰中证科创创业</w:t>
            </w:r>
            <w:r w:rsidRPr="00E36087">
              <w:rPr>
                <w:rFonts w:ascii="Times New Roman" w:eastAsia="宋体" w:hAnsi="Times New Roman" w:cs="Times New Roman"/>
                <w:color w:val="000000"/>
                <w:kern w:val="0"/>
                <w:szCs w:val="21"/>
              </w:rPr>
              <w:t>50</w:t>
            </w:r>
            <w:r w:rsidRPr="00E36087">
              <w:rPr>
                <w:rFonts w:ascii="Times New Roman" w:eastAsia="宋体" w:hAnsi="Times New Roman" w:cs="Times New Roman"/>
                <w:color w:val="000000"/>
                <w:kern w:val="0"/>
                <w:szCs w:val="21"/>
              </w:rPr>
              <w:t>交易型开放式指数证券投资基金</w:t>
            </w:r>
          </w:p>
        </w:tc>
      </w:tr>
    </w:tbl>
    <w:p w:rsidR="003A1E16" w:rsidRPr="00E36087" w:rsidRDefault="00C755AF" w:rsidP="002511D9">
      <w:pPr>
        <w:spacing w:line="360" w:lineRule="auto"/>
        <w:ind w:firstLineChars="200" w:firstLine="420"/>
        <w:rPr>
          <w:rFonts w:ascii="Times New Roman" w:eastAsia="宋体" w:hAnsi="Times New Roman" w:cs="Times New Roman"/>
        </w:rPr>
      </w:pPr>
      <w:r w:rsidRPr="00E36087">
        <w:rPr>
          <w:rFonts w:ascii="Times New Roman" w:eastAsia="宋体" w:hAnsi="Times New Roman" w:cs="Times New Roman"/>
        </w:rPr>
        <w:t>注：</w:t>
      </w:r>
      <w:r w:rsidRPr="00E36087">
        <w:rPr>
          <w:rFonts w:ascii="Times New Roman" w:eastAsia="宋体" w:hAnsi="Times New Roman" w:cs="Times New Roman"/>
        </w:rPr>
        <w:t xml:space="preserve"> 1</w:t>
      </w:r>
      <w:r w:rsidRPr="00E36087">
        <w:rPr>
          <w:rFonts w:ascii="Times New Roman" w:eastAsia="宋体" w:hAnsi="Times New Roman" w:cs="Times New Roman"/>
        </w:rPr>
        <w:t>、上述表格内基金的最小申购、赎回单位限制请详见本基金管理人发布的相关业务公告。</w:t>
      </w: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2</w:t>
      </w:r>
      <w:r w:rsidRPr="00E36087">
        <w:rPr>
          <w:rFonts w:ascii="Times New Roman" w:eastAsia="宋体" w:hAnsi="Times New Roman" w:cs="Times New Roman"/>
        </w:rPr>
        <w:t>、根据上述基金《基金合同》的约定，投资者应通过具备申购赎回业务资格的一级交易商办理基金的申购和赎回业务。</w:t>
      </w:r>
    </w:p>
    <w:p w:rsidR="003A1E16" w:rsidRPr="00E36087" w:rsidRDefault="003A1E16">
      <w:pPr>
        <w:spacing w:line="360" w:lineRule="auto"/>
        <w:ind w:firstLine="420"/>
        <w:rPr>
          <w:rFonts w:ascii="Times New Roman" w:hAnsi="Times New Roman" w:cs="Times New Roman"/>
          <w:bCs/>
          <w:kern w:val="0"/>
          <w:szCs w:val="21"/>
        </w:rPr>
      </w:pP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二、新增一级交易商的基本信息及联系方式</w:t>
      </w:r>
    </w:p>
    <w:p w:rsidR="002511D9" w:rsidRPr="00E36087" w:rsidRDefault="002511D9" w:rsidP="002511D9">
      <w:pPr>
        <w:spacing w:line="360" w:lineRule="auto"/>
        <w:ind w:firstLineChars="200" w:firstLine="420"/>
        <w:rPr>
          <w:rFonts w:ascii="Times New Roman" w:eastAsia="宋体" w:hAnsi="Times New Roman" w:cs="Times New Roman"/>
        </w:rPr>
      </w:pPr>
      <w:r w:rsidRPr="00E36087">
        <w:rPr>
          <w:rFonts w:ascii="Times New Roman" w:eastAsia="宋体" w:hAnsi="Times New Roman" w:cs="Times New Roman"/>
        </w:rPr>
        <w:t>东莞证券股份有限公司</w:t>
      </w:r>
    </w:p>
    <w:p w:rsidR="002511D9" w:rsidRPr="00E36087" w:rsidRDefault="002511D9" w:rsidP="002511D9">
      <w:pPr>
        <w:spacing w:line="360" w:lineRule="auto"/>
        <w:ind w:firstLineChars="200" w:firstLine="420"/>
        <w:rPr>
          <w:rFonts w:ascii="Times New Roman" w:eastAsia="宋体" w:hAnsi="Times New Roman" w:cs="Times New Roman"/>
        </w:rPr>
      </w:pPr>
      <w:r w:rsidRPr="00E36087">
        <w:rPr>
          <w:rFonts w:ascii="Times New Roman" w:eastAsia="宋体" w:hAnsi="Times New Roman" w:cs="Times New Roman"/>
        </w:rPr>
        <w:t>地址：东莞市莞城区可园南路</w:t>
      </w:r>
      <w:r w:rsidRPr="00E36087">
        <w:rPr>
          <w:rFonts w:ascii="Times New Roman" w:eastAsia="宋体" w:hAnsi="Times New Roman" w:cs="Times New Roman"/>
        </w:rPr>
        <w:t>1</w:t>
      </w:r>
      <w:r w:rsidRPr="00E36087">
        <w:rPr>
          <w:rFonts w:ascii="Times New Roman" w:eastAsia="宋体" w:hAnsi="Times New Roman" w:cs="Times New Roman"/>
        </w:rPr>
        <w:t>号金源中心</w:t>
      </w:r>
      <w:r w:rsidRPr="00E36087">
        <w:rPr>
          <w:rFonts w:ascii="Times New Roman" w:eastAsia="宋体" w:hAnsi="Times New Roman" w:cs="Times New Roman"/>
        </w:rPr>
        <w:t>30</w:t>
      </w:r>
      <w:r w:rsidRPr="00E36087">
        <w:rPr>
          <w:rFonts w:ascii="Times New Roman" w:eastAsia="宋体" w:hAnsi="Times New Roman" w:cs="Times New Roman"/>
        </w:rPr>
        <w:t>楼</w:t>
      </w:r>
    </w:p>
    <w:p w:rsidR="002511D9" w:rsidRPr="00E36087" w:rsidRDefault="002511D9" w:rsidP="002511D9">
      <w:pPr>
        <w:spacing w:line="360" w:lineRule="auto"/>
        <w:ind w:firstLineChars="200" w:firstLine="420"/>
        <w:rPr>
          <w:rFonts w:ascii="Times New Roman" w:eastAsia="宋体" w:hAnsi="Times New Roman" w:cs="Times New Roman"/>
        </w:rPr>
      </w:pPr>
      <w:r w:rsidRPr="00E36087">
        <w:rPr>
          <w:rFonts w:ascii="Times New Roman" w:eastAsia="宋体" w:hAnsi="Times New Roman" w:cs="Times New Roman"/>
        </w:rPr>
        <w:t>客服电话：</w:t>
      </w:r>
      <w:r w:rsidRPr="00E36087">
        <w:rPr>
          <w:rFonts w:ascii="Times New Roman" w:eastAsia="宋体" w:hAnsi="Times New Roman" w:cs="Times New Roman"/>
        </w:rPr>
        <w:t>95328</w:t>
      </w:r>
    </w:p>
    <w:p w:rsidR="003A1E16" w:rsidRPr="00E36087" w:rsidRDefault="002511D9" w:rsidP="002511D9">
      <w:pPr>
        <w:spacing w:line="360" w:lineRule="auto"/>
        <w:ind w:firstLineChars="200" w:firstLine="420"/>
        <w:rPr>
          <w:rFonts w:ascii="Times New Roman" w:eastAsia="宋体" w:hAnsi="Times New Roman" w:cs="Times New Roman"/>
        </w:rPr>
      </w:pPr>
      <w:r w:rsidRPr="00E36087">
        <w:rPr>
          <w:rFonts w:ascii="Times New Roman" w:eastAsia="宋体" w:hAnsi="Times New Roman" w:cs="Times New Roman"/>
        </w:rPr>
        <w:t>网址：</w:t>
      </w:r>
      <w:r w:rsidRPr="00E36087">
        <w:rPr>
          <w:rFonts w:ascii="Times New Roman" w:eastAsia="宋体" w:hAnsi="Times New Roman" w:cs="Times New Roman"/>
        </w:rPr>
        <w:t>www.dgzq.com.cn</w:t>
      </w:r>
    </w:p>
    <w:p w:rsidR="003A1E16" w:rsidRPr="00E36087" w:rsidRDefault="003A1E16">
      <w:pPr>
        <w:spacing w:line="360" w:lineRule="auto"/>
        <w:rPr>
          <w:rFonts w:ascii="Times New Roman" w:eastAsia="宋体" w:hAnsi="Times New Roman" w:cs="Times New Roman"/>
          <w:bCs/>
          <w:kern w:val="0"/>
          <w:szCs w:val="21"/>
        </w:rPr>
      </w:pP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三、本基金管理人联系方式</w:t>
      </w: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国泰基金管理有限公司</w:t>
      </w:r>
    </w:p>
    <w:p w:rsidR="003A1E16" w:rsidRPr="00E36087" w:rsidRDefault="00C755AF">
      <w:pPr>
        <w:spacing w:line="360" w:lineRule="auto"/>
        <w:ind w:firstLine="420"/>
        <w:rPr>
          <w:rFonts w:ascii="Times New Roman" w:eastAsia="宋体" w:hAnsi="Times New Roman" w:cs="Times New Roman"/>
          <w:bCs/>
          <w:kern w:val="0"/>
          <w:szCs w:val="21"/>
        </w:rPr>
      </w:pPr>
      <w:r w:rsidRPr="00E36087">
        <w:rPr>
          <w:rFonts w:ascii="Times New Roman" w:eastAsia="宋体" w:hAnsi="Times New Roman" w:cs="Times New Roman"/>
          <w:bCs/>
          <w:kern w:val="0"/>
          <w:szCs w:val="21"/>
        </w:rPr>
        <w:t>地址：上海市虹口区公平路</w:t>
      </w:r>
      <w:r w:rsidRPr="00E36087">
        <w:rPr>
          <w:rFonts w:ascii="Times New Roman" w:eastAsia="宋体" w:hAnsi="Times New Roman" w:cs="Times New Roman"/>
          <w:bCs/>
          <w:kern w:val="0"/>
          <w:szCs w:val="21"/>
        </w:rPr>
        <w:t>18</w:t>
      </w:r>
      <w:r w:rsidRPr="00E36087">
        <w:rPr>
          <w:rFonts w:ascii="Times New Roman" w:eastAsia="宋体" w:hAnsi="Times New Roman" w:cs="Times New Roman"/>
          <w:bCs/>
          <w:kern w:val="0"/>
          <w:szCs w:val="21"/>
        </w:rPr>
        <w:t>号</w:t>
      </w:r>
      <w:r w:rsidRPr="00E36087">
        <w:rPr>
          <w:rFonts w:ascii="Times New Roman" w:eastAsia="宋体" w:hAnsi="Times New Roman" w:cs="Times New Roman"/>
          <w:bCs/>
          <w:kern w:val="0"/>
          <w:szCs w:val="21"/>
        </w:rPr>
        <w:t>8</w:t>
      </w:r>
      <w:r w:rsidRPr="00E36087">
        <w:rPr>
          <w:rFonts w:ascii="Times New Roman" w:eastAsia="宋体" w:hAnsi="Times New Roman" w:cs="Times New Roman"/>
          <w:bCs/>
          <w:kern w:val="0"/>
          <w:szCs w:val="21"/>
        </w:rPr>
        <w:t>号楼嘉昱大厦</w:t>
      </w:r>
      <w:r w:rsidRPr="00E36087">
        <w:rPr>
          <w:rFonts w:ascii="Times New Roman" w:eastAsia="宋体" w:hAnsi="Times New Roman" w:cs="Times New Roman"/>
          <w:bCs/>
          <w:kern w:val="0"/>
          <w:szCs w:val="21"/>
        </w:rPr>
        <w:t>16-19</w:t>
      </w:r>
      <w:r w:rsidRPr="00E36087">
        <w:rPr>
          <w:rFonts w:ascii="Times New Roman" w:eastAsia="宋体" w:hAnsi="Times New Roman" w:cs="Times New Roman"/>
          <w:bCs/>
          <w:kern w:val="0"/>
          <w:szCs w:val="21"/>
        </w:rPr>
        <w:t>层</w:t>
      </w:r>
    </w:p>
    <w:p w:rsidR="003A1E16" w:rsidRPr="00E36087" w:rsidRDefault="00C755AF">
      <w:pPr>
        <w:spacing w:line="360" w:lineRule="auto"/>
        <w:ind w:firstLine="420"/>
        <w:rPr>
          <w:rFonts w:ascii="Times New Roman" w:eastAsia="宋体" w:hAnsi="Times New Roman" w:cs="Times New Roman"/>
          <w:bCs/>
          <w:kern w:val="0"/>
          <w:szCs w:val="21"/>
        </w:rPr>
      </w:pPr>
      <w:r w:rsidRPr="00E36087">
        <w:rPr>
          <w:rFonts w:ascii="Times New Roman" w:eastAsia="宋体" w:hAnsi="Times New Roman" w:cs="Times New Roman"/>
          <w:bCs/>
          <w:kern w:val="0"/>
          <w:szCs w:val="21"/>
        </w:rPr>
        <w:t>客服电话：</w:t>
      </w:r>
      <w:r w:rsidRPr="00E36087">
        <w:rPr>
          <w:rFonts w:ascii="Times New Roman" w:eastAsia="宋体" w:hAnsi="Times New Roman" w:cs="Times New Roman"/>
          <w:bCs/>
          <w:kern w:val="0"/>
          <w:szCs w:val="21"/>
        </w:rPr>
        <w:t>400-888-8688</w:t>
      </w:r>
    </w:p>
    <w:p w:rsidR="003A1E16" w:rsidRPr="00E36087" w:rsidRDefault="00C755AF">
      <w:pPr>
        <w:spacing w:line="360" w:lineRule="auto"/>
        <w:ind w:firstLine="420"/>
        <w:rPr>
          <w:rFonts w:ascii="Times New Roman" w:eastAsia="宋体" w:hAnsi="Times New Roman" w:cs="Times New Roman"/>
          <w:bCs/>
          <w:kern w:val="0"/>
          <w:szCs w:val="21"/>
        </w:rPr>
      </w:pPr>
      <w:r w:rsidRPr="00E36087">
        <w:rPr>
          <w:rFonts w:ascii="Times New Roman" w:eastAsia="宋体" w:hAnsi="Times New Roman" w:cs="Times New Roman"/>
          <w:bCs/>
          <w:kern w:val="0"/>
          <w:szCs w:val="21"/>
        </w:rPr>
        <w:lastRenderedPageBreak/>
        <w:t>网址：</w:t>
      </w:r>
      <w:r w:rsidRPr="00E36087">
        <w:rPr>
          <w:rFonts w:ascii="Times New Roman" w:eastAsia="宋体" w:hAnsi="Times New Roman" w:cs="Times New Roman"/>
          <w:bCs/>
          <w:kern w:val="0"/>
          <w:szCs w:val="21"/>
        </w:rPr>
        <w:t>www.gtfund.com</w:t>
      </w:r>
    </w:p>
    <w:p w:rsidR="003A1E16" w:rsidRPr="00E36087" w:rsidRDefault="003A1E16">
      <w:pPr>
        <w:pStyle w:val="Default"/>
        <w:tabs>
          <w:tab w:val="left" w:pos="426"/>
        </w:tabs>
        <w:spacing w:line="360" w:lineRule="auto"/>
        <w:ind w:leftChars="43" w:left="90" w:firstLineChars="207" w:firstLine="435"/>
        <w:jc w:val="both"/>
        <w:rPr>
          <w:rFonts w:ascii="Times New Roman" w:eastAsiaTheme="minorEastAsia" w:hAnsi="Times New Roman" w:cs="Times New Roman"/>
          <w:sz w:val="21"/>
          <w:szCs w:val="21"/>
        </w:rPr>
      </w:pP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特此公告。</w:t>
      </w:r>
    </w:p>
    <w:p w:rsidR="003A1E16" w:rsidRPr="00E36087" w:rsidRDefault="003A1E16">
      <w:pPr>
        <w:spacing w:line="360" w:lineRule="auto"/>
        <w:ind w:firstLine="420"/>
        <w:rPr>
          <w:rFonts w:ascii="Times New Roman" w:hAnsi="Times New Roman" w:cs="Times New Roman"/>
          <w:bCs/>
          <w:kern w:val="0"/>
          <w:szCs w:val="21"/>
        </w:rPr>
      </w:pPr>
    </w:p>
    <w:p w:rsidR="003A1E16" w:rsidRPr="00E36087" w:rsidRDefault="003A1E16">
      <w:pPr>
        <w:spacing w:line="360" w:lineRule="auto"/>
        <w:ind w:firstLine="420"/>
        <w:rPr>
          <w:rFonts w:ascii="Times New Roman" w:hAnsi="Times New Roman" w:cs="Times New Roman"/>
          <w:bCs/>
          <w:kern w:val="0"/>
          <w:szCs w:val="21"/>
        </w:rPr>
      </w:pPr>
    </w:p>
    <w:p w:rsidR="003A1E16" w:rsidRPr="00E36087" w:rsidRDefault="00C755AF">
      <w:pPr>
        <w:pStyle w:val="Default"/>
        <w:tabs>
          <w:tab w:val="left" w:pos="426"/>
        </w:tabs>
        <w:spacing w:line="360" w:lineRule="auto"/>
        <w:ind w:leftChars="43" w:left="90" w:firstLineChars="2907" w:firstLine="6105"/>
        <w:jc w:val="right"/>
        <w:rPr>
          <w:rFonts w:ascii="Times New Roman" w:hAnsi="Times New Roman" w:cs="Times New Roman"/>
          <w:sz w:val="21"/>
          <w:szCs w:val="21"/>
        </w:rPr>
      </w:pPr>
      <w:r w:rsidRPr="00E36087">
        <w:rPr>
          <w:rFonts w:ascii="Times New Roman" w:hAnsi="Times New Roman" w:cs="Times New Roman"/>
          <w:sz w:val="21"/>
          <w:szCs w:val="21"/>
        </w:rPr>
        <w:t>国泰基金管理有限公司</w:t>
      </w:r>
    </w:p>
    <w:p w:rsidR="003A1E16" w:rsidRPr="00E36087" w:rsidRDefault="00C755AF">
      <w:pPr>
        <w:pStyle w:val="Default"/>
        <w:tabs>
          <w:tab w:val="left" w:pos="426"/>
        </w:tabs>
        <w:spacing w:line="360" w:lineRule="auto"/>
        <w:ind w:leftChars="43" w:left="90" w:firstLineChars="3107" w:firstLine="6525"/>
        <w:jc w:val="right"/>
        <w:rPr>
          <w:rFonts w:ascii="Times New Roman" w:eastAsiaTheme="minorEastAsia" w:hAnsi="Times New Roman" w:cs="Times New Roman"/>
          <w:sz w:val="21"/>
          <w:szCs w:val="21"/>
        </w:rPr>
      </w:pPr>
      <w:r w:rsidRPr="00E36087">
        <w:rPr>
          <w:rFonts w:ascii="Times New Roman" w:eastAsiaTheme="minorEastAsia" w:hAnsi="Times New Roman" w:cs="Times New Roman"/>
          <w:sz w:val="21"/>
          <w:szCs w:val="21"/>
        </w:rPr>
        <w:t>2023</w:t>
      </w:r>
      <w:r w:rsidRPr="00E36087">
        <w:rPr>
          <w:rFonts w:ascii="Times New Roman" w:hAnsi="Times New Roman" w:cs="Times New Roman"/>
          <w:sz w:val="21"/>
          <w:szCs w:val="21"/>
        </w:rPr>
        <w:t>年</w:t>
      </w:r>
      <w:r w:rsidR="00042E7D" w:rsidRPr="00E36087">
        <w:rPr>
          <w:rFonts w:ascii="Times New Roman" w:eastAsiaTheme="minorEastAsia" w:hAnsi="Times New Roman" w:cs="Times New Roman"/>
          <w:sz w:val="21"/>
          <w:szCs w:val="21"/>
        </w:rPr>
        <w:t>8</w:t>
      </w:r>
      <w:r w:rsidRPr="00E36087">
        <w:rPr>
          <w:rFonts w:ascii="Times New Roman" w:hAnsi="Times New Roman" w:cs="Times New Roman"/>
          <w:sz w:val="21"/>
          <w:szCs w:val="21"/>
        </w:rPr>
        <w:t>月</w:t>
      </w:r>
      <w:r w:rsidR="002511D9" w:rsidRPr="00E36087">
        <w:rPr>
          <w:rFonts w:ascii="Times New Roman" w:eastAsiaTheme="minorEastAsia" w:hAnsi="Times New Roman" w:cs="Times New Roman"/>
          <w:sz w:val="21"/>
          <w:szCs w:val="21"/>
        </w:rPr>
        <w:t>30</w:t>
      </w:r>
      <w:r w:rsidRPr="00E36087">
        <w:rPr>
          <w:rFonts w:ascii="Times New Roman" w:hAnsi="Times New Roman" w:cs="Times New Roman"/>
          <w:sz w:val="21"/>
          <w:szCs w:val="21"/>
        </w:rPr>
        <w:t>日</w:t>
      </w:r>
    </w:p>
    <w:sectPr w:rsidR="003A1E16" w:rsidRPr="00E36087" w:rsidSect="009422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9B9" w:rsidRDefault="007819B9" w:rsidP="0070626E">
      <w:r>
        <w:separator/>
      </w:r>
    </w:p>
  </w:endnote>
  <w:endnote w:type="continuationSeparator" w:id="0">
    <w:p w:rsidR="007819B9" w:rsidRDefault="007819B9" w:rsidP="00706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9B9" w:rsidRDefault="007819B9" w:rsidP="0070626E">
      <w:r>
        <w:separator/>
      </w:r>
    </w:p>
  </w:footnote>
  <w:footnote w:type="continuationSeparator" w:id="0">
    <w:p w:rsidR="007819B9" w:rsidRDefault="007819B9" w:rsidP="00706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074"/>
    <w:multiLevelType w:val="multilevel"/>
    <w:tmpl w:val="2CDB0074"/>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841"/>
    <w:rsid w:val="000161FA"/>
    <w:rsid w:val="00042293"/>
    <w:rsid w:val="00042E7D"/>
    <w:rsid w:val="0006299E"/>
    <w:rsid w:val="00067DF9"/>
    <w:rsid w:val="00072FFD"/>
    <w:rsid w:val="000D5841"/>
    <w:rsid w:val="000F5B18"/>
    <w:rsid w:val="001164F1"/>
    <w:rsid w:val="00154465"/>
    <w:rsid w:val="00191632"/>
    <w:rsid w:val="00250C64"/>
    <w:rsid w:val="002511D9"/>
    <w:rsid w:val="002B34AD"/>
    <w:rsid w:val="002F16D7"/>
    <w:rsid w:val="00303DD5"/>
    <w:rsid w:val="00356032"/>
    <w:rsid w:val="003871E4"/>
    <w:rsid w:val="003A06B0"/>
    <w:rsid w:val="003A1E16"/>
    <w:rsid w:val="00422A2B"/>
    <w:rsid w:val="00457A3C"/>
    <w:rsid w:val="004B624F"/>
    <w:rsid w:val="004E6E7E"/>
    <w:rsid w:val="004F11F4"/>
    <w:rsid w:val="00512E09"/>
    <w:rsid w:val="00525968"/>
    <w:rsid w:val="005575C9"/>
    <w:rsid w:val="005A4696"/>
    <w:rsid w:val="005C5F5E"/>
    <w:rsid w:val="005E5DAC"/>
    <w:rsid w:val="005E738C"/>
    <w:rsid w:val="00665435"/>
    <w:rsid w:val="0067324E"/>
    <w:rsid w:val="00683715"/>
    <w:rsid w:val="00694D78"/>
    <w:rsid w:val="0070626E"/>
    <w:rsid w:val="00737399"/>
    <w:rsid w:val="0077623B"/>
    <w:rsid w:val="00777E90"/>
    <w:rsid w:val="007819B9"/>
    <w:rsid w:val="007D0F5D"/>
    <w:rsid w:val="007D1469"/>
    <w:rsid w:val="007F4D91"/>
    <w:rsid w:val="00840A29"/>
    <w:rsid w:val="008E1A17"/>
    <w:rsid w:val="00942236"/>
    <w:rsid w:val="0095122F"/>
    <w:rsid w:val="00975A5A"/>
    <w:rsid w:val="00985C5C"/>
    <w:rsid w:val="00990065"/>
    <w:rsid w:val="009B1BCF"/>
    <w:rsid w:val="009C574F"/>
    <w:rsid w:val="009D0543"/>
    <w:rsid w:val="009E6F3B"/>
    <w:rsid w:val="009F5FF4"/>
    <w:rsid w:val="00A13722"/>
    <w:rsid w:val="00A47BEF"/>
    <w:rsid w:val="00A85711"/>
    <w:rsid w:val="00B218C0"/>
    <w:rsid w:val="00B54441"/>
    <w:rsid w:val="00B571CE"/>
    <w:rsid w:val="00B77A61"/>
    <w:rsid w:val="00BC63BF"/>
    <w:rsid w:val="00BE4395"/>
    <w:rsid w:val="00BF6B41"/>
    <w:rsid w:val="00C01402"/>
    <w:rsid w:val="00C11D6D"/>
    <w:rsid w:val="00C209C9"/>
    <w:rsid w:val="00C44689"/>
    <w:rsid w:val="00C642C7"/>
    <w:rsid w:val="00C659D6"/>
    <w:rsid w:val="00C755AF"/>
    <w:rsid w:val="00C8610E"/>
    <w:rsid w:val="00CA3FE2"/>
    <w:rsid w:val="00CC629D"/>
    <w:rsid w:val="00CF312D"/>
    <w:rsid w:val="00D2232D"/>
    <w:rsid w:val="00D57B05"/>
    <w:rsid w:val="00D710A8"/>
    <w:rsid w:val="00DA5B40"/>
    <w:rsid w:val="00DB52E9"/>
    <w:rsid w:val="00DD63A1"/>
    <w:rsid w:val="00DE0698"/>
    <w:rsid w:val="00DE354E"/>
    <w:rsid w:val="00DE38D1"/>
    <w:rsid w:val="00DF4BFD"/>
    <w:rsid w:val="00E36087"/>
    <w:rsid w:val="00EC766B"/>
    <w:rsid w:val="00EF5A37"/>
    <w:rsid w:val="00EF6448"/>
    <w:rsid w:val="00F11DA7"/>
    <w:rsid w:val="00F24CEB"/>
    <w:rsid w:val="00F4786B"/>
    <w:rsid w:val="00F47EBA"/>
    <w:rsid w:val="00F80679"/>
    <w:rsid w:val="00FF70A4"/>
    <w:rsid w:val="650D6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42236"/>
    <w:rPr>
      <w:sz w:val="18"/>
      <w:szCs w:val="18"/>
    </w:rPr>
  </w:style>
  <w:style w:type="paragraph" w:styleId="a4">
    <w:name w:val="footer"/>
    <w:basedOn w:val="a"/>
    <w:link w:val="Char0"/>
    <w:uiPriority w:val="99"/>
    <w:unhideWhenUsed/>
    <w:qFormat/>
    <w:rsid w:val="0094223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4223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942236"/>
    <w:rPr>
      <w:color w:val="0563C1" w:themeColor="hyperlink"/>
      <w:u w:val="single"/>
    </w:rPr>
  </w:style>
  <w:style w:type="paragraph" w:customStyle="1" w:styleId="CM12">
    <w:name w:val="CM12"/>
    <w:basedOn w:val="a"/>
    <w:next w:val="a"/>
    <w:uiPriority w:val="99"/>
    <w:qFormat/>
    <w:rsid w:val="00942236"/>
    <w:pPr>
      <w:autoSpaceDE w:val="0"/>
      <w:autoSpaceDN w:val="0"/>
      <w:adjustRightInd w:val="0"/>
      <w:jc w:val="left"/>
    </w:pPr>
    <w:rPr>
      <w:rFonts w:ascii="宋体" w:eastAsia="宋体"/>
      <w:kern w:val="0"/>
      <w:sz w:val="24"/>
      <w:szCs w:val="24"/>
    </w:rPr>
  </w:style>
  <w:style w:type="paragraph" w:customStyle="1" w:styleId="Default">
    <w:name w:val="Default"/>
    <w:qFormat/>
    <w:rsid w:val="00942236"/>
    <w:pPr>
      <w:widowControl w:val="0"/>
      <w:autoSpaceDE w:val="0"/>
      <w:autoSpaceDN w:val="0"/>
      <w:adjustRightInd w:val="0"/>
    </w:pPr>
    <w:rPr>
      <w:rFonts w:ascii="宋体" w:eastAsia="宋体" w:cs="宋体"/>
      <w:color w:val="000000"/>
      <w:sz w:val="24"/>
      <w:szCs w:val="24"/>
    </w:rPr>
  </w:style>
  <w:style w:type="character" w:customStyle="1" w:styleId="Char1">
    <w:name w:val="页眉 Char"/>
    <w:basedOn w:val="a0"/>
    <w:link w:val="a5"/>
    <w:uiPriority w:val="99"/>
    <w:qFormat/>
    <w:rsid w:val="00942236"/>
    <w:rPr>
      <w:sz w:val="18"/>
      <w:szCs w:val="18"/>
    </w:rPr>
  </w:style>
  <w:style w:type="character" w:customStyle="1" w:styleId="Char0">
    <w:name w:val="页脚 Char"/>
    <w:basedOn w:val="a0"/>
    <w:link w:val="a4"/>
    <w:uiPriority w:val="99"/>
    <w:qFormat/>
    <w:rsid w:val="00942236"/>
    <w:rPr>
      <w:sz w:val="18"/>
      <w:szCs w:val="18"/>
    </w:rPr>
  </w:style>
  <w:style w:type="character" w:customStyle="1" w:styleId="Char">
    <w:name w:val="批注框文本 Char"/>
    <w:basedOn w:val="a0"/>
    <w:link w:val="a3"/>
    <w:uiPriority w:val="99"/>
    <w:semiHidden/>
    <w:qFormat/>
    <w:rsid w:val="00942236"/>
    <w:rPr>
      <w:sz w:val="18"/>
      <w:szCs w:val="18"/>
    </w:rPr>
  </w:style>
</w:styles>
</file>

<file path=word/webSettings.xml><?xml version="1.0" encoding="utf-8"?>
<w:webSettings xmlns:r="http://schemas.openxmlformats.org/officeDocument/2006/relationships" xmlns:w="http://schemas.openxmlformats.org/wordprocessingml/2006/main">
  <w:divs>
    <w:div w:id="155196123">
      <w:bodyDiv w:val="1"/>
      <w:marLeft w:val="0"/>
      <w:marRight w:val="0"/>
      <w:marTop w:val="0"/>
      <w:marBottom w:val="0"/>
      <w:divBdr>
        <w:top w:val="none" w:sz="0" w:space="0" w:color="auto"/>
        <w:left w:val="none" w:sz="0" w:space="0" w:color="auto"/>
        <w:bottom w:val="none" w:sz="0" w:space="0" w:color="auto"/>
        <w:right w:val="none" w:sz="0" w:space="0" w:color="auto"/>
      </w:divBdr>
    </w:div>
    <w:div w:id="162163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1890</Characters>
  <Application>Microsoft Office Word</Application>
  <DocSecurity>4</DocSecurity>
  <Lines>15</Lines>
  <Paragraphs>4</Paragraphs>
  <ScaleCrop>false</ScaleCrop>
  <Company>Microsoft</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韩靖</dc:creator>
  <cp:lastModifiedBy>ZHONGM</cp:lastModifiedBy>
  <cp:revision>2</cp:revision>
  <dcterms:created xsi:type="dcterms:W3CDTF">2023-08-29T16:01:00Z</dcterms:created>
  <dcterms:modified xsi:type="dcterms:W3CDTF">2023-08-29T16:01:00Z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CD4792C6E2454623972A9F8B0688DB4D</vt:lpwstr>
  </property>
</Properties>
</file>