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AC4" w:rsidRDefault="00837CC5">
      <w:pPr>
        <w:jc w:val="center"/>
        <w:rPr>
          <w:rFonts w:eastAsia="黑体"/>
          <w:b/>
          <w:color w:val="000000"/>
          <w:sz w:val="32"/>
        </w:rPr>
      </w:pPr>
      <w:r>
        <w:rPr>
          <w:rFonts w:eastAsia="黑体" w:hint="eastAsia"/>
          <w:b/>
          <w:color w:val="000000"/>
          <w:sz w:val="32"/>
        </w:rPr>
        <w:t>富国基金管理有限公司关于富国新天锋债券基金（</w:t>
      </w:r>
      <w:r>
        <w:rPr>
          <w:rFonts w:eastAsia="黑体" w:hint="eastAsia"/>
          <w:b/>
          <w:color w:val="000000"/>
          <w:sz w:val="32"/>
        </w:rPr>
        <w:t>LOF</w:t>
      </w:r>
      <w:r>
        <w:rPr>
          <w:rFonts w:eastAsia="黑体" w:hint="eastAsia"/>
          <w:b/>
          <w:color w:val="000000"/>
          <w:sz w:val="32"/>
        </w:rPr>
        <w:t>）</w:t>
      </w:r>
    </w:p>
    <w:p w:rsidR="00776AC4" w:rsidRDefault="00837CC5">
      <w:pPr>
        <w:jc w:val="center"/>
        <w:rPr>
          <w:rFonts w:eastAsia="黑体"/>
          <w:b/>
          <w:color w:val="000000"/>
          <w:sz w:val="32"/>
        </w:rPr>
      </w:pPr>
      <w:r>
        <w:rPr>
          <w:rFonts w:eastAsia="黑体" w:hint="eastAsia"/>
          <w:b/>
          <w:color w:val="000000"/>
          <w:sz w:val="32"/>
        </w:rPr>
        <w:t>在直销渠道开通转换业务的公告</w:t>
      </w:r>
    </w:p>
    <w:p w:rsidR="00776AC4" w:rsidRDefault="00776AC4">
      <w:pPr>
        <w:jc w:val="center"/>
        <w:rPr>
          <w:rFonts w:eastAsia="黑体"/>
          <w:b/>
          <w:color w:val="000000"/>
          <w:sz w:val="32"/>
        </w:rPr>
      </w:pPr>
    </w:p>
    <w:p w:rsidR="00776AC4" w:rsidRDefault="00837CC5">
      <w:pPr>
        <w:spacing w:line="360" w:lineRule="auto"/>
        <w:ind w:firstLineChars="200" w:firstLine="480"/>
        <w:rPr>
          <w:spacing w:val="8"/>
          <w:kern w:val="0"/>
          <w:sz w:val="24"/>
        </w:rPr>
      </w:pPr>
      <w:r>
        <w:rPr>
          <w:rFonts w:ascii="宋体" w:hAnsi="宋体" w:hint="eastAsia"/>
          <w:sz w:val="24"/>
        </w:rPr>
        <w:t>为了更好地服务客户，富国基金管理有限公司（以下简称“本公司”）直销渠道将从</w:t>
      </w:r>
      <w:r>
        <w:rPr>
          <w:rFonts w:ascii="宋体" w:hAnsi="宋体"/>
          <w:sz w:val="24"/>
        </w:rPr>
        <w:t>202</w:t>
      </w:r>
      <w:r>
        <w:rPr>
          <w:rFonts w:ascii="宋体" w:hAnsi="宋体" w:hint="eastAsia"/>
          <w:sz w:val="24"/>
        </w:rPr>
        <w:t>3</w:t>
      </w:r>
      <w:r>
        <w:rPr>
          <w:rFonts w:ascii="宋体" w:hAnsi="宋体" w:hint="eastAsia"/>
          <w:sz w:val="24"/>
        </w:rPr>
        <w:t>年</w:t>
      </w:r>
      <w:r>
        <w:rPr>
          <w:rFonts w:ascii="宋体" w:hAnsi="宋体" w:hint="eastAsia"/>
          <w:sz w:val="24"/>
        </w:rPr>
        <w:t>8</w:t>
      </w:r>
      <w:r>
        <w:rPr>
          <w:rFonts w:ascii="宋体" w:hAnsi="宋体"/>
          <w:sz w:val="24"/>
        </w:rPr>
        <w:t>月</w:t>
      </w:r>
      <w:r>
        <w:rPr>
          <w:rFonts w:ascii="宋体" w:hAnsi="宋体" w:hint="eastAsia"/>
          <w:sz w:val="24"/>
        </w:rPr>
        <w:t>30</w:t>
      </w:r>
      <w:r>
        <w:rPr>
          <w:rFonts w:ascii="宋体" w:hAnsi="宋体"/>
          <w:sz w:val="24"/>
        </w:rPr>
        <w:t>日</w:t>
      </w:r>
      <w:r>
        <w:rPr>
          <w:rFonts w:ascii="宋体" w:hAnsi="宋体" w:hint="eastAsia"/>
          <w:sz w:val="24"/>
        </w:rPr>
        <w:t>起，</w:t>
      </w:r>
      <w:r>
        <w:rPr>
          <w:rFonts w:ascii="宋体" w:hAnsi="宋体" w:hint="eastAsia"/>
          <w:sz w:val="24"/>
          <w:szCs w:val="24"/>
        </w:rPr>
        <w:t>对富国新天锋债券基金（</w:t>
      </w:r>
      <w:r>
        <w:rPr>
          <w:rFonts w:ascii="宋体" w:hAnsi="宋体" w:hint="eastAsia"/>
          <w:sz w:val="24"/>
          <w:szCs w:val="24"/>
        </w:rPr>
        <w:t>LOF</w:t>
      </w:r>
      <w:r>
        <w:rPr>
          <w:rFonts w:ascii="宋体" w:hAnsi="宋体" w:hint="eastAsia"/>
          <w:sz w:val="24"/>
          <w:szCs w:val="24"/>
        </w:rPr>
        <w:t>）</w:t>
      </w:r>
      <w:r>
        <w:rPr>
          <w:rFonts w:hint="eastAsia"/>
          <w:spacing w:val="8"/>
          <w:kern w:val="0"/>
          <w:sz w:val="24"/>
        </w:rPr>
        <w:t>（</w:t>
      </w:r>
      <w:r>
        <w:rPr>
          <w:rFonts w:hint="eastAsia"/>
          <w:spacing w:val="8"/>
          <w:kern w:val="0"/>
          <w:sz w:val="24"/>
        </w:rPr>
        <w:t>A</w:t>
      </w:r>
      <w:r>
        <w:rPr>
          <w:rFonts w:hint="eastAsia"/>
          <w:spacing w:val="8"/>
          <w:kern w:val="0"/>
          <w:sz w:val="24"/>
        </w:rPr>
        <w:t>类份额</w:t>
      </w:r>
      <w:r>
        <w:rPr>
          <w:rFonts w:hint="eastAsia"/>
          <w:spacing w:val="8"/>
          <w:kern w:val="0"/>
          <w:sz w:val="24"/>
        </w:rPr>
        <w:t>代码：</w:t>
      </w:r>
      <w:r>
        <w:rPr>
          <w:rFonts w:hint="eastAsia"/>
          <w:spacing w:val="8"/>
          <w:kern w:val="0"/>
          <w:sz w:val="24"/>
        </w:rPr>
        <w:t>161019</w:t>
      </w:r>
      <w:r>
        <w:rPr>
          <w:rFonts w:hint="eastAsia"/>
          <w:spacing w:val="8"/>
          <w:kern w:val="0"/>
          <w:sz w:val="24"/>
        </w:rPr>
        <w:t>，</w:t>
      </w:r>
      <w:r>
        <w:rPr>
          <w:rFonts w:ascii="宋体" w:hAnsi="宋体" w:hint="eastAsia"/>
          <w:sz w:val="24"/>
        </w:rPr>
        <w:t>以下简称“本基金</w:t>
      </w:r>
      <w:r>
        <w:rPr>
          <w:rFonts w:hint="eastAsia"/>
          <w:spacing w:val="8"/>
          <w:kern w:val="0"/>
          <w:sz w:val="24"/>
        </w:rPr>
        <w:t>A</w:t>
      </w:r>
      <w:r>
        <w:rPr>
          <w:rFonts w:ascii="宋体" w:hAnsi="宋体" w:hint="eastAsia"/>
          <w:sz w:val="24"/>
        </w:rPr>
        <w:t>类份额</w:t>
      </w:r>
      <w:r>
        <w:rPr>
          <w:rFonts w:ascii="宋体" w:hAnsi="宋体" w:hint="eastAsia"/>
          <w:sz w:val="24"/>
        </w:rPr>
        <w:t>”</w:t>
      </w:r>
      <w:r>
        <w:rPr>
          <w:rFonts w:ascii="宋体" w:hAnsi="宋体" w:hint="eastAsia"/>
          <w:sz w:val="24"/>
        </w:rPr>
        <w:t>；</w:t>
      </w:r>
      <w:r>
        <w:rPr>
          <w:rFonts w:hint="eastAsia"/>
          <w:spacing w:val="8"/>
          <w:kern w:val="0"/>
          <w:sz w:val="24"/>
        </w:rPr>
        <w:t>C</w:t>
      </w:r>
      <w:r>
        <w:rPr>
          <w:rFonts w:ascii="宋体" w:hAnsi="宋体" w:hint="eastAsia"/>
          <w:sz w:val="24"/>
        </w:rPr>
        <w:t>类份额代码：</w:t>
      </w:r>
      <w:r>
        <w:rPr>
          <w:rFonts w:hint="eastAsia"/>
          <w:spacing w:val="8"/>
          <w:kern w:val="0"/>
          <w:sz w:val="24"/>
        </w:rPr>
        <w:t>019267</w:t>
      </w:r>
      <w:r>
        <w:rPr>
          <w:rFonts w:ascii="宋体" w:hAnsi="宋体" w:hint="eastAsia"/>
          <w:sz w:val="24"/>
        </w:rPr>
        <w:t>，以下简称“本基金</w:t>
      </w:r>
      <w:r>
        <w:rPr>
          <w:rFonts w:hint="eastAsia"/>
          <w:spacing w:val="8"/>
          <w:kern w:val="0"/>
          <w:sz w:val="24"/>
        </w:rPr>
        <w:t>C</w:t>
      </w:r>
      <w:r>
        <w:rPr>
          <w:rFonts w:ascii="宋体" w:hAnsi="宋体" w:hint="eastAsia"/>
          <w:sz w:val="24"/>
        </w:rPr>
        <w:t>类份额”</w:t>
      </w:r>
      <w:r>
        <w:rPr>
          <w:rFonts w:hint="eastAsia"/>
          <w:spacing w:val="8"/>
          <w:kern w:val="0"/>
          <w:sz w:val="24"/>
        </w:rPr>
        <w:t>）开通转换业务。</w:t>
      </w:r>
    </w:p>
    <w:p w:rsidR="00776AC4" w:rsidRDefault="00776AC4">
      <w:pPr>
        <w:rPr>
          <w:lang w:val="zh-CN"/>
        </w:rPr>
      </w:pPr>
      <w:bookmarkStart w:id="0" w:name="_Toc249263623"/>
      <w:bookmarkStart w:id="1" w:name="_Hlk384911617"/>
    </w:p>
    <w:p w:rsidR="00776AC4" w:rsidRDefault="00837CC5">
      <w:pPr>
        <w:pStyle w:val="2"/>
        <w:numPr>
          <w:ilvl w:val="0"/>
          <w:numId w:val="2"/>
        </w:numPr>
      </w:pPr>
      <w:r>
        <w:rPr>
          <w:rFonts w:hint="eastAsia"/>
        </w:rPr>
        <w:t>转换费率</w:t>
      </w:r>
    </w:p>
    <w:p w:rsidR="00776AC4" w:rsidRDefault="00837CC5">
      <w:pPr>
        <w:spacing w:line="360" w:lineRule="auto"/>
        <w:ind w:firstLineChars="200" w:firstLine="480"/>
        <w:rPr>
          <w:rFonts w:ascii="宋体" w:hAnsi="宋体"/>
          <w:sz w:val="24"/>
        </w:rPr>
      </w:pPr>
      <w:r>
        <w:rPr>
          <w:rFonts w:ascii="宋体" w:hAnsi="宋体" w:hint="eastAsia"/>
          <w:sz w:val="24"/>
        </w:rPr>
        <w:t>自</w:t>
      </w:r>
      <w:r>
        <w:rPr>
          <w:rFonts w:ascii="宋体" w:hAnsi="宋体"/>
          <w:sz w:val="24"/>
        </w:rPr>
        <w:t>202</w:t>
      </w:r>
      <w:r>
        <w:rPr>
          <w:rFonts w:ascii="宋体" w:hAnsi="宋体" w:hint="eastAsia"/>
          <w:sz w:val="24"/>
        </w:rPr>
        <w:t>3</w:t>
      </w:r>
      <w:r>
        <w:rPr>
          <w:rFonts w:ascii="宋体" w:hAnsi="宋体" w:hint="eastAsia"/>
          <w:sz w:val="24"/>
        </w:rPr>
        <w:t>年</w:t>
      </w:r>
      <w:r>
        <w:rPr>
          <w:rFonts w:ascii="宋体" w:hAnsi="宋体" w:hint="eastAsia"/>
          <w:sz w:val="24"/>
        </w:rPr>
        <w:t>8</w:t>
      </w:r>
      <w:r>
        <w:rPr>
          <w:rFonts w:ascii="宋体" w:hAnsi="宋体"/>
          <w:sz w:val="24"/>
        </w:rPr>
        <w:t>月</w:t>
      </w:r>
      <w:r>
        <w:rPr>
          <w:rFonts w:ascii="宋体" w:hAnsi="宋体" w:hint="eastAsia"/>
          <w:sz w:val="24"/>
        </w:rPr>
        <w:t>30</w:t>
      </w:r>
      <w:r>
        <w:rPr>
          <w:rFonts w:ascii="宋体" w:hAnsi="宋体"/>
          <w:sz w:val="24"/>
        </w:rPr>
        <w:t>日</w:t>
      </w:r>
      <w:r>
        <w:rPr>
          <w:rFonts w:ascii="宋体" w:hAnsi="宋体" w:hint="eastAsia"/>
          <w:sz w:val="24"/>
        </w:rPr>
        <w:t>起，基金份额持有人可以通过本公司的直销网点（直销柜台和网上交易系统）办理本基金的转换业务。直销机构的转换业务仅收取转出基金的赎回费用</w:t>
      </w:r>
      <w:r>
        <w:rPr>
          <w:rFonts w:ascii="宋体" w:hAnsi="宋体" w:hint="eastAsia"/>
          <w:sz w:val="24"/>
        </w:rPr>
        <w:t>（</w:t>
      </w:r>
      <w:r>
        <w:rPr>
          <w:rFonts w:ascii="宋体" w:hAnsi="宋体" w:hint="eastAsia"/>
          <w:sz w:val="24"/>
        </w:rPr>
        <w:t>如有</w:t>
      </w:r>
      <w:r>
        <w:rPr>
          <w:rFonts w:ascii="宋体" w:hAnsi="宋体" w:hint="eastAsia"/>
          <w:sz w:val="24"/>
        </w:rPr>
        <w:t>）</w:t>
      </w:r>
      <w:r>
        <w:rPr>
          <w:rFonts w:ascii="宋体" w:hAnsi="宋体" w:hint="eastAsia"/>
          <w:sz w:val="24"/>
        </w:rPr>
        <w:t>，转出与转入基金申购补差费用免予收取。</w:t>
      </w:r>
    </w:p>
    <w:p w:rsidR="00776AC4" w:rsidRDefault="00837CC5">
      <w:pPr>
        <w:pStyle w:val="3"/>
        <w:numPr>
          <w:ilvl w:val="0"/>
          <w:numId w:val="2"/>
        </w:numPr>
      </w:pPr>
      <w:r>
        <w:rPr>
          <w:rFonts w:hint="eastAsia"/>
        </w:rPr>
        <w:t>转换业务适用范围</w:t>
      </w:r>
    </w:p>
    <w:p w:rsidR="00776AC4" w:rsidRDefault="00837CC5">
      <w:pPr>
        <w:spacing w:line="360" w:lineRule="auto"/>
        <w:ind w:firstLineChars="200" w:firstLine="480"/>
        <w:rPr>
          <w:rFonts w:ascii="宋体" w:hAnsi="宋体"/>
          <w:sz w:val="24"/>
        </w:rPr>
      </w:pPr>
      <w:r>
        <w:rPr>
          <w:rFonts w:ascii="宋体" w:hAnsi="宋体" w:hint="eastAsia"/>
          <w:sz w:val="24"/>
        </w:rPr>
        <w:t>本基金</w:t>
      </w:r>
      <w:r>
        <w:rPr>
          <w:rFonts w:hint="eastAsia"/>
          <w:spacing w:val="8"/>
          <w:kern w:val="0"/>
          <w:sz w:val="24"/>
        </w:rPr>
        <w:t>A</w:t>
      </w:r>
      <w:r>
        <w:rPr>
          <w:rFonts w:ascii="宋体" w:hAnsi="宋体" w:hint="eastAsia"/>
          <w:sz w:val="24"/>
        </w:rPr>
        <w:t>类份额</w:t>
      </w:r>
      <w:r>
        <w:rPr>
          <w:rFonts w:ascii="宋体" w:hAnsi="宋体" w:hint="eastAsia"/>
          <w:sz w:val="24"/>
        </w:rPr>
        <w:t>仅开通</w:t>
      </w:r>
      <w:r>
        <w:rPr>
          <w:rFonts w:ascii="宋体" w:hAnsi="宋体" w:hint="eastAsia"/>
          <w:sz w:val="24"/>
        </w:rPr>
        <w:t>与富国旗下部分基金之间的转换业务，具体基金产品列表如下</w:t>
      </w:r>
      <w:r>
        <w:rPr>
          <w:rFonts w:ascii="宋体" w:hAnsi="宋体" w:hint="eastAsia"/>
          <w:sz w:val="24"/>
        </w:rPr>
        <w:t>。</w:t>
      </w:r>
    </w:p>
    <w:tbl>
      <w:tblPr>
        <w:tblW w:w="0" w:type="auto"/>
        <w:tblInd w:w="98" w:type="dxa"/>
        <w:tblLook w:val="04A0"/>
      </w:tblPr>
      <w:tblGrid>
        <w:gridCol w:w="969"/>
        <w:gridCol w:w="4562"/>
        <w:gridCol w:w="1337"/>
        <w:gridCol w:w="1556"/>
      </w:tblGrid>
      <w:tr w:rsidR="00776AC4">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b/>
                <w:bCs/>
                <w:color w:val="000000"/>
                <w:sz w:val="24"/>
                <w:szCs w:val="24"/>
              </w:rPr>
            </w:pPr>
            <w:r>
              <w:rPr>
                <w:rFonts w:ascii="宋体" w:hAnsi="宋体" w:cs="宋体" w:hint="eastAsia"/>
                <w:b/>
                <w:bCs/>
                <w:color w:val="000000"/>
                <w:kern w:val="0"/>
                <w:sz w:val="24"/>
                <w:szCs w:val="24"/>
                <w:lang/>
              </w:rPr>
              <w:t>基金代码</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b/>
                <w:bCs/>
                <w:color w:val="000000"/>
                <w:sz w:val="24"/>
                <w:szCs w:val="24"/>
              </w:rPr>
            </w:pPr>
            <w:r>
              <w:rPr>
                <w:rFonts w:ascii="宋体" w:hAnsi="宋体" w:cs="宋体" w:hint="eastAsia"/>
                <w:b/>
                <w:bCs/>
                <w:color w:val="000000"/>
                <w:kern w:val="0"/>
                <w:sz w:val="24"/>
                <w:szCs w:val="24"/>
                <w:lang/>
              </w:rPr>
              <w:t>基金名称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b/>
                <w:bCs/>
                <w:color w:val="000000"/>
                <w:sz w:val="24"/>
                <w:szCs w:val="24"/>
              </w:rPr>
            </w:pPr>
            <w:r>
              <w:rPr>
                <w:rFonts w:ascii="宋体" w:hAnsi="宋体" w:cs="宋体" w:hint="eastAsia"/>
                <w:b/>
                <w:bCs/>
                <w:color w:val="000000"/>
                <w:kern w:val="0"/>
                <w:sz w:val="24"/>
                <w:szCs w:val="24"/>
                <w:lang/>
              </w:rPr>
              <w:t>份额类别</w:t>
            </w:r>
            <w:r>
              <w:rPr>
                <w:rStyle w:val="font4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b/>
                <w:bCs/>
                <w:color w:val="000000"/>
                <w:sz w:val="24"/>
                <w:szCs w:val="24"/>
              </w:rPr>
            </w:pPr>
            <w:r>
              <w:rPr>
                <w:rFonts w:ascii="宋体" w:hAnsi="宋体" w:cs="宋体" w:hint="eastAsia"/>
                <w:b/>
                <w:bCs/>
                <w:color w:val="000000"/>
                <w:kern w:val="0"/>
                <w:sz w:val="24"/>
                <w:szCs w:val="24"/>
                <w:lang/>
              </w:rPr>
              <w:t>场内扩位简称</w:t>
            </w:r>
          </w:p>
        </w:tc>
      </w:tr>
      <w:tr w:rsidR="00776AC4">
        <w:trPr>
          <w:trHeight w:val="9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161005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富国天惠精选成长混合型证券投资基金（</w:t>
            </w:r>
            <w:r>
              <w:rPr>
                <w:rStyle w:val="font21"/>
                <w:lang/>
              </w:rPr>
              <w:t>LOF</w:t>
            </w:r>
            <w:r>
              <w:rPr>
                <w:rStyle w:val="font31"/>
                <w:rFonts w:hint="default"/>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富国天惠</w:t>
            </w:r>
            <w:r>
              <w:rPr>
                <w:rStyle w:val="font21"/>
                <w:lang/>
              </w:rPr>
              <w:t>LOF</w:t>
            </w:r>
          </w:p>
        </w:tc>
      </w:tr>
      <w:tr w:rsidR="00776AC4">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富国天丰强化收益债券型证券投资基金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富国天丰</w:t>
            </w:r>
            <w:r>
              <w:rPr>
                <w:rStyle w:val="font21"/>
                <w:lang/>
              </w:rPr>
              <w:t>LOF</w:t>
            </w:r>
          </w:p>
        </w:tc>
      </w:tr>
      <w:tr w:rsidR="00776AC4">
        <w:trPr>
          <w:trHeight w:val="6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161015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富国天盈债券型证券投资基金（</w:t>
            </w:r>
            <w:r>
              <w:rPr>
                <w:rStyle w:val="font21"/>
                <w:lang/>
              </w:rPr>
              <w:t>LOF</w:t>
            </w:r>
            <w:r>
              <w:rPr>
                <w:rStyle w:val="font31"/>
                <w:rFonts w:hint="default"/>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C</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富国天盈</w:t>
            </w:r>
            <w:r>
              <w:rPr>
                <w:rStyle w:val="font21"/>
                <w:lang/>
              </w:rPr>
              <w:t>LOF</w:t>
            </w:r>
          </w:p>
        </w:tc>
      </w:tr>
      <w:tr w:rsidR="00776AC4">
        <w:trPr>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161017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w:t>
            </w:r>
            <w:r>
              <w:rPr>
                <w:rStyle w:val="font21"/>
                <w:lang/>
              </w:rPr>
              <w:t>500</w:t>
            </w:r>
            <w:r>
              <w:rPr>
                <w:rStyle w:val="font31"/>
                <w:rFonts w:hint="default"/>
                <w:lang/>
              </w:rPr>
              <w:t>指数增强型证券投资基金</w:t>
            </w:r>
            <w:r>
              <w:rPr>
                <w:rStyle w:val="font21"/>
                <w:lang/>
              </w:rPr>
              <w:t>(LOF)</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500</w:t>
            </w:r>
            <w:r>
              <w:rPr>
                <w:rStyle w:val="font31"/>
                <w:rFonts w:hint="default"/>
                <w:lang/>
              </w:rPr>
              <w:t>增强</w:t>
            </w:r>
            <w:r>
              <w:rPr>
                <w:rStyle w:val="font21"/>
                <w:lang/>
              </w:rPr>
              <w:t>LOF</w:t>
            </w:r>
          </w:p>
        </w:tc>
      </w:tr>
      <w:tr w:rsidR="00776AC4">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161022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富国创业板指数型证券投资基金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创业板指数</w:t>
            </w:r>
            <w:r>
              <w:rPr>
                <w:rStyle w:val="font21"/>
                <w:lang/>
              </w:rPr>
              <w:t>LOF</w:t>
            </w:r>
          </w:p>
        </w:tc>
      </w:tr>
      <w:tr w:rsidR="00776AC4">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161024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富国中证军工指数型证券投资基金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军工</w:t>
            </w:r>
            <w:r>
              <w:rPr>
                <w:rStyle w:val="font21"/>
                <w:lang/>
              </w:rPr>
              <w:t>LOF</w:t>
            </w:r>
          </w:p>
        </w:tc>
      </w:tr>
      <w:tr w:rsidR="00776AC4">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富国中证移动互联网指数型证券投资基金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互联网</w:t>
            </w:r>
            <w:r>
              <w:rPr>
                <w:rStyle w:val="font21"/>
                <w:lang/>
              </w:rPr>
              <w:t>LOF</w:t>
            </w:r>
          </w:p>
        </w:tc>
      </w:tr>
      <w:tr w:rsidR="00776AC4">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161026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富国中证国有企业改革指数型证券投资基金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国企改革</w:t>
            </w:r>
            <w:r>
              <w:rPr>
                <w:rStyle w:val="font21"/>
                <w:lang/>
              </w:rPr>
              <w:t>LOF</w:t>
            </w:r>
          </w:p>
        </w:tc>
      </w:tr>
      <w:tr w:rsidR="00776AC4">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lastRenderedPageBreak/>
              <w:t>161027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富国中证全指证券公司指数型证券投资基金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证券</w:t>
            </w:r>
            <w:r>
              <w:rPr>
                <w:rStyle w:val="font21"/>
                <w:lang/>
              </w:rPr>
              <w:t>LOF</w:t>
            </w:r>
          </w:p>
        </w:tc>
      </w:tr>
      <w:tr w:rsidR="00776AC4">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161028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富国中证新能源汽车指数型证券投资基金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新能源车</w:t>
            </w:r>
            <w:r>
              <w:rPr>
                <w:rStyle w:val="font21"/>
                <w:lang/>
              </w:rPr>
              <w:t>LOF</w:t>
            </w:r>
          </w:p>
        </w:tc>
      </w:tr>
      <w:tr w:rsidR="00776AC4">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161029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富国中证银行指数型证券投资基金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银行龙头</w:t>
            </w:r>
            <w:r>
              <w:rPr>
                <w:rStyle w:val="font21"/>
                <w:lang/>
              </w:rPr>
              <w:t>LOF</w:t>
            </w:r>
          </w:p>
        </w:tc>
      </w:tr>
      <w:tr w:rsidR="00776AC4">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161030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富国中证体育产业指数型证券投资基金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体育</w:t>
            </w:r>
            <w:r>
              <w:rPr>
                <w:rStyle w:val="font21"/>
                <w:lang/>
              </w:rPr>
              <w:t>LOF</w:t>
            </w:r>
          </w:p>
        </w:tc>
      </w:tr>
      <w:tr w:rsidR="00776AC4">
        <w:trPr>
          <w:trHeight w:val="6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161031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富国中证工业</w:t>
            </w:r>
            <w:r>
              <w:rPr>
                <w:rStyle w:val="font21"/>
                <w:lang/>
              </w:rPr>
              <w:t>4.0</w:t>
            </w:r>
            <w:r>
              <w:rPr>
                <w:rStyle w:val="font31"/>
                <w:rFonts w:hint="default"/>
                <w:lang/>
              </w:rPr>
              <w:t>指数型证券投资基金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工业</w:t>
            </w:r>
            <w:r>
              <w:rPr>
                <w:rStyle w:val="font21"/>
                <w:lang/>
              </w:rPr>
              <w:t>40LOF</w:t>
            </w:r>
          </w:p>
        </w:tc>
      </w:tr>
      <w:tr w:rsidR="00776AC4">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161032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富国中证煤炭指数型证券投资基金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煤炭龙头</w:t>
            </w:r>
            <w:r>
              <w:rPr>
                <w:rStyle w:val="font21"/>
                <w:lang/>
              </w:rPr>
              <w:t>LOF</w:t>
            </w:r>
          </w:p>
        </w:tc>
      </w:tr>
      <w:tr w:rsidR="00776AC4">
        <w:trPr>
          <w:trHeight w:val="9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161033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富国中证智能汽车指数证券投资基金（</w:t>
            </w:r>
            <w:r>
              <w:rPr>
                <w:rStyle w:val="font21"/>
                <w:lang/>
              </w:rPr>
              <w:t>LOF</w:t>
            </w:r>
            <w:r>
              <w:rPr>
                <w:rStyle w:val="font31"/>
                <w:rFonts w:hint="default"/>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智能汽车</w:t>
            </w:r>
            <w:r>
              <w:rPr>
                <w:rStyle w:val="font21"/>
                <w:lang/>
              </w:rPr>
              <w:t>LOF</w:t>
            </w:r>
          </w:p>
        </w:tc>
      </w:tr>
      <w:tr w:rsidR="00776AC4">
        <w:trPr>
          <w:trHeight w:val="9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161035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富国中证医药主题指数增强型证券投资基金（</w:t>
            </w:r>
            <w:r>
              <w:rPr>
                <w:rStyle w:val="font21"/>
                <w:lang/>
              </w:rPr>
              <w:t>LOF</w:t>
            </w:r>
            <w:r>
              <w:rPr>
                <w:rStyle w:val="font31"/>
                <w:rFonts w:hint="default"/>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医药增强</w:t>
            </w:r>
            <w:r>
              <w:rPr>
                <w:rStyle w:val="font21"/>
                <w:lang/>
              </w:rPr>
              <w:t>LOF</w:t>
            </w:r>
          </w:p>
        </w:tc>
      </w:tr>
      <w:tr w:rsidR="00776AC4">
        <w:trPr>
          <w:trHeight w:val="9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富国中证娱乐主题指数增强型证券投资基金（</w:t>
            </w:r>
            <w:r>
              <w:rPr>
                <w:rStyle w:val="font21"/>
                <w:lang/>
              </w:rPr>
              <w:t>LOF</w:t>
            </w:r>
            <w:r>
              <w:rPr>
                <w:rStyle w:val="font31"/>
                <w:rFonts w:hint="default"/>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娱乐增强</w:t>
            </w:r>
            <w:r>
              <w:rPr>
                <w:rStyle w:val="font21"/>
                <w:lang/>
              </w:rPr>
              <w:t>LOF</w:t>
            </w:r>
          </w:p>
        </w:tc>
      </w:tr>
      <w:tr w:rsidR="00776AC4">
        <w:trPr>
          <w:trHeight w:val="9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161037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富国中证高端制造指数增强型证券投资基金（</w:t>
            </w:r>
            <w:r>
              <w:rPr>
                <w:rStyle w:val="font21"/>
                <w:lang/>
              </w:rPr>
              <w:t>LOF</w:t>
            </w:r>
            <w:r>
              <w:rPr>
                <w:rStyle w:val="font31"/>
                <w:rFonts w:hint="default"/>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高端制造</w:t>
            </w:r>
            <w:r>
              <w:rPr>
                <w:rStyle w:val="font21"/>
                <w:lang/>
              </w:rPr>
              <w:t>LOF</w:t>
            </w:r>
          </w:p>
        </w:tc>
      </w:tr>
      <w:tr w:rsidR="00776AC4">
        <w:trPr>
          <w:trHeight w:val="9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161038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富国新兴成长量化精选混合型证券投资基金（</w:t>
            </w:r>
            <w:r>
              <w:rPr>
                <w:rStyle w:val="font21"/>
                <w:lang/>
              </w:rPr>
              <w:t>LOF</w:t>
            </w:r>
            <w:r>
              <w:rPr>
                <w:rStyle w:val="font31"/>
                <w:rFonts w:hint="default"/>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成长</w:t>
            </w:r>
            <w:r>
              <w:rPr>
                <w:rStyle w:val="font21"/>
                <w:lang/>
              </w:rPr>
              <w:t>LOF</w:t>
            </w:r>
          </w:p>
        </w:tc>
      </w:tr>
      <w:tr w:rsidR="00776AC4">
        <w:trPr>
          <w:trHeight w:val="92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161039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富国中证</w:t>
            </w:r>
            <w:r>
              <w:rPr>
                <w:rStyle w:val="font21"/>
                <w:lang/>
              </w:rPr>
              <w:t>1000</w:t>
            </w:r>
            <w:r>
              <w:rPr>
                <w:rStyle w:val="font31"/>
                <w:rFonts w:hint="default"/>
                <w:lang/>
              </w:rPr>
              <w:t>指数增强型证券投资基金（</w:t>
            </w:r>
            <w:r>
              <w:rPr>
                <w:rStyle w:val="font21"/>
                <w:lang/>
              </w:rPr>
              <w:t>LOF</w:t>
            </w:r>
            <w:r>
              <w:rPr>
                <w:rStyle w:val="font31"/>
                <w:rFonts w:hint="default"/>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A</w:t>
            </w:r>
            <w:r>
              <w:rPr>
                <w:rStyle w:val="font31"/>
                <w:rFonts w:hint="default"/>
                <w:lang/>
              </w:rPr>
              <w:t>类基金份额</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1000</w:t>
            </w:r>
            <w:r>
              <w:rPr>
                <w:rStyle w:val="font31"/>
                <w:rFonts w:hint="default"/>
                <w:lang/>
              </w:rPr>
              <w:t>增强</w:t>
            </w:r>
            <w:r>
              <w:rPr>
                <w:rStyle w:val="font21"/>
                <w:lang/>
              </w:rPr>
              <w:t>LOF</w:t>
            </w:r>
          </w:p>
        </w:tc>
      </w:tr>
      <w:tr w:rsidR="00776AC4">
        <w:trPr>
          <w:trHeight w:val="91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006034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w:t>
            </w:r>
            <w:r>
              <w:rPr>
                <w:rStyle w:val="font21"/>
                <w:lang/>
              </w:rPr>
              <w:t>MSCI</w:t>
            </w:r>
            <w:r>
              <w:rPr>
                <w:rStyle w:val="font31"/>
                <w:rFonts w:hint="default"/>
                <w:lang/>
              </w:rPr>
              <w:t>中国</w:t>
            </w:r>
            <w:r>
              <w:rPr>
                <w:rStyle w:val="font21"/>
                <w:lang/>
              </w:rPr>
              <w:t>A</w:t>
            </w:r>
            <w:r>
              <w:rPr>
                <w:rStyle w:val="font31"/>
                <w:rFonts w:hint="default"/>
                <w:lang/>
              </w:rPr>
              <w:t>股国际通指数增强型证券投资基金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w:t>
            </w:r>
          </w:p>
        </w:tc>
      </w:tr>
      <w:tr w:rsidR="00776AC4">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161014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富国汇利回报两年定期开放债券型证券投资基金</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富国汇利定开</w:t>
            </w:r>
          </w:p>
        </w:tc>
      </w:tr>
      <w:tr w:rsidR="00776AC4">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161040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宋体" w:hAnsi="宋体" w:cs="宋体"/>
                <w:color w:val="000000"/>
                <w:sz w:val="24"/>
                <w:szCs w:val="24"/>
              </w:rPr>
            </w:pPr>
            <w:r>
              <w:rPr>
                <w:rFonts w:ascii="宋体" w:hAnsi="宋体" w:cs="宋体" w:hint="eastAsia"/>
                <w:color w:val="000000"/>
                <w:kern w:val="0"/>
                <w:sz w:val="24"/>
                <w:szCs w:val="24"/>
                <w:lang/>
              </w:rPr>
              <w:t>富国创业板两年定期开放混合</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6AC4" w:rsidRDefault="00837CC5">
            <w:pPr>
              <w:widowControl/>
              <w:textAlignment w:val="center"/>
              <w:rPr>
                <w:rFonts w:ascii="Times New Roman" w:hAnsi="Times New Roman"/>
                <w:color w:val="000000"/>
                <w:sz w:val="24"/>
                <w:szCs w:val="24"/>
              </w:rPr>
            </w:pPr>
            <w:r>
              <w:rPr>
                <w:rFonts w:ascii="Times New Roman" w:hAnsi="Times New Roman"/>
                <w:color w:val="000000"/>
                <w:kern w:val="0"/>
                <w:sz w:val="24"/>
                <w:szCs w:val="24"/>
                <w:lang/>
              </w:rPr>
              <w:t>创业富国</w:t>
            </w:r>
          </w:p>
        </w:tc>
      </w:tr>
    </w:tbl>
    <w:p w:rsidR="00776AC4" w:rsidRDefault="00776AC4">
      <w:pPr>
        <w:spacing w:line="360" w:lineRule="auto"/>
        <w:rPr>
          <w:rFonts w:ascii="宋体" w:hAnsi="宋体"/>
          <w:sz w:val="24"/>
        </w:rPr>
      </w:pPr>
      <w:bookmarkStart w:id="2" w:name="_GoBack"/>
      <w:bookmarkEnd w:id="2"/>
    </w:p>
    <w:p w:rsidR="00776AC4" w:rsidRDefault="00837CC5">
      <w:pPr>
        <w:spacing w:line="360" w:lineRule="auto"/>
        <w:ind w:firstLineChars="200" w:firstLine="480"/>
        <w:rPr>
          <w:rFonts w:ascii="宋体" w:hAnsi="宋体"/>
          <w:sz w:val="24"/>
        </w:rPr>
      </w:pPr>
      <w:r>
        <w:rPr>
          <w:rFonts w:ascii="宋体" w:hAnsi="宋体" w:hint="eastAsia"/>
          <w:sz w:val="24"/>
        </w:rPr>
        <w:t>本基金</w:t>
      </w:r>
      <w:r>
        <w:rPr>
          <w:rFonts w:hint="eastAsia"/>
          <w:spacing w:val="8"/>
          <w:kern w:val="0"/>
          <w:sz w:val="24"/>
        </w:rPr>
        <w:t>C</w:t>
      </w:r>
      <w:r>
        <w:rPr>
          <w:rFonts w:ascii="宋体" w:hAnsi="宋体" w:hint="eastAsia"/>
          <w:sz w:val="24"/>
        </w:rPr>
        <w:t>类份额</w:t>
      </w:r>
      <w:r>
        <w:rPr>
          <w:rFonts w:ascii="宋体" w:hAnsi="宋体" w:hint="eastAsia"/>
          <w:sz w:val="24"/>
        </w:rPr>
        <w:t>仅开通与富国旗下部分自</w:t>
      </w:r>
      <w:r>
        <w:rPr>
          <w:rFonts w:ascii="宋体" w:hAnsi="宋体" w:hint="eastAsia"/>
          <w:sz w:val="24"/>
        </w:rPr>
        <w:t>TA</w:t>
      </w:r>
      <w:r>
        <w:rPr>
          <w:rFonts w:ascii="宋体" w:hAnsi="宋体" w:hint="eastAsia"/>
          <w:sz w:val="24"/>
        </w:rPr>
        <w:t>基金之间的基金转换业务，具体情况请详见</w:t>
      </w:r>
      <w:r>
        <w:rPr>
          <w:rFonts w:ascii="宋体" w:hAnsi="宋体" w:hint="eastAsia"/>
          <w:sz w:val="24"/>
        </w:rPr>
        <w:t>2021</w:t>
      </w:r>
      <w:r>
        <w:rPr>
          <w:rFonts w:ascii="宋体" w:hAnsi="宋体" w:hint="eastAsia"/>
          <w:sz w:val="24"/>
        </w:rPr>
        <w:t>年</w:t>
      </w:r>
      <w:r>
        <w:rPr>
          <w:rFonts w:ascii="宋体" w:hAnsi="宋体" w:hint="eastAsia"/>
          <w:sz w:val="24"/>
        </w:rPr>
        <w:t>3</w:t>
      </w:r>
      <w:r>
        <w:rPr>
          <w:rFonts w:ascii="宋体" w:hAnsi="宋体" w:hint="eastAsia"/>
          <w:sz w:val="24"/>
        </w:rPr>
        <w:t>月</w:t>
      </w:r>
      <w:r>
        <w:rPr>
          <w:rFonts w:ascii="宋体" w:hAnsi="宋体" w:hint="eastAsia"/>
          <w:sz w:val="24"/>
        </w:rPr>
        <w:t>25</w:t>
      </w:r>
      <w:r>
        <w:rPr>
          <w:rFonts w:ascii="宋体" w:hAnsi="宋体" w:hint="eastAsia"/>
          <w:sz w:val="24"/>
        </w:rPr>
        <w:t>日发布的《富国基金管理有限公司关于旗下部分开放式基金在直销渠道进行基金转换申购补差费用优惠活动的公告》、</w:t>
      </w:r>
      <w:r>
        <w:rPr>
          <w:rFonts w:ascii="宋体" w:hAnsi="宋体" w:hint="eastAsia"/>
          <w:sz w:val="24"/>
        </w:rPr>
        <w:t>2020</w:t>
      </w:r>
      <w:r>
        <w:rPr>
          <w:rFonts w:ascii="宋体" w:hAnsi="宋体" w:hint="eastAsia"/>
          <w:sz w:val="24"/>
        </w:rPr>
        <w:t>年</w:t>
      </w:r>
      <w:r>
        <w:rPr>
          <w:rFonts w:ascii="宋体" w:hAnsi="宋体" w:hint="eastAsia"/>
          <w:sz w:val="24"/>
        </w:rPr>
        <w:t>9</w:t>
      </w:r>
      <w:r>
        <w:rPr>
          <w:rFonts w:ascii="宋体" w:hAnsi="宋体" w:hint="eastAsia"/>
          <w:sz w:val="24"/>
        </w:rPr>
        <w:lastRenderedPageBreak/>
        <w:t>月</w:t>
      </w:r>
      <w:r>
        <w:rPr>
          <w:rFonts w:ascii="宋体" w:hAnsi="宋体" w:hint="eastAsia"/>
          <w:sz w:val="24"/>
        </w:rPr>
        <w:t>21</w:t>
      </w:r>
      <w:r>
        <w:rPr>
          <w:rFonts w:ascii="宋体" w:hAnsi="宋体" w:hint="eastAsia"/>
          <w:sz w:val="24"/>
        </w:rPr>
        <w:t>日发布的《富国基金管理有限公司关于旗下开放式基金在直销渠道转换业务规则的公告》、</w:t>
      </w:r>
      <w:r>
        <w:rPr>
          <w:rFonts w:ascii="宋体" w:hAnsi="宋体" w:hint="eastAsia"/>
          <w:sz w:val="24"/>
        </w:rPr>
        <w:t>2018</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23</w:t>
      </w:r>
      <w:r>
        <w:rPr>
          <w:rFonts w:ascii="宋体" w:hAnsi="宋体" w:hint="eastAsia"/>
          <w:sz w:val="24"/>
        </w:rPr>
        <w:t>日发布的《富国基金管理有限公司关于旗下部分开放式基金在直销渠道开通转换业务的公告》、</w:t>
      </w:r>
      <w:r>
        <w:rPr>
          <w:rFonts w:ascii="宋体" w:hAnsi="宋体" w:hint="eastAsia"/>
          <w:sz w:val="24"/>
        </w:rPr>
        <w:t>2015</w:t>
      </w:r>
      <w:r>
        <w:rPr>
          <w:rFonts w:ascii="宋体" w:hAnsi="宋体" w:hint="eastAsia"/>
          <w:sz w:val="24"/>
        </w:rPr>
        <w:t>年</w:t>
      </w:r>
      <w:r>
        <w:rPr>
          <w:rFonts w:ascii="宋体" w:hAnsi="宋体" w:hint="eastAsia"/>
          <w:sz w:val="24"/>
        </w:rPr>
        <w:t>10</w:t>
      </w:r>
      <w:r>
        <w:rPr>
          <w:rFonts w:ascii="宋体" w:hAnsi="宋体" w:hint="eastAsia"/>
          <w:sz w:val="24"/>
        </w:rPr>
        <w:t>月</w:t>
      </w:r>
      <w:r>
        <w:rPr>
          <w:rFonts w:ascii="宋体" w:hAnsi="宋体" w:hint="eastAsia"/>
          <w:sz w:val="24"/>
        </w:rPr>
        <w:t>23</w:t>
      </w:r>
      <w:r>
        <w:rPr>
          <w:rFonts w:ascii="宋体" w:hAnsi="宋体" w:hint="eastAsia"/>
          <w:sz w:val="24"/>
        </w:rPr>
        <w:t>日发布的《富国基金管理有限公司关于旗下部分基金在直销网点开展转换费率优惠活动的公告》。</w:t>
      </w:r>
    </w:p>
    <w:p w:rsidR="00776AC4" w:rsidRDefault="00776AC4">
      <w:pPr>
        <w:spacing w:line="360" w:lineRule="auto"/>
        <w:ind w:firstLineChars="200" w:firstLine="480"/>
        <w:rPr>
          <w:rFonts w:ascii="宋体" w:hAnsi="宋体"/>
          <w:sz w:val="24"/>
        </w:rPr>
      </w:pPr>
    </w:p>
    <w:p w:rsidR="00776AC4" w:rsidRDefault="00837CC5">
      <w:pPr>
        <w:pStyle w:val="3"/>
      </w:pPr>
      <w:r>
        <w:rPr>
          <w:rFonts w:hint="eastAsia"/>
        </w:rPr>
        <w:t xml:space="preserve">3. </w:t>
      </w:r>
      <w:r>
        <w:rPr>
          <w:rFonts w:hint="eastAsia"/>
        </w:rPr>
        <w:t>转换业务</w:t>
      </w:r>
      <w:r>
        <w:rPr>
          <w:rFonts w:hint="eastAsia"/>
        </w:rPr>
        <w:t>规则</w:t>
      </w:r>
    </w:p>
    <w:p w:rsidR="00776AC4" w:rsidRDefault="00837C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）基金份额持有人仅可以通过本公司的直销网点（直销柜台和网上交易系统）办理上述基金之间的基金转换业务。</w:t>
      </w:r>
    </w:p>
    <w:p w:rsidR="00776AC4" w:rsidRDefault="00837C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）登记机构以收到有效转换申请的当天作为转换申请日（</w:t>
      </w:r>
      <w:r>
        <w:rPr>
          <w:rFonts w:ascii="宋体" w:hAnsi="宋体" w:hint="eastAsia"/>
          <w:sz w:val="24"/>
        </w:rPr>
        <w:t>T</w:t>
      </w:r>
      <w:r>
        <w:rPr>
          <w:rFonts w:ascii="宋体" w:hAnsi="宋体" w:hint="eastAsia"/>
          <w:sz w:val="24"/>
        </w:rPr>
        <w:t>日）。基金份额持有人转换基金成功的，登记机构在</w:t>
      </w:r>
      <w:r>
        <w:rPr>
          <w:rFonts w:ascii="宋体" w:hAnsi="宋体" w:hint="eastAsia"/>
          <w:sz w:val="24"/>
        </w:rPr>
        <w:t>T+1</w:t>
      </w:r>
      <w:r>
        <w:rPr>
          <w:rFonts w:ascii="宋体" w:hAnsi="宋体" w:hint="eastAsia"/>
          <w:sz w:val="24"/>
        </w:rPr>
        <w:t>日为其办理权益转换的注册登记手续，投资者通常可自</w:t>
      </w:r>
      <w:r>
        <w:rPr>
          <w:rFonts w:ascii="宋体" w:hAnsi="宋体" w:hint="eastAsia"/>
          <w:sz w:val="24"/>
        </w:rPr>
        <w:t>T+2</w:t>
      </w:r>
      <w:r>
        <w:rPr>
          <w:rFonts w:ascii="宋体" w:hAnsi="宋体" w:hint="eastAsia"/>
          <w:sz w:val="24"/>
        </w:rPr>
        <w:t>日（含该日）后查询转换业务的确认情况，并有权转换或赎回该部分基金份额。</w:t>
      </w:r>
    </w:p>
    <w:p w:rsidR="00776AC4" w:rsidRDefault="00837C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）基金转换后，转入的基金份额的持有期将自转入的基金份额被确认之日起重新开始计算。</w:t>
      </w:r>
    </w:p>
    <w:p w:rsidR="00776AC4" w:rsidRDefault="00837C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）基金份额持有人在直销网点申请转换基金份额时，每次对基金份额的转换申请不得低</w:t>
      </w:r>
      <w:r>
        <w:rPr>
          <w:rFonts w:ascii="宋体" w:hAnsi="宋体" w:hint="eastAsia"/>
          <w:sz w:val="24"/>
        </w:rPr>
        <w:t>于</w:t>
      </w:r>
      <w:r>
        <w:rPr>
          <w:rFonts w:ascii="宋体" w:hAnsi="宋体" w:hint="eastAsia"/>
          <w:sz w:val="24"/>
        </w:rPr>
        <w:t>0.01</w:t>
      </w:r>
      <w:r>
        <w:rPr>
          <w:rFonts w:ascii="宋体" w:hAnsi="宋体" w:hint="eastAsia"/>
          <w:sz w:val="24"/>
        </w:rPr>
        <w:t>份基金份额，转换时或转换后在直销网点保留的基金份额余额不足</w:t>
      </w:r>
      <w:r>
        <w:rPr>
          <w:rFonts w:ascii="宋体" w:hAnsi="宋体" w:hint="eastAsia"/>
          <w:sz w:val="24"/>
        </w:rPr>
        <w:t>0.01</w:t>
      </w:r>
      <w:r>
        <w:rPr>
          <w:rFonts w:ascii="宋体" w:hAnsi="宋体" w:hint="eastAsia"/>
          <w:sz w:val="24"/>
        </w:rPr>
        <w:t>份的，需一次全部转换。</w:t>
      </w:r>
    </w:p>
    <w:p w:rsidR="00776AC4" w:rsidRDefault="00837CC5">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）基金转换以申请当日基金份额净值为基础计算。基金份额持有人采用“份额转换”的原则提交申请。转出基金份额必须是可用份额。</w:t>
      </w:r>
    </w:p>
    <w:bookmarkEnd w:id="0"/>
    <w:bookmarkEnd w:id="1"/>
    <w:p w:rsidR="00776AC4" w:rsidRDefault="00776AC4">
      <w:pPr>
        <w:spacing w:line="360" w:lineRule="auto"/>
        <w:ind w:firstLineChars="200" w:firstLine="480"/>
        <w:rPr>
          <w:rFonts w:ascii="宋体" w:hAnsi="宋体"/>
          <w:sz w:val="24"/>
        </w:rPr>
      </w:pPr>
    </w:p>
    <w:p w:rsidR="00776AC4" w:rsidRDefault="00837CC5">
      <w:pPr>
        <w:spacing w:line="360" w:lineRule="auto"/>
        <w:ind w:firstLineChars="200" w:firstLine="480"/>
        <w:rPr>
          <w:rFonts w:ascii="宋体" w:hAnsi="宋体"/>
          <w:sz w:val="24"/>
        </w:rPr>
      </w:pPr>
      <w:r>
        <w:rPr>
          <w:rFonts w:ascii="宋体" w:hAnsi="宋体" w:hint="eastAsia"/>
          <w:sz w:val="24"/>
        </w:rPr>
        <w:t>投资者可以登陆富国基金管理有限公司网站（</w:t>
      </w:r>
      <w:r>
        <w:rPr>
          <w:rFonts w:ascii="宋体" w:hAnsi="宋体" w:hint="eastAsia"/>
          <w:sz w:val="24"/>
        </w:rPr>
        <w:t>www.fullgoal.com.cn</w:t>
      </w:r>
      <w:r>
        <w:rPr>
          <w:rFonts w:ascii="宋体" w:hAnsi="宋体" w:hint="eastAsia"/>
          <w:sz w:val="24"/>
        </w:rPr>
        <w:t>）或拨打富国基金管理有限公司客户服务热线</w:t>
      </w:r>
      <w:r>
        <w:rPr>
          <w:rFonts w:ascii="宋体" w:hAnsi="宋体" w:hint="eastAsia"/>
          <w:sz w:val="24"/>
        </w:rPr>
        <w:t>95105686</w:t>
      </w:r>
      <w:r>
        <w:rPr>
          <w:rFonts w:ascii="宋体" w:hAnsi="宋体" w:hint="eastAsia"/>
          <w:sz w:val="24"/>
        </w:rPr>
        <w:t>、</w:t>
      </w:r>
      <w:r>
        <w:rPr>
          <w:rFonts w:ascii="宋体" w:hAnsi="宋体" w:hint="eastAsia"/>
          <w:sz w:val="24"/>
        </w:rPr>
        <w:t>4008880688</w:t>
      </w:r>
      <w:r>
        <w:rPr>
          <w:rFonts w:ascii="宋体" w:hAnsi="宋体" w:hint="eastAsia"/>
          <w:sz w:val="24"/>
        </w:rPr>
        <w:t>（全国统一，均免长途费）进行相关咨询。</w:t>
      </w:r>
    </w:p>
    <w:p w:rsidR="00776AC4" w:rsidRDefault="00776AC4">
      <w:pPr>
        <w:spacing w:line="360" w:lineRule="auto"/>
        <w:ind w:firstLineChars="200" w:firstLine="480"/>
        <w:rPr>
          <w:rFonts w:ascii="宋体"/>
          <w:sz w:val="24"/>
        </w:rPr>
      </w:pPr>
    </w:p>
    <w:p w:rsidR="00776AC4" w:rsidRDefault="00837CC5">
      <w:pPr>
        <w:spacing w:line="360" w:lineRule="auto"/>
        <w:ind w:firstLineChars="200" w:firstLine="482"/>
        <w:outlineLvl w:val="0"/>
        <w:rPr>
          <w:rFonts w:ascii="宋体" w:hAnsi="宋体"/>
          <w:sz w:val="24"/>
        </w:rPr>
      </w:pPr>
      <w:r>
        <w:rPr>
          <w:rFonts w:ascii="宋体" w:hAnsi="宋体" w:hint="eastAsia"/>
          <w:b/>
          <w:sz w:val="24"/>
        </w:rPr>
        <w:t>风险提示：</w:t>
      </w:r>
      <w:r>
        <w:rPr>
          <w:rFonts w:ascii="宋体" w:hAnsi="宋体" w:hint="eastAsia"/>
          <w:sz w:val="24"/>
        </w:rPr>
        <w:t>本公司承诺以诚实信用、勤勉尽责的原则管理和运用基金资产，但不保证基金一定盈利，</w:t>
      </w:r>
      <w:r>
        <w:rPr>
          <w:rFonts w:ascii="宋体" w:hAnsi="宋体" w:hint="eastAsia"/>
          <w:sz w:val="24"/>
        </w:rPr>
        <w:t>也不保证最低收益。敬请投资人注意投资风险。投资者投资于基金前应认真阅读基金的基金合同和招募说明书等法律文件，确认已知悉基金产品资料概要，全面认识基金的风险收益特征和产品特性，并充分考虑自身的风险承受能力，在了解产品情况及销售机构适当性匹配意见的基础上，理性判断市场，谨慎做出投资决策。基金具体风险评级结果以销售机构提供的评级结果为准。</w:t>
      </w:r>
    </w:p>
    <w:p w:rsidR="00776AC4" w:rsidRDefault="00776AC4">
      <w:pPr>
        <w:spacing w:line="360" w:lineRule="auto"/>
        <w:ind w:firstLineChars="200" w:firstLine="480"/>
        <w:rPr>
          <w:rFonts w:ascii="宋体"/>
          <w:sz w:val="24"/>
        </w:rPr>
      </w:pPr>
    </w:p>
    <w:p w:rsidR="00776AC4" w:rsidRDefault="00837CC5">
      <w:pPr>
        <w:spacing w:line="360" w:lineRule="auto"/>
        <w:ind w:firstLineChars="200" w:firstLine="480"/>
        <w:rPr>
          <w:rFonts w:ascii="宋体" w:hAnsi="宋体"/>
          <w:sz w:val="24"/>
        </w:rPr>
      </w:pPr>
      <w:r>
        <w:rPr>
          <w:rFonts w:ascii="宋体" w:hAnsi="宋体" w:hint="eastAsia"/>
          <w:sz w:val="24"/>
        </w:rPr>
        <w:t>特此公告。</w:t>
      </w:r>
    </w:p>
    <w:p w:rsidR="00776AC4" w:rsidRDefault="00776AC4">
      <w:pPr>
        <w:spacing w:line="360" w:lineRule="auto"/>
        <w:ind w:firstLineChars="200" w:firstLine="480"/>
        <w:rPr>
          <w:rFonts w:ascii="宋体"/>
          <w:sz w:val="24"/>
        </w:rPr>
      </w:pPr>
    </w:p>
    <w:p w:rsidR="00776AC4" w:rsidRDefault="00837CC5">
      <w:pPr>
        <w:spacing w:line="360" w:lineRule="auto"/>
        <w:ind w:firstLineChars="200" w:firstLine="480"/>
        <w:jc w:val="right"/>
        <w:rPr>
          <w:rFonts w:ascii="宋体"/>
          <w:sz w:val="24"/>
        </w:rPr>
      </w:pPr>
      <w:r>
        <w:rPr>
          <w:rFonts w:ascii="宋体" w:hAnsi="宋体" w:hint="eastAsia"/>
          <w:sz w:val="24"/>
        </w:rPr>
        <w:t>富国基金管理有限公司</w:t>
      </w:r>
    </w:p>
    <w:p w:rsidR="00776AC4" w:rsidRDefault="00837CC5">
      <w:pPr>
        <w:spacing w:line="360" w:lineRule="auto"/>
        <w:jc w:val="right"/>
        <w:rPr>
          <w:rFonts w:ascii="宋体"/>
          <w:sz w:val="24"/>
        </w:rPr>
      </w:pPr>
      <w:r>
        <w:rPr>
          <w:rFonts w:ascii="宋体" w:hAnsi="宋体"/>
          <w:sz w:val="24"/>
        </w:rPr>
        <w:t>202</w:t>
      </w:r>
      <w:r>
        <w:rPr>
          <w:rFonts w:ascii="宋体" w:hAnsi="宋体" w:hint="eastAsia"/>
          <w:sz w:val="24"/>
        </w:rPr>
        <w:t>3</w:t>
      </w:r>
      <w:r>
        <w:rPr>
          <w:rFonts w:ascii="宋体" w:hAnsi="宋体" w:hint="eastAsia"/>
          <w:sz w:val="24"/>
        </w:rPr>
        <w:t>年</w:t>
      </w:r>
      <w:r>
        <w:rPr>
          <w:rFonts w:ascii="宋体" w:hAnsi="宋体" w:hint="eastAsia"/>
          <w:sz w:val="24"/>
        </w:rPr>
        <w:t>8</w:t>
      </w:r>
      <w:r>
        <w:rPr>
          <w:rFonts w:ascii="宋体" w:hAnsi="宋体"/>
          <w:sz w:val="24"/>
        </w:rPr>
        <w:t>月</w:t>
      </w:r>
      <w:r>
        <w:rPr>
          <w:rFonts w:ascii="宋体" w:hAnsi="宋体"/>
          <w:sz w:val="24"/>
        </w:rPr>
        <w:t>2</w:t>
      </w:r>
      <w:r>
        <w:rPr>
          <w:rFonts w:ascii="宋体" w:hAnsi="宋体" w:hint="eastAsia"/>
          <w:sz w:val="24"/>
        </w:rPr>
        <w:t>9</w:t>
      </w:r>
      <w:r>
        <w:rPr>
          <w:rFonts w:ascii="宋体" w:hAnsi="宋体"/>
          <w:sz w:val="24"/>
        </w:rPr>
        <w:t>日</w:t>
      </w:r>
    </w:p>
    <w:sectPr w:rsidR="00776AC4" w:rsidSect="00776A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E3F"/>
    <w:multiLevelType w:val="multilevel"/>
    <w:tmpl w:val="207A2E3F"/>
    <w:lvl w:ilvl="0">
      <w:start w:val="1"/>
      <w:numFmt w:val="decimal"/>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7337E11"/>
    <w:multiLevelType w:val="multilevel"/>
    <w:tmpl w:val="27337E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53421A"/>
    <w:rsid w:val="0000150D"/>
    <w:rsid w:val="000D3F5E"/>
    <w:rsid w:val="000D459B"/>
    <w:rsid w:val="00130704"/>
    <w:rsid w:val="001565C9"/>
    <w:rsid w:val="00174E81"/>
    <w:rsid w:val="002B4FA9"/>
    <w:rsid w:val="002C3B66"/>
    <w:rsid w:val="003B23FE"/>
    <w:rsid w:val="0047752E"/>
    <w:rsid w:val="004C05C4"/>
    <w:rsid w:val="0053421A"/>
    <w:rsid w:val="005B2EA5"/>
    <w:rsid w:val="006C6335"/>
    <w:rsid w:val="006F278A"/>
    <w:rsid w:val="00713589"/>
    <w:rsid w:val="0072052F"/>
    <w:rsid w:val="00776AC4"/>
    <w:rsid w:val="00837CC5"/>
    <w:rsid w:val="008C1C15"/>
    <w:rsid w:val="009E01A3"/>
    <w:rsid w:val="00A76B1F"/>
    <w:rsid w:val="00AC5A73"/>
    <w:rsid w:val="00AF0B5C"/>
    <w:rsid w:val="00B14B25"/>
    <w:rsid w:val="00B2717E"/>
    <w:rsid w:val="00C135B1"/>
    <w:rsid w:val="00C31E72"/>
    <w:rsid w:val="00D032F4"/>
    <w:rsid w:val="00D76ACB"/>
    <w:rsid w:val="00D80D82"/>
    <w:rsid w:val="00DC79F9"/>
    <w:rsid w:val="00DF2745"/>
    <w:rsid w:val="00E56443"/>
    <w:rsid w:val="00FC67B4"/>
    <w:rsid w:val="10A77B0F"/>
    <w:rsid w:val="530856CF"/>
    <w:rsid w:val="7D130F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AC4"/>
    <w:pPr>
      <w:widowControl w:val="0"/>
      <w:jc w:val="both"/>
    </w:pPr>
    <w:rPr>
      <w:rFonts w:ascii="Calibri" w:hAnsi="Calibri"/>
      <w:kern w:val="2"/>
      <w:sz w:val="21"/>
      <w:szCs w:val="22"/>
    </w:rPr>
  </w:style>
  <w:style w:type="paragraph" w:styleId="2">
    <w:name w:val="heading 2"/>
    <w:basedOn w:val="a"/>
    <w:next w:val="a"/>
    <w:link w:val="2Char"/>
    <w:qFormat/>
    <w:rsid w:val="00776AC4"/>
    <w:pPr>
      <w:keepNext/>
      <w:keepLines/>
      <w:numPr>
        <w:numId w:val="1"/>
      </w:numPr>
      <w:spacing w:line="360" w:lineRule="auto"/>
      <w:outlineLvl w:val="1"/>
    </w:pPr>
    <w:rPr>
      <w:rFonts w:ascii="Times New Roman" w:hAnsi="Times New Roman"/>
      <w:b/>
      <w:sz w:val="24"/>
      <w:szCs w:val="20"/>
      <w:lang w:val="zh-CN"/>
    </w:rPr>
  </w:style>
  <w:style w:type="paragraph" w:styleId="3">
    <w:name w:val="heading 3"/>
    <w:basedOn w:val="a"/>
    <w:next w:val="a"/>
    <w:link w:val="3Char"/>
    <w:qFormat/>
    <w:rsid w:val="00776AC4"/>
    <w:pPr>
      <w:keepNext/>
      <w:keepLines/>
      <w:spacing w:line="360" w:lineRule="auto"/>
      <w:outlineLvl w:val="2"/>
    </w:pPr>
    <w:rPr>
      <w:rFonts w:ascii="Times New Roman" w:hAnsi="Times New Roman"/>
      <w:b/>
      <w:bCs/>
      <w:sz w:val="24"/>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76AC4"/>
    <w:pPr>
      <w:jc w:val="left"/>
    </w:pPr>
  </w:style>
  <w:style w:type="paragraph" w:styleId="a4">
    <w:name w:val="Balloon Text"/>
    <w:basedOn w:val="a"/>
    <w:link w:val="Char0"/>
    <w:uiPriority w:val="99"/>
    <w:semiHidden/>
    <w:unhideWhenUsed/>
    <w:qFormat/>
    <w:rsid w:val="00776AC4"/>
    <w:rPr>
      <w:sz w:val="18"/>
      <w:szCs w:val="18"/>
    </w:rPr>
  </w:style>
  <w:style w:type="paragraph" w:styleId="a5">
    <w:name w:val="footer"/>
    <w:basedOn w:val="a"/>
    <w:link w:val="Char1"/>
    <w:uiPriority w:val="99"/>
    <w:unhideWhenUsed/>
    <w:qFormat/>
    <w:rsid w:val="00776AC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76AC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776AC4"/>
    <w:rPr>
      <w:b/>
      <w:bCs/>
    </w:rPr>
  </w:style>
  <w:style w:type="character" w:styleId="a8">
    <w:name w:val="annotation reference"/>
    <w:basedOn w:val="a0"/>
    <w:uiPriority w:val="99"/>
    <w:semiHidden/>
    <w:unhideWhenUsed/>
    <w:rsid w:val="00776AC4"/>
    <w:rPr>
      <w:sz w:val="21"/>
      <w:szCs w:val="21"/>
    </w:rPr>
  </w:style>
  <w:style w:type="paragraph" w:styleId="a9">
    <w:name w:val="List Paragraph"/>
    <w:basedOn w:val="a"/>
    <w:uiPriority w:val="34"/>
    <w:qFormat/>
    <w:rsid w:val="00776AC4"/>
    <w:pPr>
      <w:ind w:firstLineChars="200" w:firstLine="420"/>
    </w:pPr>
  </w:style>
  <w:style w:type="character" w:customStyle="1" w:styleId="2Char">
    <w:name w:val="标题 2 Char"/>
    <w:basedOn w:val="a0"/>
    <w:link w:val="2"/>
    <w:qFormat/>
    <w:rsid w:val="00776AC4"/>
    <w:rPr>
      <w:rFonts w:ascii="Times New Roman" w:eastAsia="宋体" w:hAnsi="Times New Roman" w:cs="Times New Roman"/>
      <w:b/>
      <w:sz w:val="24"/>
      <w:szCs w:val="20"/>
      <w:lang w:val="zh-CN" w:eastAsia="zh-CN"/>
    </w:rPr>
  </w:style>
  <w:style w:type="character" w:customStyle="1" w:styleId="3Char">
    <w:name w:val="标题 3 Char"/>
    <w:basedOn w:val="a0"/>
    <w:link w:val="3"/>
    <w:qFormat/>
    <w:rsid w:val="00776AC4"/>
    <w:rPr>
      <w:rFonts w:ascii="Times New Roman" w:eastAsia="宋体" w:hAnsi="Times New Roman" w:cs="Times New Roman"/>
      <w:b/>
      <w:bCs/>
      <w:sz w:val="24"/>
      <w:szCs w:val="32"/>
      <w:lang w:val="zh-CN" w:eastAsia="zh-CN"/>
    </w:rPr>
  </w:style>
  <w:style w:type="character" w:customStyle="1" w:styleId="Char2">
    <w:name w:val="页眉 Char"/>
    <w:basedOn w:val="a0"/>
    <w:link w:val="a6"/>
    <w:uiPriority w:val="99"/>
    <w:qFormat/>
    <w:rsid w:val="00776AC4"/>
    <w:rPr>
      <w:rFonts w:ascii="Calibri" w:eastAsia="宋体" w:hAnsi="Calibri" w:cs="Times New Roman"/>
      <w:sz w:val="18"/>
      <w:szCs w:val="18"/>
    </w:rPr>
  </w:style>
  <w:style w:type="character" w:customStyle="1" w:styleId="Char1">
    <w:name w:val="页脚 Char"/>
    <w:basedOn w:val="a0"/>
    <w:link w:val="a5"/>
    <w:uiPriority w:val="99"/>
    <w:rsid w:val="00776AC4"/>
    <w:rPr>
      <w:rFonts w:ascii="Calibri" w:eastAsia="宋体" w:hAnsi="Calibri" w:cs="Times New Roman"/>
      <w:sz w:val="18"/>
      <w:szCs w:val="18"/>
    </w:rPr>
  </w:style>
  <w:style w:type="character" w:customStyle="1" w:styleId="Char0">
    <w:name w:val="批注框文本 Char"/>
    <w:basedOn w:val="a0"/>
    <w:link w:val="a4"/>
    <w:uiPriority w:val="99"/>
    <w:semiHidden/>
    <w:rsid w:val="00776AC4"/>
    <w:rPr>
      <w:rFonts w:ascii="Calibri" w:eastAsia="宋体" w:hAnsi="Calibri" w:cs="Times New Roman"/>
      <w:sz w:val="18"/>
      <w:szCs w:val="18"/>
    </w:rPr>
  </w:style>
  <w:style w:type="character" w:customStyle="1" w:styleId="Char">
    <w:name w:val="批注文字 Char"/>
    <w:basedOn w:val="a0"/>
    <w:link w:val="a3"/>
    <w:uiPriority w:val="99"/>
    <w:semiHidden/>
    <w:qFormat/>
    <w:rsid w:val="00776AC4"/>
    <w:rPr>
      <w:rFonts w:ascii="Calibri" w:eastAsia="宋体" w:hAnsi="Calibri" w:cs="Times New Roman"/>
    </w:rPr>
  </w:style>
  <w:style w:type="character" w:customStyle="1" w:styleId="Char3">
    <w:name w:val="批注主题 Char"/>
    <w:basedOn w:val="Char"/>
    <w:link w:val="a7"/>
    <w:uiPriority w:val="99"/>
    <w:semiHidden/>
    <w:rsid w:val="00776AC4"/>
    <w:rPr>
      <w:rFonts w:ascii="Calibri" w:eastAsia="宋体" w:hAnsi="Calibri" w:cs="Times New Roman"/>
      <w:b/>
      <w:bCs/>
    </w:rPr>
  </w:style>
  <w:style w:type="character" w:customStyle="1" w:styleId="font41">
    <w:name w:val="font41"/>
    <w:basedOn w:val="a0"/>
    <w:rsid w:val="00776AC4"/>
    <w:rPr>
      <w:rFonts w:ascii="Times New Roman" w:hAnsi="Times New Roman" w:cs="Times New Roman" w:hint="default"/>
      <w:b/>
      <w:bCs/>
      <w:color w:val="000000"/>
      <w:sz w:val="21"/>
      <w:szCs w:val="21"/>
      <w:u w:val="none"/>
    </w:rPr>
  </w:style>
  <w:style w:type="character" w:customStyle="1" w:styleId="font21">
    <w:name w:val="font21"/>
    <w:basedOn w:val="a0"/>
    <w:rsid w:val="00776AC4"/>
    <w:rPr>
      <w:rFonts w:ascii="Times New Roman" w:hAnsi="Times New Roman" w:cs="Times New Roman" w:hint="default"/>
      <w:color w:val="000000"/>
      <w:sz w:val="24"/>
      <w:szCs w:val="24"/>
      <w:u w:val="none"/>
    </w:rPr>
  </w:style>
  <w:style w:type="character" w:customStyle="1" w:styleId="font31">
    <w:name w:val="font31"/>
    <w:basedOn w:val="a0"/>
    <w:rsid w:val="00776AC4"/>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1948</Characters>
  <Application>Microsoft Office Word</Application>
  <DocSecurity>4</DocSecurity>
  <Lines>16</Lines>
  <Paragraphs>4</Paragraphs>
  <ScaleCrop>false</ScaleCrop>
  <Company>CNSTOCK</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电商刘柳</dc:creator>
  <cp:lastModifiedBy>ZHONGM</cp:lastModifiedBy>
  <cp:revision>2</cp:revision>
  <dcterms:created xsi:type="dcterms:W3CDTF">2023-08-28T16:01:00Z</dcterms:created>
  <dcterms:modified xsi:type="dcterms:W3CDTF">2023-08-28T16:01:00Z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9A0CA85A85FC4F009A93C9FA2AD11A73</vt:lpwstr>
  </property>
</Properties>
</file>