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08" w:rsidRDefault="00696808" w:rsidP="00696808">
      <w:pPr>
        <w:widowControl/>
        <w:jc w:val="center"/>
        <w:outlineLvl w:val="2"/>
        <w:rPr>
          <w:rFonts w:asciiTheme="minorEastAsia" w:hAnsiTheme="minorEastAsia" w:cs="宋体"/>
          <w:b/>
          <w:bCs/>
          <w:color w:val="333333"/>
          <w:kern w:val="0"/>
          <w:sz w:val="32"/>
          <w:szCs w:val="32"/>
        </w:rPr>
      </w:pPr>
      <w:r w:rsidRPr="00BF0EFF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宝盈基金管理有限公司关于终止</w:t>
      </w:r>
      <w:r w:rsidR="00536DD8" w:rsidRPr="00536DD8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杭州科地瑞富基金销售有限公司</w:t>
      </w:r>
      <w:r w:rsidRPr="00BF0EFF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办理</w:t>
      </w:r>
      <w:r w:rsidR="00642E4C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本公司</w:t>
      </w:r>
      <w:r w:rsidRPr="00BF0EFF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旗下基金销售业务的公告</w:t>
      </w:r>
    </w:p>
    <w:p w:rsidR="00043708" w:rsidRPr="00536DD8" w:rsidRDefault="00043708" w:rsidP="00696808">
      <w:pPr>
        <w:widowControl/>
        <w:jc w:val="center"/>
        <w:outlineLvl w:val="2"/>
        <w:rPr>
          <w:rFonts w:asciiTheme="minorEastAsia" w:hAnsiTheme="minorEastAsia" w:cs="宋体"/>
          <w:b/>
          <w:bCs/>
          <w:color w:val="333333"/>
          <w:kern w:val="0"/>
          <w:sz w:val="32"/>
          <w:szCs w:val="32"/>
        </w:rPr>
      </w:pPr>
      <w:bookmarkStart w:id="0" w:name="_GoBack"/>
      <w:bookmarkEnd w:id="0"/>
    </w:p>
    <w:p w:rsidR="00043708" w:rsidRDefault="00515381" w:rsidP="00831280">
      <w:pPr>
        <w:pStyle w:val="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b w:val="0"/>
          <w:bCs w:val="0"/>
          <w:color w:val="333333"/>
          <w:sz w:val="24"/>
          <w:szCs w:val="24"/>
        </w:rPr>
      </w:pPr>
      <w:r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宝盈基金管理有限公司（简称“本公司”）</w:t>
      </w:r>
      <w:r w:rsidR="00642E4C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已于20</w:t>
      </w:r>
      <w:r w:rsidR="00536DD8">
        <w:rPr>
          <w:rFonts w:asciiTheme="minorEastAsia" w:eastAsiaTheme="minorEastAsia" w:hAnsiTheme="minorEastAsia"/>
          <w:b w:val="0"/>
          <w:bCs w:val="0"/>
          <w:color w:val="333333"/>
          <w:sz w:val="24"/>
          <w:szCs w:val="24"/>
        </w:rPr>
        <w:t>22</w:t>
      </w:r>
      <w:r w:rsidR="00642E4C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年</w:t>
      </w:r>
      <w:r w:rsidR="00536DD8">
        <w:rPr>
          <w:rFonts w:asciiTheme="minorEastAsia" w:eastAsiaTheme="minorEastAsia" w:hAnsiTheme="minorEastAsia"/>
          <w:b w:val="0"/>
          <w:bCs w:val="0"/>
          <w:color w:val="333333"/>
          <w:sz w:val="24"/>
          <w:szCs w:val="24"/>
        </w:rPr>
        <w:t>1</w:t>
      </w:r>
      <w:r w:rsidR="00642E4C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月</w:t>
      </w:r>
      <w:r w:rsidR="00536DD8">
        <w:rPr>
          <w:rFonts w:asciiTheme="minorEastAsia" w:eastAsiaTheme="minorEastAsia" w:hAnsiTheme="minorEastAsia"/>
          <w:b w:val="0"/>
          <w:bCs w:val="0"/>
          <w:color w:val="333333"/>
          <w:sz w:val="24"/>
          <w:szCs w:val="24"/>
        </w:rPr>
        <w:t>18</w:t>
      </w:r>
      <w:r w:rsidR="00642E4C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日发布《宝盈基金关于暂停</w:t>
      </w:r>
      <w:r w:rsidR="00536DD8" w:rsidRPr="00536DD8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杭州科地瑞富基金销售有限公司</w:t>
      </w:r>
      <w:r w:rsidR="00642E4C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办理旗下基金相关销售业务的公告》</w:t>
      </w:r>
      <w:r w:rsid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，自</w:t>
      </w:r>
      <w:r w:rsidR="00642E4C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20</w:t>
      </w:r>
      <w:r w:rsidR="00536DD8">
        <w:rPr>
          <w:rFonts w:asciiTheme="minorEastAsia" w:eastAsiaTheme="minorEastAsia" w:hAnsiTheme="minorEastAsia"/>
          <w:b w:val="0"/>
          <w:bCs w:val="0"/>
          <w:color w:val="333333"/>
          <w:sz w:val="24"/>
          <w:szCs w:val="24"/>
        </w:rPr>
        <w:t>22</w:t>
      </w:r>
      <w:r w:rsidR="00642E4C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年</w:t>
      </w:r>
      <w:r w:rsidR="00536DD8">
        <w:rPr>
          <w:rFonts w:asciiTheme="minorEastAsia" w:eastAsiaTheme="minorEastAsia" w:hAnsiTheme="minorEastAsia"/>
          <w:b w:val="0"/>
          <w:bCs w:val="0"/>
          <w:color w:val="333333"/>
          <w:sz w:val="24"/>
          <w:szCs w:val="24"/>
        </w:rPr>
        <w:t>1</w:t>
      </w:r>
      <w:r w:rsidR="00642E4C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月</w:t>
      </w:r>
      <w:r w:rsidR="00536DD8">
        <w:rPr>
          <w:rFonts w:asciiTheme="minorEastAsia" w:eastAsiaTheme="minorEastAsia" w:hAnsiTheme="minorEastAsia"/>
          <w:b w:val="0"/>
          <w:bCs w:val="0"/>
          <w:color w:val="333333"/>
          <w:sz w:val="24"/>
          <w:szCs w:val="24"/>
        </w:rPr>
        <w:t>18</w:t>
      </w:r>
      <w:r w:rsidR="00642E4C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日起暂停</w:t>
      </w:r>
      <w:r w:rsidR="00536DD8" w:rsidRPr="00536DD8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杭州科地瑞富基金销售有限公司</w:t>
      </w:r>
      <w:r w:rsidR="00642E4C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（简称“</w:t>
      </w:r>
      <w:r w:rsidR="00536DD8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科地瑞富</w:t>
      </w:r>
      <w:r w:rsidR="00642E4C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”）办理本公司旗下基金的认购、申购、定期定额投资及转换等业务</w:t>
      </w:r>
      <w:r w:rsid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。</w:t>
      </w:r>
    </w:p>
    <w:p w:rsidR="007A6F1A" w:rsidRPr="00B94343" w:rsidRDefault="00642E4C" w:rsidP="00043708">
      <w:pPr>
        <w:pStyle w:val="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b w:val="0"/>
          <w:bCs w:val="0"/>
          <w:color w:val="333333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为维护投资者利益，</w:t>
      </w:r>
      <w:r w:rsidR="00515381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自202</w:t>
      </w:r>
      <w:r w:rsidR="00515381" w:rsidRPr="00642E4C">
        <w:rPr>
          <w:rFonts w:asciiTheme="minorEastAsia" w:eastAsiaTheme="minorEastAsia" w:hAnsiTheme="minorEastAsia"/>
          <w:b w:val="0"/>
          <w:bCs w:val="0"/>
          <w:color w:val="333333"/>
          <w:sz w:val="24"/>
          <w:szCs w:val="24"/>
        </w:rPr>
        <w:t>3</w:t>
      </w:r>
      <w:r w:rsidR="00515381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年</w:t>
      </w:r>
      <w:r w:rsidR="00515381" w:rsidRPr="00642E4C">
        <w:rPr>
          <w:rFonts w:asciiTheme="minorEastAsia" w:eastAsiaTheme="minorEastAsia" w:hAnsiTheme="minorEastAsia"/>
          <w:b w:val="0"/>
          <w:bCs w:val="0"/>
          <w:color w:val="333333"/>
          <w:sz w:val="24"/>
          <w:szCs w:val="24"/>
        </w:rPr>
        <w:t>8</w:t>
      </w:r>
      <w:r w:rsidR="00515381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月2</w:t>
      </w:r>
      <w:r w:rsidR="003810C0" w:rsidRPr="00642E4C">
        <w:rPr>
          <w:rFonts w:asciiTheme="minorEastAsia" w:eastAsiaTheme="minorEastAsia" w:hAnsiTheme="minorEastAsia"/>
          <w:b w:val="0"/>
          <w:bCs w:val="0"/>
          <w:color w:val="333333"/>
          <w:sz w:val="24"/>
          <w:szCs w:val="24"/>
        </w:rPr>
        <w:t>8</w:t>
      </w:r>
      <w:r w:rsidR="00515381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日起终止</w:t>
      </w:r>
      <w:r w:rsidR="00536DD8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科地瑞富</w:t>
      </w:r>
      <w:r w:rsidR="005E0199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办理旗下</w:t>
      </w:r>
      <w:r w:rsidR="00515381" w:rsidRPr="00642E4C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基金销售相关业务</w:t>
      </w:r>
      <w:r w:rsidR="00EE399B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，</w:t>
      </w:r>
      <w:r w:rsidR="00117CAD" w:rsidRPr="00117CAD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投资者可根据本公司相关业务规则办理基金产品相关业务</w:t>
      </w:r>
      <w:r w:rsidR="00B94343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。</w:t>
      </w:r>
    </w:p>
    <w:p w:rsidR="00B94343" w:rsidRPr="00B94343" w:rsidRDefault="00B94343" w:rsidP="00043708">
      <w:pPr>
        <w:pStyle w:val="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b w:val="0"/>
          <w:bCs w:val="0"/>
          <w:color w:val="333333"/>
          <w:sz w:val="24"/>
          <w:szCs w:val="24"/>
        </w:rPr>
      </w:pPr>
      <w:r w:rsidRPr="00B94343">
        <w:rPr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在法律规定允许的前提下，本公司对于本公告享有解释权。</w:t>
      </w:r>
    </w:p>
    <w:p w:rsidR="007A6F1A" w:rsidRPr="00B94343" w:rsidRDefault="00B94343" w:rsidP="0004370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94343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投资者可通过以下途径咨询有关详情：</w:t>
      </w:r>
    </w:p>
    <w:p w:rsidR="007A6F1A" w:rsidRPr="00BF0EFF" w:rsidRDefault="00BB4A71" w:rsidP="0004370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宝盈基金</w:t>
      </w:r>
      <w:r w:rsidR="007A6F1A"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服务电话：400-8888-300</w:t>
      </w:r>
    </w:p>
    <w:p w:rsidR="007A6F1A" w:rsidRPr="00BF0EFF" w:rsidRDefault="00BB4A71" w:rsidP="0004370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宝盈基金公司</w:t>
      </w:r>
      <w:r w:rsidR="007A6F1A"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网址：</w:t>
      </w:r>
      <w:hyperlink r:id="rId6" w:history="1">
        <w:r w:rsidR="007A6F1A" w:rsidRPr="00BF0EFF">
          <w:rPr>
            <w:rFonts w:asciiTheme="minorEastAsia" w:hAnsiTheme="minorEastAsia" w:cs="宋体"/>
            <w:color w:val="333333"/>
            <w:kern w:val="0"/>
            <w:sz w:val="24"/>
            <w:szCs w:val="24"/>
          </w:rPr>
          <w:t>www.byfunds.com</w:t>
        </w:r>
      </w:hyperlink>
      <w:r w:rsidR="007A6F1A" w:rsidRPr="00BF0EFF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</w:t>
      </w:r>
      <w:r w:rsidR="007A6F1A" w:rsidRPr="00BF0EFF">
        <w:rPr>
          <w:rFonts w:asciiTheme="minorEastAsia" w:hAnsiTheme="minorEastAsia" w:cs="宋体"/>
          <w:color w:val="333333"/>
          <w:kern w:val="0"/>
          <w:sz w:val="24"/>
          <w:szCs w:val="24"/>
        </w:rPr>
        <w:tab/>
        <w:t xml:space="preserve"> </w:t>
      </w:r>
      <w:r w:rsidR="007A6F1A" w:rsidRPr="00BF0EFF">
        <w:rPr>
          <w:rFonts w:asciiTheme="minorEastAsia" w:hAnsiTheme="minorEastAsia" w:cs="宋体"/>
          <w:color w:val="333333"/>
          <w:kern w:val="0"/>
          <w:sz w:val="24"/>
          <w:szCs w:val="24"/>
        </w:rPr>
        <w:tab/>
      </w:r>
    </w:p>
    <w:p w:rsidR="00696808" w:rsidRPr="00BF0EFF" w:rsidRDefault="00696808" w:rsidP="00043708">
      <w:pPr>
        <w:widowControl/>
        <w:spacing w:line="360" w:lineRule="auto"/>
        <w:ind w:firstLine="42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</w:t>
      </w:r>
    </w:p>
    <w:p w:rsidR="00696808" w:rsidRPr="00BF0EFF" w:rsidRDefault="00696808" w:rsidP="00BF0EFF">
      <w:pPr>
        <w:widowControl/>
        <w:spacing w:line="360" w:lineRule="auto"/>
        <w:ind w:firstLine="42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696808" w:rsidRPr="00BF0EFF" w:rsidRDefault="00696808" w:rsidP="00BF0EFF">
      <w:pPr>
        <w:widowControl/>
        <w:spacing w:line="360" w:lineRule="auto"/>
        <w:ind w:firstLine="42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特此公告。</w:t>
      </w:r>
    </w:p>
    <w:p w:rsidR="00696808" w:rsidRPr="00BF0EFF" w:rsidRDefault="00696808" w:rsidP="001A4402">
      <w:pPr>
        <w:widowControl/>
        <w:spacing w:line="315" w:lineRule="atLeast"/>
        <w:ind w:firstLine="42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</w:t>
      </w:r>
    </w:p>
    <w:p w:rsidR="00696808" w:rsidRPr="00BF0EFF" w:rsidRDefault="00696808" w:rsidP="00D870F9">
      <w:pPr>
        <w:widowControl/>
        <w:spacing w:line="315" w:lineRule="atLeast"/>
        <w:ind w:firstLine="420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宝盈基金管理有限公司</w:t>
      </w:r>
    </w:p>
    <w:p w:rsidR="00696808" w:rsidRPr="00BF0EFF" w:rsidRDefault="00696808" w:rsidP="00D870F9">
      <w:pPr>
        <w:widowControl/>
        <w:spacing w:line="315" w:lineRule="atLeast"/>
        <w:ind w:firstLine="420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202</w:t>
      </w:r>
      <w:r w:rsidR="00515381" w:rsidRPr="00BF0EFF">
        <w:rPr>
          <w:rFonts w:asciiTheme="minorEastAsia" w:hAnsiTheme="minorEastAsia" w:cs="宋体"/>
          <w:color w:val="333333"/>
          <w:kern w:val="0"/>
          <w:sz w:val="24"/>
          <w:szCs w:val="24"/>
        </w:rPr>
        <w:t>3</w:t>
      </w:r>
      <w:r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年</w:t>
      </w:r>
      <w:r w:rsidR="00515381" w:rsidRPr="00BF0EFF">
        <w:rPr>
          <w:rFonts w:asciiTheme="minorEastAsia" w:hAnsiTheme="minorEastAsia" w:cs="宋体"/>
          <w:color w:val="333333"/>
          <w:kern w:val="0"/>
          <w:sz w:val="24"/>
          <w:szCs w:val="24"/>
        </w:rPr>
        <w:t>8</w:t>
      </w:r>
      <w:r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月</w:t>
      </w:r>
      <w:r w:rsidR="00515381" w:rsidRPr="00BF0EFF">
        <w:rPr>
          <w:rFonts w:asciiTheme="minorEastAsia" w:hAnsiTheme="minorEastAsia" w:cs="宋体"/>
          <w:color w:val="333333"/>
          <w:kern w:val="0"/>
          <w:sz w:val="24"/>
          <w:szCs w:val="24"/>
        </w:rPr>
        <w:t>28</w:t>
      </w:r>
      <w:r w:rsidRPr="00BF0E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日</w:t>
      </w:r>
    </w:p>
    <w:p w:rsidR="00A830A9" w:rsidRPr="001A4402" w:rsidRDefault="00A830A9" w:rsidP="001A4402">
      <w:pPr>
        <w:widowControl/>
        <w:spacing w:line="315" w:lineRule="atLeast"/>
        <w:ind w:firstLine="420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sectPr w:rsidR="00A830A9" w:rsidRPr="001A4402" w:rsidSect="00793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25" w:rsidRDefault="00742C25"/>
  </w:endnote>
  <w:endnote w:type="continuationSeparator" w:id="0">
    <w:p w:rsidR="00742C25" w:rsidRDefault="00742C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25" w:rsidRDefault="00742C25"/>
  </w:footnote>
  <w:footnote w:type="continuationSeparator" w:id="0">
    <w:p w:rsidR="00742C25" w:rsidRDefault="00742C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E50"/>
    <w:rsid w:val="00043708"/>
    <w:rsid w:val="00117CAD"/>
    <w:rsid w:val="001A4402"/>
    <w:rsid w:val="00246DCA"/>
    <w:rsid w:val="00311ABC"/>
    <w:rsid w:val="0031417D"/>
    <w:rsid w:val="003810C0"/>
    <w:rsid w:val="0041226C"/>
    <w:rsid w:val="004513AE"/>
    <w:rsid w:val="00496464"/>
    <w:rsid w:val="004F2418"/>
    <w:rsid w:val="00515381"/>
    <w:rsid w:val="00536DD8"/>
    <w:rsid w:val="005E0199"/>
    <w:rsid w:val="00642E4C"/>
    <w:rsid w:val="00696808"/>
    <w:rsid w:val="006F28E7"/>
    <w:rsid w:val="00742C25"/>
    <w:rsid w:val="00793868"/>
    <w:rsid w:val="007A6F1A"/>
    <w:rsid w:val="007D0BB3"/>
    <w:rsid w:val="00831280"/>
    <w:rsid w:val="00887997"/>
    <w:rsid w:val="008C2EB1"/>
    <w:rsid w:val="008D7902"/>
    <w:rsid w:val="009F740D"/>
    <w:rsid w:val="00A830A9"/>
    <w:rsid w:val="00B04115"/>
    <w:rsid w:val="00B94343"/>
    <w:rsid w:val="00BB4A71"/>
    <w:rsid w:val="00BF0EFF"/>
    <w:rsid w:val="00C41E27"/>
    <w:rsid w:val="00C534CB"/>
    <w:rsid w:val="00C95A32"/>
    <w:rsid w:val="00D870F9"/>
    <w:rsid w:val="00EE399B"/>
    <w:rsid w:val="00FC19E3"/>
    <w:rsid w:val="00FE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6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9680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9680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6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96808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A6F1A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8C2E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C2E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42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42E4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42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42E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3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3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fun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4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</dc:creator>
  <cp:keywords/>
  <dc:description/>
  <cp:lastModifiedBy>ZHONGM</cp:lastModifiedBy>
  <cp:revision>2</cp:revision>
  <dcterms:created xsi:type="dcterms:W3CDTF">2023-08-27T16:01:00Z</dcterms:created>
  <dcterms:modified xsi:type="dcterms:W3CDTF">2023-08-27T16:01:00Z</dcterms:modified>
</cp:coreProperties>
</file>