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61" w:rsidRDefault="00A025E4">
      <w:pPr>
        <w:spacing w:after="120"/>
        <w:ind w:firstLineChars="100" w:firstLine="301"/>
        <w:jc w:val="center"/>
        <w:rPr>
          <w:rFonts w:ascii="宋体"/>
          <w:b/>
          <w:sz w:val="30"/>
          <w:szCs w:val="30"/>
        </w:rPr>
      </w:pPr>
      <w:r>
        <w:rPr>
          <w:rFonts w:ascii="宋体" w:hint="eastAsia"/>
          <w:b/>
          <w:sz w:val="30"/>
          <w:szCs w:val="30"/>
        </w:rPr>
        <w:t>关于民生加银鑫元纯债债券型证券投资基金开展赎回费率优惠活动的公告</w:t>
      </w:r>
    </w:p>
    <w:p w:rsidR="00115C61" w:rsidRDefault="00A025E4">
      <w:pPr>
        <w:spacing w:line="360" w:lineRule="auto"/>
        <w:ind w:firstLineChars="200" w:firstLine="480"/>
        <w:rPr>
          <w:rFonts w:ascii="宋体"/>
          <w:sz w:val="24"/>
          <w:szCs w:val="24"/>
        </w:rPr>
      </w:pPr>
      <w:r>
        <w:rPr>
          <w:rFonts w:ascii="宋体" w:hint="eastAsia"/>
          <w:sz w:val="24"/>
          <w:szCs w:val="24"/>
        </w:rPr>
        <w:t>根据相关法律法规和基金合同有关基金赎回费率调整的规定，民生加银基金管理有限公司（以下简称“本公司”）决定对民生加银鑫元纯债债券型证券投资基金（以下简称“本基金”）的投资者进行赎回费率优惠。具体安排如下：</w:t>
      </w:r>
    </w:p>
    <w:p w:rsidR="00115C61" w:rsidRDefault="00A025E4">
      <w:pPr>
        <w:spacing w:line="360" w:lineRule="auto"/>
        <w:ind w:firstLineChars="200" w:firstLine="480"/>
        <w:rPr>
          <w:rFonts w:ascii="宋体"/>
          <w:sz w:val="24"/>
          <w:szCs w:val="24"/>
        </w:rPr>
      </w:pPr>
      <w:r>
        <w:rPr>
          <w:rFonts w:ascii="宋体" w:hint="eastAsia"/>
          <w:sz w:val="24"/>
          <w:szCs w:val="24"/>
        </w:rPr>
        <w:t>一、适用基金</w:t>
      </w:r>
    </w:p>
    <w:p w:rsidR="00115C61" w:rsidRDefault="00A025E4">
      <w:pPr>
        <w:spacing w:line="360" w:lineRule="auto"/>
        <w:ind w:firstLineChars="200" w:firstLine="480"/>
        <w:rPr>
          <w:rFonts w:ascii="宋体"/>
          <w:sz w:val="24"/>
          <w:szCs w:val="24"/>
        </w:rPr>
      </w:pPr>
      <w:r>
        <w:rPr>
          <w:rFonts w:ascii="宋体" w:hint="eastAsia"/>
          <w:sz w:val="24"/>
          <w:szCs w:val="24"/>
        </w:rPr>
        <w:t>民生加银鑫元纯债债券型证券投资基金（A类份额基金代码：</w:t>
      </w:r>
      <w:r>
        <w:rPr>
          <w:rFonts w:ascii="宋体"/>
          <w:sz w:val="24"/>
          <w:szCs w:val="24"/>
        </w:rPr>
        <w:t>003656，C</w:t>
      </w:r>
      <w:r>
        <w:rPr>
          <w:rFonts w:ascii="宋体" w:hint="eastAsia"/>
          <w:sz w:val="24"/>
          <w:szCs w:val="24"/>
        </w:rPr>
        <w:t>类份额基金代码：0036</w:t>
      </w:r>
      <w:r>
        <w:rPr>
          <w:rFonts w:ascii="宋体"/>
          <w:sz w:val="24"/>
          <w:szCs w:val="24"/>
        </w:rPr>
        <w:t>57</w:t>
      </w:r>
      <w:r>
        <w:rPr>
          <w:rFonts w:ascii="宋体" w:hint="eastAsia"/>
          <w:sz w:val="24"/>
          <w:szCs w:val="24"/>
        </w:rPr>
        <w:t>）</w:t>
      </w:r>
    </w:p>
    <w:p w:rsidR="00115C61" w:rsidRDefault="00A025E4">
      <w:pPr>
        <w:spacing w:line="360" w:lineRule="auto"/>
        <w:ind w:firstLineChars="200" w:firstLine="480"/>
        <w:rPr>
          <w:rFonts w:ascii="宋体"/>
          <w:sz w:val="24"/>
          <w:szCs w:val="24"/>
        </w:rPr>
      </w:pPr>
      <w:r>
        <w:rPr>
          <w:rFonts w:ascii="宋体" w:hint="eastAsia"/>
          <w:sz w:val="24"/>
          <w:szCs w:val="24"/>
        </w:rPr>
        <w:t>二、适用渠道</w:t>
      </w:r>
    </w:p>
    <w:p w:rsidR="00115C61" w:rsidRDefault="00A025E4" w:rsidP="00A025E4">
      <w:pPr>
        <w:spacing w:line="360" w:lineRule="auto"/>
        <w:ind w:firstLine="476"/>
        <w:rPr>
          <w:rFonts w:ascii="宋体"/>
          <w:sz w:val="24"/>
          <w:szCs w:val="24"/>
        </w:rPr>
      </w:pPr>
      <w:r>
        <w:rPr>
          <w:rFonts w:ascii="宋体" w:hint="eastAsia"/>
          <w:sz w:val="24"/>
          <w:szCs w:val="24"/>
        </w:rPr>
        <w:t>民生加银基金直销柜台、中国邮政储蓄银行股份有限公司、中信银行股份有限公司。</w:t>
      </w:r>
    </w:p>
    <w:p w:rsidR="00115C61" w:rsidRDefault="00A025E4">
      <w:pPr>
        <w:spacing w:line="360" w:lineRule="auto"/>
        <w:ind w:firstLineChars="200" w:firstLine="480"/>
        <w:rPr>
          <w:rFonts w:ascii="宋体"/>
          <w:sz w:val="24"/>
          <w:szCs w:val="24"/>
        </w:rPr>
      </w:pPr>
      <w:r>
        <w:rPr>
          <w:rFonts w:ascii="宋体" w:hint="eastAsia"/>
          <w:sz w:val="24"/>
          <w:szCs w:val="24"/>
        </w:rPr>
        <w:t>除上述销售机构外，本次优惠活动暂不适用本基金其他销售渠道。</w:t>
      </w:r>
    </w:p>
    <w:p w:rsidR="00115C61" w:rsidRDefault="00A025E4">
      <w:pPr>
        <w:spacing w:line="360" w:lineRule="auto"/>
        <w:ind w:firstLineChars="200" w:firstLine="480"/>
        <w:rPr>
          <w:rFonts w:ascii="宋体"/>
          <w:sz w:val="24"/>
          <w:szCs w:val="24"/>
        </w:rPr>
      </w:pPr>
      <w:r>
        <w:rPr>
          <w:rFonts w:ascii="宋体" w:hint="eastAsia"/>
          <w:sz w:val="24"/>
          <w:szCs w:val="24"/>
        </w:rPr>
        <w:t>三、优惠期间</w:t>
      </w:r>
    </w:p>
    <w:p w:rsidR="00115C61" w:rsidRDefault="00A025E4">
      <w:pPr>
        <w:spacing w:line="360" w:lineRule="auto"/>
        <w:ind w:firstLineChars="200" w:firstLine="480"/>
        <w:rPr>
          <w:rFonts w:ascii="宋体"/>
          <w:sz w:val="24"/>
          <w:szCs w:val="24"/>
        </w:rPr>
      </w:pPr>
      <w:r>
        <w:rPr>
          <w:rFonts w:ascii="宋体" w:hint="eastAsia"/>
          <w:sz w:val="24"/>
          <w:szCs w:val="24"/>
        </w:rPr>
        <w:t>自20</w:t>
      </w:r>
      <w:r>
        <w:rPr>
          <w:rFonts w:ascii="宋体"/>
          <w:sz w:val="24"/>
          <w:szCs w:val="24"/>
        </w:rPr>
        <w:t>2</w:t>
      </w:r>
      <w:r>
        <w:rPr>
          <w:rFonts w:ascii="宋体" w:hint="eastAsia"/>
          <w:sz w:val="24"/>
          <w:szCs w:val="24"/>
        </w:rPr>
        <w:t>3年8月</w:t>
      </w:r>
      <w:r w:rsidR="004718C7">
        <w:rPr>
          <w:rFonts w:ascii="宋体" w:hint="eastAsia"/>
          <w:sz w:val="24"/>
          <w:szCs w:val="24"/>
        </w:rPr>
        <w:t>29</w:t>
      </w:r>
      <w:r>
        <w:rPr>
          <w:rFonts w:ascii="宋体" w:hint="eastAsia"/>
          <w:sz w:val="24"/>
          <w:szCs w:val="24"/>
        </w:rPr>
        <w:t>日至</w:t>
      </w:r>
      <w:r>
        <w:rPr>
          <w:rFonts w:ascii="宋体"/>
          <w:sz w:val="24"/>
          <w:szCs w:val="24"/>
        </w:rPr>
        <w:t>2023</w:t>
      </w:r>
      <w:r>
        <w:rPr>
          <w:rFonts w:ascii="宋体" w:hint="eastAsia"/>
          <w:sz w:val="24"/>
          <w:szCs w:val="24"/>
        </w:rPr>
        <w:t>年9月25日。</w:t>
      </w:r>
    </w:p>
    <w:p w:rsidR="00115C61" w:rsidRDefault="00A025E4">
      <w:pPr>
        <w:spacing w:line="360" w:lineRule="auto"/>
        <w:ind w:firstLineChars="200" w:firstLine="480"/>
        <w:rPr>
          <w:rFonts w:ascii="宋体"/>
          <w:sz w:val="24"/>
          <w:szCs w:val="24"/>
        </w:rPr>
      </w:pPr>
      <w:r>
        <w:rPr>
          <w:rFonts w:ascii="宋体" w:hint="eastAsia"/>
          <w:sz w:val="24"/>
          <w:szCs w:val="24"/>
        </w:rPr>
        <w:t>四、费率优惠情况</w:t>
      </w:r>
    </w:p>
    <w:p w:rsidR="00115C61" w:rsidRDefault="00A025E4">
      <w:pPr>
        <w:spacing w:line="360" w:lineRule="auto"/>
        <w:ind w:firstLineChars="200" w:firstLine="480"/>
        <w:rPr>
          <w:rFonts w:ascii="宋体"/>
          <w:sz w:val="24"/>
          <w:szCs w:val="24"/>
        </w:rPr>
      </w:pPr>
      <w:r>
        <w:rPr>
          <w:rFonts w:ascii="宋体" w:hint="eastAsia"/>
          <w:sz w:val="24"/>
          <w:szCs w:val="24"/>
        </w:rPr>
        <w:t>优惠活动期间，凡通过上述销售机构申请赎回本基金的投资者，在赎回时，赎回费享有如下优惠：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6"/>
        <w:gridCol w:w="2765"/>
        <w:gridCol w:w="2765"/>
      </w:tblGrid>
      <w:tr w:rsidR="00115C61">
        <w:tc>
          <w:tcPr>
            <w:tcW w:w="2766"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hint="eastAsia"/>
                <w:sz w:val="24"/>
                <w:szCs w:val="24"/>
              </w:rPr>
              <w:t>持有基金时间</w:t>
            </w:r>
            <w:r>
              <w:rPr>
                <w:rFonts w:ascii="宋体"/>
                <w:sz w:val="24"/>
                <w:szCs w:val="24"/>
              </w:rPr>
              <w:t>T</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hint="eastAsia"/>
                <w:sz w:val="24"/>
                <w:szCs w:val="24"/>
              </w:rPr>
              <w:t>原赎回费率</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hint="eastAsia"/>
                <w:sz w:val="24"/>
                <w:szCs w:val="24"/>
              </w:rPr>
              <w:t>优惠期间赎回费率</w:t>
            </w:r>
          </w:p>
        </w:tc>
      </w:tr>
      <w:tr w:rsidR="00115C61">
        <w:tc>
          <w:tcPr>
            <w:tcW w:w="2766"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sz w:val="24"/>
                <w:szCs w:val="24"/>
              </w:rPr>
              <w:t>T</w:t>
            </w:r>
            <w:r>
              <w:rPr>
                <w:rFonts w:ascii="宋体" w:hint="eastAsia"/>
                <w:sz w:val="24"/>
                <w:szCs w:val="24"/>
              </w:rPr>
              <w:t>＜</w:t>
            </w:r>
            <w:r>
              <w:rPr>
                <w:rFonts w:ascii="宋体"/>
                <w:sz w:val="24"/>
                <w:szCs w:val="24"/>
              </w:rPr>
              <w:t>7</w:t>
            </w:r>
            <w:r>
              <w:rPr>
                <w:rFonts w:ascii="宋体" w:hint="eastAsia"/>
                <w:sz w:val="24"/>
                <w:szCs w:val="24"/>
              </w:rPr>
              <w:t>天</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sz w:val="24"/>
                <w:szCs w:val="24"/>
              </w:rPr>
              <w:t>1.50%</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hint="eastAsia"/>
                <w:sz w:val="24"/>
                <w:szCs w:val="24"/>
              </w:rPr>
              <w:t>不优惠</w:t>
            </w:r>
          </w:p>
        </w:tc>
      </w:tr>
      <w:tr w:rsidR="00115C61">
        <w:tc>
          <w:tcPr>
            <w:tcW w:w="2766"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sz w:val="24"/>
                <w:szCs w:val="24"/>
              </w:rPr>
              <w:t>7天</w:t>
            </w:r>
            <w:r>
              <w:rPr>
                <w:rFonts w:ascii="宋体" w:hint="eastAsia"/>
                <w:sz w:val="24"/>
                <w:szCs w:val="24"/>
              </w:rPr>
              <w:t>≤</w:t>
            </w:r>
            <w:r>
              <w:rPr>
                <w:rFonts w:ascii="宋体"/>
                <w:sz w:val="24"/>
                <w:szCs w:val="24"/>
              </w:rPr>
              <w:t>T</w:t>
            </w:r>
            <w:r>
              <w:rPr>
                <w:rFonts w:ascii="宋体" w:hint="eastAsia"/>
                <w:sz w:val="24"/>
                <w:szCs w:val="24"/>
              </w:rPr>
              <w:t>＜</w:t>
            </w:r>
            <w:r>
              <w:rPr>
                <w:rFonts w:ascii="宋体"/>
                <w:sz w:val="24"/>
                <w:szCs w:val="24"/>
              </w:rPr>
              <w:t>29天</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sz w:val="24"/>
                <w:szCs w:val="24"/>
              </w:rPr>
              <w:t>0.</w:t>
            </w:r>
            <w:r>
              <w:rPr>
                <w:rFonts w:ascii="宋体" w:hint="eastAsia"/>
                <w:sz w:val="24"/>
                <w:szCs w:val="24"/>
              </w:rPr>
              <w:t>10</w:t>
            </w:r>
            <w:r>
              <w:rPr>
                <w:rFonts w:ascii="宋体"/>
                <w:sz w:val="24"/>
                <w:szCs w:val="24"/>
              </w:rPr>
              <w:t>%</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sz w:val="24"/>
                <w:szCs w:val="24"/>
              </w:rPr>
              <w:t>0.</w:t>
            </w:r>
            <w:r>
              <w:rPr>
                <w:rFonts w:ascii="宋体" w:hint="eastAsia"/>
                <w:sz w:val="24"/>
                <w:szCs w:val="24"/>
              </w:rPr>
              <w:t>025</w:t>
            </w:r>
            <w:r>
              <w:rPr>
                <w:rFonts w:ascii="宋体"/>
                <w:sz w:val="24"/>
                <w:szCs w:val="24"/>
              </w:rPr>
              <w:t>%</w:t>
            </w:r>
          </w:p>
        </w:tc>
      </w:tr>
      <w:tr w:rsidR="00115C61">
        <w:tc>
          <w:tcPr>
            <w:tcW w:w="2766"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sz w:val="24"/>
                <w:szCs w:val="24"/>
              </w:rPr>
              <w:t>29天</w:t>
            </w:r>
            <w:r>
              <w:rPr>
                <w:rFonts w:ascii="宋体" w:hint="eastAsia"/>
                <w:sz w:val="24"/>
                <w:szCs w:val="24"/>
              </w:rPr>
              <w:t>≤T</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sz w:val="24"/>
                <w:szCs w:val="24"/>
              </w:rPr>
              <w:t>0.00%</w:t>
            </w:r>
          </w:p>
        </w:tc>
        <w:tc>
          <w:tcPr>
            <w:tcW w:w="2765" w:type="dxa"/>
            <w:tcBorders>
              <w:top w:val="single" w:sz="4" w:space="0" w:color="auto"/>
              <w:left w:val="single" w:sz="4" w:space="0" w:color="auto"/>
              <w:bottom w:val="single" w:sz="4" w:space="0" w:color="auto"/>
              <w:right w:val="single" w:sz="4" w:space="0" w:color="auto"/>
            </w:tcBorders>
          </w:tcPr>
          <w:p w:rsidR="00115C61" w:rsidRDefault="00A025E4">
            <w:pPr>
              <w:spacing w:line="276" w:lineRule="auto"/>
              <w:jc w:val="center"/>
              <w:rPr>
                <w:rFonts w:ascii="宋体"/>
                <w:sz w:val="24"/>
                <w:szCs w:val="24"/>
              </w:rPr>
            </w:pPr>
            <w:r>
              <w:rPr>
                <w:rFonts w:ascii="宋体" w:hint="eastAsia"/>
                <w:sz w:val="24"/>
                <w:szCs w:val="24"/>
              </w:rPr>
              <w:t>不优惠</w:t>
            </w:r>
          </w:p>
        </w:tc>
      </w:tr>
    </w:tbl>
    <w:p w:rsidR="00115C61" w:rsidRDefault="00A025E4">
      <w:pPr>
        <w:spacing w:line="360" w:lineRule="auto"/>
        <w:ind w:firstLineChars="200" w:firstLine="480"/>
        <w:rPr>
          <w:rFonts w:ascii="宋体"/>
          <w:sz w:val="24"/>
          <w:szCs w:val="24"/>
        </w:rPr>
      </w:pPr>
      <w:r>
        <w:rPr>
          <w:rFonts w:ascii="宋体" w:hint="eastAsia"/>
          <w:sz w:val="24"/>
          <w:szCs w:val="24"/>
        </w:rPr>
        <w:t>赎回费用由赎回基金份额的基金份额持有人承担，在基金份额持有人赎回基金份额时收取。本次优惠后的赎回费将满足不低于按原费率计算的赎回总额应归入基金资产部分的要求。此次费率优惠不会对基金份额持有人利益造成不利影响。本次活动只适用于在优惠活动期限内，通过上述销售机构赎回本基金基金份额的投资者，不适用于基金份额的转换转出业务。</w:t>
      </w:r>
    </w:p>
    <w:p w:rsidR="00115C61" w:rsidRDefault="00A025E4">
      <w:pPr>
        <w:spacing w:line="360" w:lineRule="auto"/>
        <w:ind w:firstLineChars="200" w:firstLine="480"/>
        <w:rPr>
          <w:rFonts w:ascii="宋体"/>
          <w:sz w:val="24"/>
          <w:szCs w:val="24"/>
        </w:rPr>
      </w:pPr>
      <w:r>
        <w:rPr>
          <w:rFonts w:ascii="宋体" w:hint="eastAsia"/>
          <w:sz w:val="24"/>
          <w:szCs w:val="24"/>
        </w:rPr>
        <w:t>五、重要提示</w:t>
      </w:r>
    </w:p>
    <w:p w:rsidR="00115C61" w:rsidRDefault="00A025E4">
      <w:pPr>
        <w:spacing w:line="360" w:lineRule="auto"/>
        <w:ind w:firstLineChars="200" w:firstLine="480"/>
        <w:rPr>
          <w:rFonts w:ascii="宋体"/>
          <w:sz w:val="24"/>
          <w:szCs w:val="24"/>
        </w:rPr>
      </w:pPr>
      <w:r>
        <w:rPr>
          <w:rFonts w:ascii="宋体" w:hint="eastAsia"/>
          <w:sz w:val="24"/>
          <w:szCs w:val="24"/>
        </w:rPr>
        <w:t>1、本公告的最终解释权归民生加银基金管理有限公司所有。</w:t>
      </w:r>
    </w:p>
    <w:p w:rsidR="00115C61" w:rsidRDefault="00A025E4">
      <w:pPr>
        <w:spacing w:line="360" w:lineRule="auto"/>
        <w:ind w:firstLineChars="200" w:firstLine="480"/>
        <w:rPr>
          <w:rFonts w:ascii="宋体"/>
          <w:sz w:val="24"/>
          <w:szCs w:val="24"/>
        </w:rPr>
      </w:pPr>
      <w:r>
        <w:rPr>
          <w:rFonts w:ascii="宋体" w:hint="eastAsia"/>
          <w:sz w:val="24"/>
          <w:szCs w:val="24"/>
        </w:rPr>
        <w:t>2、投资者可通过以下途径咨询详情：</w:t>
      </w:r>
    </w:p>
    <w:p w:rsidR="00115C61" w:rsidRDefault="00A025E4">
      <w:pPr>
        <w:spacing w:line="360" w:lineRule="auto"/>
        <w:ind w:firstLineChars="200" w:firstLine="480"/>
        <w:rPr>
          <w:rFonts w:ascii="宋体"/>
          <w:sz w:val="24"/>
          <w:szCs w:val="24"/>
        </w:rPr>
      </w:pPr>
      <w:r>
        <w:rPr>
          <w:rFonts w:ascii="宋体" w:hint="eastAsia"/>
          <w:sz w:val="24"/>
          <w:szCs w:val="24"/>
        </w:rPr>
        <w:lastRenderedPageBreak/>
        <w:t>民生加银基金管理有限公司</w:t>
      </w:r>
    </w:p>
    <w:p w:rsidR="00115C61" w:rsidRDefault="00A025E4">
      <w:pPr>
        <w:spacing w:line="360" w:lineRule="auto"/>
        <w:ind w:firstLineChars="200" w:firstLine="480"/>
        <w:rPr>
          <w:rFonts w:ascii="宋体"/>
          <w:sz w:val="24"/>
          <w:szCs w:val="24"/>
        </w:rPr>
      </w:pPr>
      <w:r>
        <w:rPr>
          <w:rFonts w:ascii="宋体" w:hint="eastAsia"/>
          <w:sz w:val="24"/>
          <w:szCs w:val="24"/>
        </w:rPr>
        <w:t>客服热线：400-8888-388（免长话费）</w:t>
      </w:r>
    </w:p>
    <w:p w:rsidR="00115C61" w:rsidRDefault="00A025E4">
      <w:pPr>
        <w:spacing w:line="360" w:lineRule="auto"/>
        <w:ind w:firstLineChars="200" w:firstLine="480"/>
        <w:rPr>
          <w:rFonts w:ascii="宋体"/>
          <w:sz w:val="24"/>
          <w:szCs w:val="24"/>
        </w:rPr>
      </w:pPr>
      <w:r>
        <w:rPr>
          <w:rFonts w:ascii="宋体" w:hint="eastAsia"/>
          <w:sz w:val="24"/>
          <w:szCs w:val="24"/>
        </w:rPr>
        <w:t>公司网址：www.msjyfund.com.cn</w:t>
      </w:r>
    </w:p>
    <w:p w:rsidR="00115C61" w:rsidRDefault="00A025E4">
      <w:pPr>
        <w:spacing w:line="360" w:lineRule="auto"/>
        <w:ind w:firstLineChars="200" w:firstLine="480"/>
        <w:rPr>
          <w:rFonts w:ascii="宋体"/>
          <w:sz w:val="24"/>
          <w:szCs w:val="24"/>
        </w:rPr>
      </w:pPr>
      <w:r>
        <w:rPr>
          <w:rFonts w:ascii="宋体" w:hint="eastAsia"/>
          <w:sz w:val="24"/>
          <w:szCs w:val="24"/>
        </w:rPr>
        <w:t>3、风险提示</w:t>
      </w:r>
    </w:p>
    <w:p w:rsidR="00115C61" w:rsidRDefault="00A025E4">
      <w:pPr>
        <w:spacing w:line="360" w:lineRule="auto"/>
        <w:ind w:firstLineChars="200" w:firstLine="482"/>
        <w:rPr>
          <w:rFonts w:ascii="宋体"/>
          <w:b/>
          <w:sz w:val="24"/>
          <w:szCs w:val="24"/>
        </w:rPr>
      </w:pPr>
      <w:r>
        <w:rPr>
          <w:rFonts w:ascii="宋体" w:hint="eastAsia"/>
          <w:b/>
          <w:sz w:val="24"/>
          <w:szCs w:val="24"/>
        </w:rPr>
        <w:t>基金管理人承诺以诚实信用、勤勉尽责的原则管理和运用基金资产，但不保证基金一定盈利，也不保证最低收益。基金的过往业绩及其净值高低并不预示其未来业绩表现，基金管理人管理的其他基金的业绩也不构成对本基金业绩表现的保证。投资者投资于基金前应认真阅读基金的基金合同和招募说明书等资料，了解所投资基金的风险收益特征，并根据自身情况购买与本人风险承受能力相匹配的产品。敬请投资者注意投资风险。</w:t>
      </w:r>
    </w:p>
    <w:p w:rsidR="00115C61" w:rsidRDefault="00A025E4">
      <w:pPr>
        <w:spacing w:line="360" w:lineRule="auto"/>
        <w:ind w:firstLineChars="200" w:firstLine="480"/>
        <w:rPr>
          <w:rFonts w:ascii="宋体"/>
          <w:sz w:val="24"/>
          <w:szCs w:val="24"/>
        </w:rPr>
      </w:pPr>
      <w:r>
        <w:rPr>
          <w:rFonts w:ascii="宋体" w:hint="eastAsia"/>
          <w:sz w:val="24"/>
          <w:szCs w:val="24"/>
        </w:rPr>
        <w:t>特此公告。</w:t>
      </w:r>
    </w:p>
    <w:p w:rsidR="00115C61" w:rsidRDefault="00115C61">
      <w:pPr>
        <w:spacing w:line="360" w:lineRule="auto"/>
        <w:ind w:firstLineChars="1700" w:firstLine="4080"/>
        <w:rPr>
          <w:rFonts w:ascii="宋体"/>
          <w:sz w:val="24"/>
          <w:szCs w:val="24"/>
        </w:rPr>
      </w:pPr>
    </w:p>
    <w:p w:rsidR="00115C61" w:rsidRDefault="00115C61">
      <w:pPr>
        <w:spacing w:line="360" w:lineRule="auto"/>
        <w:ind w:firstLineChars="1700" w:firstLine="4080"/>
        <w:rPr>
          <w:rFonts w:ascii="宋体"/>
          <w:sz w:val="24"/>
          <w:szCs w:val="24"/>
        </w:rPr>
      </w:pPr>
    </w:p>
    <w:p w:rsidR="00115C61" w:rsidRDefault="00A025E4">
      <w:pPr>
        <w:spacing w:line="360" w:lineRule="auto"/>
        <w:ind w:firstLineChars="1700" w:firstLine="4080"/>
        <w:jc w:val="right"/>
        <w:rPr>
          <w:rFonts w:ascii="宋体"/>
          <w:sz w:val="24"/>
          <w:szCs w:val="24"/>
        </w:rPr>
      </w:pPr>
      <w:r>
        <w:rPr>
          <w:rFonts w:ascii="宋体" w:hint="eastAsia"/>
          <w:sz w:val="24"/>
          <w:szCs w:val="24"/>
        </w:rPr>
        <w:t>民生加银基金管理有限公司</w:t>
      </w:r>
    </w:p>
    <w:p w:rsidR="00115C61" w:rsidRDefault="008E4D72">
      <w:pPr>
        <w:spacing w:line="360" w:lineRule="auto"/>
        <w:ind w:right="-9" w:firstLineChars="1800" w:firstLine="4320"/>
        <w:jc w:val="right"/>
        <w:rPr>
          <w:rFonts w:ascii="宋体"/>
          <w:sz w:val="24"/>
          <w:szCs w:val="24"/>
        </w:rPr>
      </w:pPr>
      <w:r>
        <w:rPr>
          <w:rFonts w:ascii="宋体" w:hint="eastAsia"/>
          <w:sz w:val="24"/>
          <w:szCs w:val="24"/>
        </w:rPr>
        <w:t>二〇二三年八月二十</w:t>
      </w:r>
      <w:bookmarkStart w:id="0" w:name="_GoBack"/>
      <w:bookmarkEnd w:id="0"/>
      <w:r>
        <w:rPr>
          <w:rFonts w:ascii="宋体" w:hint="eastAsia"/>
          <w:sz w:val="24"/>
          <w:szCs w:val="24"/>
        </w:rPr>
        <w:t>八</w:t>
      </w:r>
      <w:r w:rsidR="00A025E4">
        <w:rPr>
          <w:rFonts w:ascii="宋体" w:hint="eastAsia"/>
          <w:sz w:val="24"/>
          <w:szCs w:val="24"/>
        </w:rPr>
        <w:t>日</w:t>
      </w:r>
    </w:p>
    <w:sectPr w:rsidR="00115C61" w:rsidSect="007811E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variable"/>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0002AFF" w:usb1="C000247B" w:usb2="00000009" w:usb3="00000000" w:csb0="000001FF" w:csb1="00000000"/>
  </w:font>
  <w:font w:name="等线">
    <w:altName w:val="DengXian"/>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115C61"/>
    <w:rsid w:val="00115C61"/>
    <w:rsid w:val="00470B62"/>
    <w:rsid w:val="004718C7"/>
    <w:rsid w:val="007811E8"/>
    <w:rsid w:val="008E4D72"/>
    <w:rsid w:val="00A0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11E8"/>
    <w:pPr>
      <w:widowControl w:val="0"/>
      <w:jc w:val="both"/>
    </w:pPr>
    <w:rPr>
      <w:rFonts w:ascii="Calibri" w:hAnsi="Calibri" w:cs="Arial"/>
      <w:kern w:val="2"/>
      <w:sz w:val="21"/>
      <w:szCs w:val="22"/>
    </w:rPr>
  </w:style>
  <w:style w:type="paragraph" w:styleId="1">
    <w:name w:val="heading 1"/>
    <w:basedOn w:val="a"/>
    <w:next w:val="a"/>
    <w:rsid w:val="007811E8"/>
    <w:pPr>
      <w:keepNext/>
      <w:keepLines/>
      <w:spacing w:before="340" w:after="330" w:line="578" w:lineRule="auto"/>
      <w:outlineLvl w:val="0"/>
    </w:pPr>
    <w:rPr>
      <w:b/>
      <w:bCs/>
      <w:kern w:val="44"/>
      <w:sz w:val="44"/>
    </w:rPr>
  </w:style>
  <w:style w:type="paragraph" w:styleId="2">
    <w:name w:val="heading 2"/>
    <w:basedOn w:val="a"/>
    <w:next w:val="a"/>
    <w:rsid w:val="007811E8"/>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7811E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11E8"/>
    <w:pPr>
      <w:pBdr>
        <w:bottom w:val="single" w:sz="6" w:space="1" w:color="auto"/>
      </w:pBdr>
      <w:tabs>
        <w:tab w:val="center" w:pos="4153"/>
        <w:tab w:val="right" w:pos="8306"/>
      </w:tabs>
      <w:snapToGrid w:val="0"/>
      <w:jc w:val="center"/>
    </w:pPr>
    <w:rPr>
      <w:sz w:val="18"/>
      <w:szCs w:val="18"/>
    </w:rPr>
  </w:style>
  <w:style w:type="paragraph" w:styleId="a4">
    <w:name w:val="footer"/>
    <w:basedOn w:val="a"/>
    <w:rsid w:val="007811E8"/>
    <w:pPr>
      <w:tabs>
        <w:tab w:val="center" w:pos="4153"/>
        <w:tab w:val="right" w:pos="8306"/>
      </w:tabs>
      <w:snapToGrid w:val="0"/>
      <w:jc w:val="left"/>
    </w:pPr>
    <w:rPr>
      <w:sz w:val="18"/>
      <w:szCs w:val="18"/>
    </w:rPr>
  </w:style>
  <w:style w:type="character" w:styleId="a5">
    <w:name w:val="annotation reference"/>
    <w:basedOn w:val="a0"/>
    <w:rsid w:val="007811E8"/>
    <w:rPr>
      <w:sz w:val="21"/>
      <w:szCs w:val="21"/>
    </w:rPr>
  </w:style>
  <w:style w:type="paragraph" w:styleId="a6">
    <w:name w:val="annotation text"/>
    <w:basedOn w:val="a"/>
    <w:rsid w:val="007811E8"/>
    <w:pPr>
      <w:jc w:val="left"/>
    </w:pPr>
  </w:style>
  <w:style w:type="paragraph" w:styleId="a7">
    <w:name w:val="annotation subject"/>
    <w:basedOn w:val="a6"/>
    <w:next w:val="a6"/>
    <w:rsid w:val="007811E8"/>
    <w:rPr>
      <w:b/>
      <w:bCs/>
    </w:rPr>
  </w:style>
  <w:style w:type="paragraph" w:styleId="a8">
    <w:name w:val="Balloon Text"/>
    <w:basedOn w:val="a"/>
    <w:rsid w:val="007811E8"/>
    <w:rPr>
      <w:sz w:val="18"/>
      <w:szCs w:val="18"/>
    </w:rPr>
  </w:style>
  <w:style w:type="paragraph" w:styleId="a9">
    <w:name w:val="Date"/>
    <w:basedOn w:val="a"/>
    <w:next w:val="a"/>
    <w:rsid w:val="007811E8"/>
    <w:pPr>
      <w:ind w:leftChars="2500" w:left="2500"/>
    </w:pPr>
  </w:style>
  <w:style w:type="paragraph" w:styleId="10">
    <w:name w:val="toc 1"/>
    <w:basedOn w:val="a"/>
    <w:next w:val="a"/>
    <w:autoRedefine/>
    <w:rsid w:val="007811E8"/>
  </w:style>
  <w:style w:type="paragraph" w:styleId="20">
    <w:name w:val="toc 2"/>
    <w:basedOn w:val="a"/>
    <w:next w:val="a"/>
    <w:autoRedefine/>
    <w:rsid w:val="007811E8"/>
    <w:pPr>
      <w:ind w:left="420"/>
    </w:pPr>
  </w:style>
  <w:style w:type="paragraph" w:styleId="30">
    <w:name w:val="toc 3"/>
    <w:basedOn w:val="a"/>
    <w:next w:val="a"/>
    <w:autoRedefine/>
    <w:rsid w:val="007811E8"/>
    <w:pPr>
      <w:ind w:left="840"/>
    </w:pPr>
  </w:style>
  <w:style w:type="paragraph" w:styleId="4">
    <w:name w:val="toc 4"/>
    <w:basedOn w:val="a"/>
    <w:next w:val="a"/>
    <w:autoRedefine/>
    <w:rsid w:val="007811E8"/>
    <w:pPr>
      <w:ind w:left="1260"/>
    </w:pPr>
  </w:style>
  <w:style w:type="paragraph" w:styleId="5">
    <w:name w:val="toc 5"/>
    <w:basedOn w:val="a"/>
    <w:next w:val="a"/>
    <w:autoRedefine/>
    <w:rsid w:val="007811E8"/>
    <w:pPr>
      <w:ind w:left="1680"/>
    </w:pPr>
  </w:style>
  <w:style w:type="paragraph" w:customStyle="1" w:styleId="11">
    <w:name w:val="修订1"/>
    <w:rsid w:val="007811E8"/>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4</DocSecurity>
  <Lines>6</Lines>
  <Paragraphs>1</Paragraphs>
  <ScaleCrop>false</ScaleCrop>
  <Company>Microsoft</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刘广为</dc:creator>
  <cp:lastModifiedBy>ZHONGM</cp:lastModifiedBy>
  <cp:revision>2</cp:revision>
  <dcterms:created xsi:type="dcterms:W3CDTF">2023-08-27T16:00:00Z</dcterms:created>
  <dcterms:modified xsi:type="dcterms:W3CDTF">2023-08-27T16:00:00Z</dcterms:modified>
</cp:coreProperties>
</file>