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FB" w:rsidRDefault="00564665">
      <w:pPr>
        <w:jc w:val="center"/>
        <w:rPr>
          <w:rFonts w:ascii="仿宋" w:eastAsia="仿宋" w:hAnsi="仿宋"/>
          <w:b/>
          <w:bCs/>
          <w:sz w:val="28"/>
          <w:szCs w:val="28"/>
        </w:rPr>
      </w:pPr>
      <w:r>
        <w:rPr>
          <w:rFonts w:ascii="仿宋" w:eastAsia="仿宋" w:hAnsi="仿宋" w:hint="eastAsia"/>
          <w:b/>
          <w:bCs/>
          <w:sz w:val="28"/>
          <w:szCs w:val="28"/>
        </w:rPr>
        <w:t>泰信基金管理有限公司关于旗下部分开放式基金在金元证券股份</w:t>
      </w:r>
    </w:p>
    <w:p w:rsidR="003145FB" w:rsidRDefault="00564665">
      <w:pPr>
        <w:jc w:val="center"/>
        <w:rPr>
          <w:rFonts w:ascii="仿宋" w:eastAsia="仿宋" w:hAnsi="仿宋"/>
          <w:b/>
          <w:bCs/>
          <w:sz w:val="28"/>
          <w:szCs w:val="28"/>
        </w:rPr>
      </w:pPr>
      <w:r>
        <w:rPr>
          <w:rFonts w:ascii="仿宋" w:eastAsia="仿宋" w:hAnsi="仿宋" w:hint="eastAsia"/>
          <w:b/>
          <w:bCs/>
          <w:sz w:val="28"/>
          <w:szCs w:val="28"/>
        </w:rPr>
        <w:t>有限公司参加费率优惠活动的公告</w:t>
      </w:r>
    </w:p>
    <w:p w:rsidR="003145FB" w:rsidRDefault="00564665">
      <w:pPr>
        <w:ind w:firstLineChars="200" w:firstLine="560"/>
        <w:rPr>
          <w:rFonts w:ascii="仿宋" w:eastAsia="仿宋" w:hAnsi="仿宋"/>
          <w:sz w:val="28"/>
          <w:szCs w:val="28"/>
        </w:rPr>
      </w:pPr>
      <w:r>
        <w:rPr>
          <w:rFonts w:ascii="仿宋" w:eastAsia="仿宋" w:hAnsi="仿宋" w:hint="eastAsia"/>
          <w:sz w:val="28"/>
          <w:szCs w:val="28"/>
        </w:rPr>
        <w:t>为更好满足广大投资者的理财需求，经泰信基金管理有限公司（以下简称“本公司”）与金元证券股份有限公司（以下简称“金元证券”）协商一致，自</w:t>
      </w: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25</w:t>
      </w:r>
      <w:r>
        <w:rPr>
          <w:rFonts w:ascii="仿宋" w:eastAsia="仿宋" w:hAnsi="仿宋" w:hint="eastAsia"/>
          <w:sz w:val="28"/>
          <w:szCs w:val="28"/>
        </w:rPr>
        <w:t>日起，本公司旗下部分</w:t>
      </w:r>
      <w:r>
        <w:rPr>
          <w:rFonts w:ascii="仿宋" w:eastAsia="仿宋" w:hAnsi="仿宋" w:hint="eastAsia"/>
          <w:sz w:val="28"/>
          <w:szCs w:val="28"/>
        </w:rPr>
        <w:t>开放式</w:t>
      </w:r>
      <w:r>
        <w:rPr>
          <w:rFonts w:ascii="仿宋" w:eastAsia="仿宋" w:hAnsi="仿宋" w:hint="eastAsia"/>
          <w:sz w:val="28"/>
          <w:szCs w:val="28"/>
        </w:rPr>
        <w:t>基金参加金元证券申购及定期定额投资费率优惠活动。相关业务及优惠方案如下：</w:t>
      </w:r>
    </w:p>
    <w:p w:rsidR="003145FB" w:rsidRDefault="00564665">
      <w:pPr>
        <w:pStyle w:val="a8"/>
        <w:numPr>
          <w:ilvl w:val="0"/>
          <w:numId w:val="1"/>
        </w:numPr>
        <w:ind w:firstLineChars="0"/>
        <w:rPr>
          <w:rFonts w:ascii="仿宋" w:eastAsia="仿宋" w:hAnsi="仿宋"/>
          <w:sz w:val="28"/>
          <w:szCs w:val="28"/>
        </w:rPr>
      </w:pPr>
      <w:r>
        <w:rPr>
          <w:rFonts w:ascii="仿宋" w:eastAsia="仿宋" w:hAnsi="仿宋" w:hint="eastAsia"/>
          <w:sz w:val="28"/>
          <w:szCs w:val="28"/>
        </w:rPr>
        <w:t>适用</w:t>
      </w:r>
      <w:r>
        <w:rPr>
          <w:rFonts w:ascii="仿宋" w:eastAsia="仿宋" w:hAnsi="仿宋" w:hint="eastAsia"/>
          <w:sz w:val="28"/>
          <w:szCs w:val="28"/>
        </w:rPr>
        <w:t>基金</w:t>
      </w:r>
    </w:p>
    <w:tbl>
      <w:tblPr>
        <w:tblW w:w="8280" w:type="dxa"/>
        <w:tblInd w:w="55" w:type="dxa"/>
        <w:tblLook w:val="04A0"/>
      </w:tblPr>
      <w:tblGrid>
        <w:gridCol w:w="762"/>
        <w:gridCol w:w="1170"/>
        <w:gridCol w:w="5192"/>
        <w:gridCol w:w="1156"/>
      </w:tblGrid>
      <w:tr w:rsidR="003145FB">
        <w:trPr>
          <w:trHeight w:val="288"/>
        </w:trPr>
        <w:tc>
          <w:tcPr>
            <w:tcW w:w="762" w:type="dxa"/>
            <w:tcBorders>
              <w:top w:val="single" w:sz="4" w:space="0" w:color="auto"/>
              <w:left w:val="single" w:sz="4" w:space="0" w:color="auto"/>
              <w:bottom w:val="single" w:sz="4" w:space="0" w:color="auto"/>
              <w:right w:val="single" w:sz="4" w:space="0" w:color="auto"/>
            </w:tcBorders>
            <w:shd w:val="clear" w:color="000000" w:fill="C0C0C0"/>
            <w:vAlign w:val="bottom"/>
          </w:tcPr>
          <w:p w:rsidR="003145FB" w:rsidRDefault="00564665">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2"/>
                <w:lang/>
              </w:rPr>
              <w:t>序号</w:t>
            </w:r>
          </w:p>
        </w:tc>
        <w:tc>
          <w:tcPr>
            <w:tcW w:w="1170" w:type="dxa"/>
            <w:tcBorders>
              <w:top w:val="single" w:sz="4" w:space="0" w:color="auto"/>
              <w:left w:val="nil"/>
              <w:bottom w:val="single" w:sz="4" w:space="0" w:color="auto"/>
              <w:right w:val="single" w:sz="4" w:space="0" w:color="auto"/>
            </w:tcBorders>
            <w:shd w:val="clear" w:color="000000" w:fill="C0C0C0"/>
            <w:vAlign w:val="bottom"/>
          </w:tcPr>
          <w:p w:rsidR="003145FB" w:rsidRDefault="00564665">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2"/>
                <w:lang/>
              </w:rPr>
              <w:t>基金代码</w:t>
            </w:r>
          </w:p>
        </w:tc>
        <w:tc>
          <w:tcPr>
            <w:tcW w:w="5192" w:type="dxa"/>
            <w:tcBorders>
              <w:top w:val="single" w:sz="4" w:space="0" w:color="auto"/>
              <w:left w:val="nil"/>
              <w:bottom w:val="single" w:sz="4" w:space="0" w:color="auto"/>
              <w:right w:val="single" w:sz="4" w:space="0" w:color="auto"/>
            </w:tcBorders>
            <w:shd w:val="clear" w:color="000000" w:fill="C0C0C0"/>
            <w:vAlign w:val="bottom"/>
          </w:tcPr>
          <w:p w:rsidR="003145FB" w:rsidRDefault="00564665">
            <w:pPr>
              <w:widowControl/>
              <w:jc w:val="center"/>
              <w:textAlignment w:val="bottom"/>
              <w:rPr>
                <w:rFonts w:ascii="宋体" w:eastAsia="宋体" w:hAnsi="宋体" w:cs="宋体"/>
                <w:color w:val="000000"/>
                <w:kern w:val="0"/>
                <w:sz w:val="22"/>
              </w:rPr>
            </w:pPr>
            <w:r>
              <w:rPr>
                <w:rFonts w:ascii="宋体" w:eastAsia="宋体" w:hAnsi="宋体" w:cs="宋体" w:hint="eastAsia"/>
                <w:color w:val="000000"/>
                <w:kern w:val="0"/>
                <w:sz w:val="22"/>
                <w:lang/>
              </w:rPr>
              <w:t>基金名称</w:t>
            </w:r>
          </w:p>
        </w:tc>
        <w:tc>
          <w:tcPr>
            <w:tcW w:w="1156" w:type="dxa"/>
            <w:tcBorders>
              <w:top w:val="single" w:sz="4" w:space="0" w:color="auto"/>
              <w:left w:val="nil"/>
              <w:bottom w:val="single" w:sz="4" w:space="0" w:color="auto"/>
              <w:right w:val="single" w:sz="4" w:space="0" w:color="auto"/>
            </w:tcBorders>
            <w:shd w:val="clear" w:color="000000" w:fill="C0C0C0"/>
            <w:vAlign w:val="bottom"/>
          </w:tcPr>
          <w:p w:rsidR="003145FB" w:rsidRDefault="00564665">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定投</w:t>
            </w: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1</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000212</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泰信鑫益定期开放债券型证券投资基金（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2</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000213</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泰信鑫益定期开放债券型证券投资基金（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3</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001569</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泰信国策驱动灵活配置混合型证券投资基金</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4</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001970</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泰信鑫选灵活配置混合型证券投资基金（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5</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001978</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泰信互联网</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主题灵活配置混合型证券投资基金</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6</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290001</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泰信天天收益货币市场基金（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564665">
            <w:pPr>
              <w:widowControl/>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已开通</w:t>
            </w: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7</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002234</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泰信天天收益货币市场基金（</w:t>
            </w:r>
            <w:r>
              <w:rPr>
                <w:rFonts w:ascii="宋体" w:eastAsia="宋体" w:hAnsi="宋体" w:cs="宋体" w:hint="eastAsia"/>
                <w:color w:val="000000"/>
                <w:kern w:val="0"/>
                <w:sz w:val="22"/>
                <w:lang/>
              </w:rPr>
              <w:t>B</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8</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290012</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泰信行业精选灵活配置混合型证券投资基金（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9</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003333</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泰信智选成长灵活配置混合型证券投资基金（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10</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004227</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泰信鑫利混合型证券投资基金（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11</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004228</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泰信鑫利混合型证券投资基金（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12</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005535</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泰信竞争优选灵活配置混合型证券投资基金</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等线"/>
                <w:color w:val="000000"/>
                <w:kern w:val="0"/>
                <w:sz w:val="22"/>
                <w:lang/>
              </w:rPr>
            </w:pPr>
            <w:r>
              <w:rPr>
                <w:rFonts w:ascii="等线" w:eastAsia="等线" w:hAnsi="等线" w:cs="等线" w:hint="eastAsia"/>
                <w:color w:val="000000"/>
                <w:kern w:val="0"/>
                <w:sz w:val="22"/>
                <w:lang/>
              </w:rPr>
              <w:t>13</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等线"/>
                <w:color w:val="000000"/>
                <w:kern w:val="0"/>
                <w:sz w:val="22"/>
                <w:lang/>
              </w:rPr>
            </w:pPr>
            <w:r>
              <w:rPr>
                <w:rFonts w:ascii="宋体" w:eastAsia="宋体" w:hAnsi="宋体" w:cs="宋体" w:hint="eastAsia"/>
                <w:color w:val="000000"/>
                <w:kern w:val="0"/>
                <w:sz w:val="22"/>
                <w:lang/>
              </w:rPr>
              <w:t>290002</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等线"/>
                <w:color w:val="000000"/>
                <w:kern w:val="0"/>
                <w:sz w:val="22"/>
                <w:lang/>
              </w:rPr>
            </w:pPr>
            <w:r>
              <w:rPr>
                <w:rFonts w:ascii="宋体" w:eastAsia="宋体" w:hAnsi="宋体" w:cs="宋体" w:hint="eastAsia"/>
                <w:color w:val="000000"/>
                <w:kern w:val="0"/>
                <w:sz w:val="22"/>
                <w:lang/>
              </w:rPr>
              <w:t>泰信先行策略开放式证券投资基金</w:t>
            </w:r>
          </w:p>
        </w:tc>
        <w:tc>
          <w:tcPr>
            <w:tcW w:w="1156"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已开通</w:t>
            </w: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等线"/>
                <w:color w:val="000000"/>
                <w:kern w:val="0"/>
                <w:sz w:val="22"/>
                <w:lang/>
              </w:rPr>
            </w:pPr>
            <w:r>
              <w:rPr>
                <w:rFonts w:ascii="等线" w:eastAsia="等线" w:hAnsi="等线" w:cs="等线" w:hint="eastAsia"/>
                <w:color w:val="000000"/>
                <w:kern w:val="0"/>
                <w:sz w:val="22"/>
                <w:lang/>
              </w:rPr>
              <w:lastRenderedPageBreak/>
              <w:t>14</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等线"/>
                <w:color w:val="000000"/>
                <w:kern w:val="0"/>
                <w:sz w:val="22"/>
                <w:lang/>
              </w:rPr>
            </w:pPr>
            <w:r>
              <w:rPr>
                <w:rFonts w:ascii="宋体" w:eastAsia="宋体" w:hAnsi="宋体" w:cs="宋体" w:hint="eastAsia"/>
                <w:color w:val="000000"/>
                <w:kern w:val="0"/>
                <w:sz w:val="22"/>
                <w:lang/>
              </w:rPr>
              <w:t>290003</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等线"/>
                <w:color w:val="000000"/>
                <w:kern w:val="0"/>
                <w:sz w:val="22"/>
                <w:lang/>
              </w:rPr>
            </w:pPr>
            <w:r>
              <w:rPr>
                <w:rFonts w:ascii="宋体" w:eastAsia="宋体" w:hAnsi="宋体" w:cs="宋体" w:hint="eastAsia"/>
                <w:color w:val="000000"/>
                <w:kern w:val="0"/>
                <w:sz w:val="22"/>
                <w:lang/>
              </w:rPr>
              <w:t>泰信双息双利债券型证券投资基金</w:t>
            </w:r>
          </w:p>
        </w:tc>
        <w:tc>
          <w:tcPr>
            <w:tcW w:w="1156"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已开通</w:t>
            </w: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等线"/>
                <w:color w:val="000000"/>
                <w:kern w:val="0"/>
                <w:sz w:val="22"/>
                <w:lang/>
              </w:rPr>
            </w:pPr>
            <w:r>
              <w:rPr>
                <w:rFonts w:ascii="等线" w:eastAsia="等线" w:hAnsi="等线" w:cs="等线" w:hint="eastAsia"/>
                <w:color w:val="000000"/>
                <w:kern w:val="0"/>
                <w:sz w:val="22"/>
                <w:lang/>
              </w:rPr>
              <w:t>15</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等线"/>
                <w:color w:val="000000"/>
                <w:kern w:val="0"/>
                <w:sz w:val="22"/>
                <w:lang/>
              </w:rPr>
            </w:pPr>
            <w:r>
              <w:rPr>
                <w:rFonts w:ascii="宋体" w:eastAsia="宋体" w:hAnsi="宋体" w:cs="宋体" w:hint="eastAsia"/>
                <w:color w:val="000000"/>
                <w:kern w:val="0"/>
                <w:sz w:val="22"/>
                <w:lang/>
              </w:rPr>
              <w:t>290004</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等线"/>
                <w:color w:val="000000"/>
                <w:kern w:val="0"/>
                <w:sz w:val="22"/>
                <w:lang/>
              </w:rPr>
            </w:pPr>
            <w:r>
              <w:rPr>
                <w:rFonts w:ascii="宋体" w:eastAsia="宋体" w:hAnsi="宋体" w:cs="宋体" w:hint="eastAsia"/>
                <w:color w:val="000000"/>
                <w:kern w:val="0"/>
                <w:sz w:val="22"/>
                <w:lang/>
              </w:rPr>
              <w:t>泰信优质生活混合型证券投资基金</w:t>
            </w:r>
          </w:p>
        </w:tc>
        <w:tc>
          <w:tcPr>
            <w:tcW w:w="1156"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已开通</w:t>
            </w: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等线"/>
                <w:color w:val="000000"/>
                <w:kern w:val="0"/>
                <w:sz w:val="22"/>
                <w:lang/>
              </w:rPr>
            </w:pPr>
            <w:r>
              <w:rPr>
                <w:rFonts w:ascii="等线" w:eastAsia="等线" w:hAnsi="等线" w:cs="等线" w:hint="eastAsia"/>
                <w:color w:val="000000"/>
                <w:kern w:val="0"/>
                <w:sz w:val="22"/>
                <w:lang/>
              </w:rPr>
              <w:t>16</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等线"/>
                <w:color w:val="000000"/>
                <w:kern w:val="0"/>
                <w:sz w:val="22"/>
                <w:lang/>
              </w:rPr>
            </w:pPr>
            <w:r>
              <w:rPr>
                <w:rFonts w:ascii="宋体" w:eastAsia="宋体" w:hAnsi="宋体" w:cs="宋体" w:hint="eastAsia"/>
                <w:color w:val="000000"/>
                <w:kern w:val="0"/>
                <w:sz w:val="22"/>
                <w:lang/>
              </w:rPr>
              <w:t>290006</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等线"/>
                <w:color w:val="000000"/>
                <w:kern w:val="0"/>
                <w:sz w:val="22"/>
                <w:lang/>
              </w:rPr>
            </w:pPr>
            <w:r>
              <w:rPr>
                <w:rFonts w:ascii="宋体" w:eastAsia="宋体" w:hAnsi="宋体" w:cs="宋体" w:hint="eastAsia"/>
                <w:color w:val="000000"/>
                <w:kern w:val="0"/>
                <w:sz w:val="22"/>
                <w:lang/>
              </w:rPr>
              <w:t>泰信蓝筹精选混合型证券投资基金</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等线"/>
                <w:color w:val="000000"/>
                <w:kern w:val="0"/>
                <w:sz w:val="22"/>
                <w:lang/>
              </w:rPr>
            </w:pPr>
            <w:r>
              <w:rPr>
                <w:rFonts w:ascii="等线" w:eastAsia="等线" w:hAnsi="等线" w:cs="等线" w:hint="eastAsia"/>
                <w:color w:val="000000"/>
                <w:kern w:val="0"/>
                <w:sz w:val="22"/>
                <w:lang/>
              </w:rPr>
              <w:t>17</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等线"/>
                <w:color w:val="000000"/>
                <w:kern w:val="0"/>
                <w:sz w:val="22"/>
                <w:lang/>
              </w:rPr>
            </w:pPr>
            <w:r>
              <w:rPr>
                <w:rFonts w:ascii="宋体" w:eastAsia="宋体" w:hAnsi="宋体" w:cs="宋体" w:hint="eastAsia"/>
                <w:color w:val="000000"/>
                <w:kern w:val="0"/>
                <w:sz w:val="22"/>
                <w:lang/>
              </w:rPr>
              <w:t>290007</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等线"/>
                <w:color w:val="000000"/>
                <w:kern w:val="0"/>
                <w:sz w:val="22"/>
                <w:lang/>
              </w:rPr>
            </w:pPr>
            <w:r>
              <w:rPr>
                <w:rFonts w:ascii="宋体" w:eastAsia="宋体" w:hAnsi="宋体" w:cs="宋体" w:hint="eastAsia"/>
                <w:color w:val="000000"/>
                <w:kern w:val="0"/>
                <w:sz w:val="22"/>
                <w:lang/>
              </w:rPr>
              <w:t>泰信增强收益债券型证券投资基金（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18</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291007</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泰信增强收益债券型证券投资基金（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88"/>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等线" w:hint="eastAsia"/>
                <w:color w:val="000000"/>
                <w:kern w:val="0"/>
                <w:sz w:val="22"/>
                <w:lang/>
              </w:rPr>
              <w:t>19</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290008</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泰信发展主题混合型证券投资基金</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宋体" w:hint="eastAsia"/>
                <w:color w:val="000000"/>
                <w:kern w:val="0"/>
                <w:sz w:val="22"/>
              </w:rPr>
              <w:t>20</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290009</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泰信周期回报债券型证券投资基金</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宋体" w:hint="eastAsia"/>
                <w:color w:val="000000"/>
                <w:kern w:val="0"/>
                <w:sz w:val="22"/>
              </w:rPr>
              <w:t>21</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290010</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泰信中证</w:t>
            </w:r>
            <w:r>
              <w:rPr>
                <w:rFonts w:ascii="宋体" w:eastAsia="宋体" w:hAnsi="宋体" w:cs="宋体" w:hint="eastAsia"/>
                <w:color w:val="000000"/>
                <w:kern w:val="0"/>
                <w:sz w:val="22"/>
                <w:lang/>
              </w:rPr>
              <w:t>200</w:t>
            </w:r>
            <w:r>
              <w:rPr>
                <w:rFonts w:ascii="宋体" w:eastAsia="宋体" w:hAnsi="宋体" w:cs="宋体" w:hint="eastAsia"/>
                <w:color w:val="000000"/>
                <w:kern w:val="0"/>
                <w:sz w:val="22"/>
                <w:lang/>
              </w:rPr>
              <w:t>指数证券投资基金</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r w:rsidR="003145FB">
        <w:trPr>
          <w:trHeight w:val="276"/>
        </w:trPr>
        <w:tc>
          <w:tcPr>
            <w:tcW w:w="762" w:type="dxa"/>
            <w:tcBorders>
              <w:top w:val="nil"/>
              <w:left w:val="single" w:sz="4" w:space="0" w:color="auto"/>
              <w:bottom w:val="single" w:sz="4" w:space="0" w:color="auto"/>
              <w:right w:val="single" w:sz="4" w:space="0" w:color="auto"/>
            </w:tcBorders>
            <w:noWrap/>
            <w:vAlign w:val="bottom"/>
          </w:tcPr>
          <w:p w:rsidR="003145FB" w:rsidRDefault="00564665">
            <w:pPr>
              <w:widowControl/>
              <w:jc w:val="center"/>
              <w:textAlignment w:val="bottom"/>
              <w:rPr>
                <w:rFonts w:ascii="等线" w:eastAsia="等线" w:hAnsi="等线" w:cs="宋体"/>
                <w:color w:val="000000"/>
                <w:kern w:val="0"/>
                <w:sz w:val="22"/>
              </w:rPr>
            </w:pPr>
            <w:r>
              <w:rPr>
                <w:rFonts w:ascii="等线" w:eastAsia="等线" w:hAnsi="等线" w:cs="宋体" w:hint="eastAsia"/>
                <w:color w:val="000000"/>
                <w:kern w:val="0"/>
                <w:sz w:val="22"/>
              </w:rPr>
              <w:t>22</w:t>
            </w:r>
          </w:p>
        </w:tc>
        <w:tc>
          <w:tcPr>
            <w:tcW w:w="1170" w:type="dxa"/>
            <w:tcBorders>
              <w:top w:val="nil"/>
              <w:left w:val="nil"/>
              <w:bottom w:val="single" w:sz="4" w:space="0" w:color="auto"/>
              <w:right w:val="single" w:sz="4" w:space="0" w:color="auto"/>
            </w:tcBorders>
            <w:vAlign w:val="center"/>
          </w:tcPr>
          <w:p w:rsidR="003145FB" w:rsidRDefault="00564665">
            <w:pPr>
              <w:widowControl/>
              <w:jc w:val="center"/>
              <w:textAlignment w:val="center"/>
              <w:rPr>
                <w:rFonts w:ascii="等线" w:eastAsia="等线" w:hAnsi="等线" w:cs="宋体"/>
                <w:color w:val="000000"/>
                <w:kern w:val="0"/>
                <w:sz w:val="22"/>
              </w:rPr>
            </w:pPr>
            <w:r>
              <w:rPr>
                <w:rFonts w:ascii="宋体" w:eastAsia="宋体" w:hAnsi="宋体" w:cs="宋体" w:hint="eastAsia"/>
                <w:color w:val="000000"/>
                <w:kern w:val="0"/>
                <w:sz w:val="22"/>
                <w:lang/>
              </w:rPr>
              <w:t>290011</w:t>
            </w:r>
          </w:p>
        </w:tc>
        <w:tc>
          <w:tcPr>
            <w:tcW w:w="5192" w:type="dxa"/>
            <w:tcBorders>
              <w:top w:val="nil"/>
              <w:left w:val="nil"/>
              <w:bottom w:val="single" w:sz="4" w:space="0" w:color="auto"/>
              <w:right w:val="single" w:sz="4" w:space="0" w:color="auto"/>
            </w:tcBorders>
            <w:vAlign w:val="bottom"/>
          </w:tcPr>
          <w:p w:rsidR="003145FB" w:rsidRDefault="00564665">
            <w:pPr>
              <w:widowControl/>
              <w:jc w:val="center"/>
              <w:textAlignment w:val="bottom"/>
              <w:rPr>
                <w:rFonts w:ascii="等线" w:eastAsia="等线" w:hAnsi="等线" w:cs="宋体"/>
                <w:color w:val="000000"/>
                <w:kern w:val="0"/>
                <w:sz w:val="22"/>
              </w:rPr>
            </w:pPr>
            <w:r>
              <w:rPr>
                <w:rFonts w:ascii="宋体" w:eastAsia="宋体" w:hAnsi="宋体" w:cs="宋体" w:hint="eastAsia"/>
                <w:color w:val="000000"/>
                <w:kern w:val="0"/>
                <w:sz w:val="22"/>
                <w:lang/>
              </w:rPr>
              <w:t>泰信中小盘精选混合型证券投资基金</w:t>
            </w:r>
          </w:p>
        </w:tc>
        <w:tc>
          <w:tcPr>
            <w:tcW w:w="1156" w:type="dxa"/>
            <w:tcBorders>
              <w:top w:val="nil"/>
              <w:left w:val="nil"/>
              <w:bottom w:val="single" w:sz="4" w:space="0" w:color="auto"/>
              <w:right w:val="single" w:sz="4" w:space="0" w:color="auto"/>
            </w:tcBorders>
            <w:vAlign w:val="bottom"/>
          </w:tcPr>
          <w:p w:rsidR="003145FB" w:rsidRDefault="003145FB">
            <w:pPr>
              <w:widowControl/>
              <w:jc w:val="center"/>
              <w:textAlignment w:val="bottom"/>
              <w:rPr>
                <w:rFonts w:ascii="宋体" w:eastAsia="宋体" w:hAnsi="宋体" w:cs="宋体"/>
                <w:color w:val="000000"/>
                <w:kern w:val="0"/>
                <w:sz w:val="22"/>
                <w:lang/>
              </w:rPr>
            </w:pPr>
          </w:p>
        </w:tc>
      </w:tr>
    </w:tbl>
    <w:p w:rsidR="003145FB" w:rsidRDefault="00564665">
      <w:pPr>
        <w:ind w:firstLineChars="200" w:firstLine="560"/>
        <w:rPr>
          <w:rFonts w:ascii="仿宋" w:eastAsia="仿宋" w:hAnsi="仿宋"/>
          <w:sz w:val="28"/>
          <w:szCs w:val="28"/>
        </w:rPr>
      </w:pPr>
      <w:r>
        <w:rPr>
          <w:rFonts w:ascii="仿宋" w:eastAsia="仿宋" w:hAnsi="仿宋" w:hint="eastAsia"/>
          <w:sz w:val="28"/>
          <w:szCs w:val="28"/>
        </w:rPr>
        <w:t>二、费率优惠</w:t>
      </w:r>
    </w:p>
    <w:p w:rsidR="003145FB" w:rsidRDefault="00564665">
      <w:pPr>
        <w:ind w:firstLineChars="200" w:firstLine="560"/>
        <w:rPr>
          <w:rFonts w:ascii="仿宋" w:eastAsia="仿宋" w:hAnsi="仿宋"/>
          <w:sz w:val="28"/>
          <w:szCs w:val="28"/>
        </w:rPr>
      </w:pPr>
      <w:r>
        <w:rPr>
          <w:rFonts w:ascii="仿宋" w:eastAsia="仿宋" w:hAnsi="仿宋" w:hint="eastAsia"/>
          <w:sz w:val="28"/>
          <w:szCs w:val="28"/>
        </w:rPr>
        <w:t>活动期间，投资者通过金元证券</w:t>
      </w:r>
      <w:r>
        <w:rPr>
          <w:rFonts w:ascii="仿宋" w:eastAsia="仿宋" w:hAnsi="仿宋" w:cs="Arial" w:hint="eastAsia"/>
          <w:kern w:val="0"/>
          <w:sz w:val="28"/>
          <w:szCs w:val="28"/>
        </w:rPr>
        <w:t>申购、定投</w:t>
      </w:r>
      <w:r>
        <w:rPr>
          <w:rFonts w:ascii="仿宋" w:eastAsia="仿宋" w:hAnsi="仿宋" w:hint="eastAsia"/>
          <w:sz w:val="28"/>
          <w:szCs w:val="28"/>
        </w:rPr>
        <w:t>上述基金（限前端收费模式），享有费率最低</w:t>
      </w:r>
      <w:r>
        <w:rPr>
          <w:rFonts w:ascii="仿宋" w:eastAsia="仿宋" w:hAnsi="仿宋" w:hint="eastAsia"/>
          <w:sz w:val="28"/>
          <w:szCs w:val="28"/>
        </w:rPr>
        <w:t>1</w:t>
      </w:r>
      <w:r>
        <w:rPr>
          <w:rFonts w:ascii="仿宋" w:eastAsia="仿宋" w:hAnsi="仿宋" w:hint="eastAsia"/>
          <w:sz w:val="28"/>
          <w:szCs w:val="28"/>
        </w:rPr>
        <w:t>折</w:t>
      </w:r>
      <w:r>
        <w:rPr>
          <w:rFonts w:ascii="仿宋" w:eastAsia="仿宋" w:hAnsi="仿宋" w:hint="eastAsia"/>
          <w:sz w:val="28"/>
          <w:szCs w:val="28"/>
        </w:rPr>
        <w:t>优惠</w:t>
      </w:r>
      <w:r>
        <w:rPr>
          <w:rFonts w:ascii="仿宋" w:eastAsia="仿宋" w:hAnsi="仿宋" w:hint="eastAsia"/>
          <w:sz w:val="28"/>
          <w:szCs w:val="28"/>
        </w:rPr>
        <w:t>，具体折扣以金元证券</w:t>
      </w:r>
      <w:r>
        <w:rPr>
          <w:rFonts w:ascii="仿宋" w:eastAsia="仿宋" w:hAnsi="仿宋" w:hint="eastAsia"/>
          <w:sz w:val="28"/>
          <w:szCs w:val="28"/>
        </w:rPr>
        <w:t>规定</w:t>
      </w:r>
      <w:r>
        <w:rPr>
          <w:rFonts w:ascii="仿宋" w:eastAsia="仿宋" w:hAnsi="仿宋" w:hint="eastAsia"/>
          <w:sz w:val="28"/>
          <w:szCs w:val="28"/>
        </w:rPr>
        <w:t>为准。费率优惠活动如有展期、终止或调整，费率优惠规则如有变更，均以金元证券的安排和规定为准。若原申购费率是固定费用的，则按固定费用执行，不再享有费率折扣。</w:t>
      </w:r>
    </w:p>
    <w:p w:rsidR="003145FB" w:rsidRDefault="003145FB">
      <w:pPr>
        <w:ind w:firstLineChars="200" w:firstLine="560"/>
        <w:rPr>
          <w:rFonts w:ascii="仿宋" w:eastAsia="仿宋" w:hAnsi="仿宋"/>
          <w:sz w:val="28"/>
          <w:szCs w:val="28"/>
        </w:rPr>
      </w:pPr>
    </w:p>
    <w:p w:rsidR="003145FB" w:rsidRDefault="00564665">
      <w:pPr>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重要提示</w:t>
      </w:r>
    </w:p>
    <w:p w:rsidR="003145FB" w:rsidRDefault="00564665">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sz w:val="28"/>
          <w:szCs w:val="28"/>
        </w:rPr>
        <w:t>、</w:t>
      </w:r>
      <w:r>
        <w:rPr>
          <w:rFonts w:ascii="仿宋" w:eastAsia="仿宋" w:hAnsi="仿宋"/>
          <w:sz w:val="28"/>
          <w:szCs w:val="28"/>
        </w:rPr>
        <w:tab/>
      </w:r>
      <w:r>
        <w:rPr>
          <w:rFonts w:ascii="仿宋" w:eastAsia="仿宋" w:hAnsi="仿宋"/>
          <w:sz w:val="28"/>
          <w:szCs w:val="28"/>
        </w:rPr>
        <w:t>本优惠活动仅适用于处于正常申购期的基金产品的前端收费模式申购手续费及定期定额投资申购手续费，不包括上述基金的基金赎回、转换等其他业务的费用。</w:t>
      </w:r>
    </w:p>
    <w:p w:rsidR="003145FB" w:rsidRDefault="00564665">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sz w:val="28"/>
          <w:szCs w:val="28"/>
        </w:rPr>
        <w:t>、</w:t>
      </w:r>
      <w:r>
        <w:rPr>
          <w:rFonts w:ascii="仿宋" w:eastAsia="仿宋" w:hAnsi="仿宋"/>
          <w:sz w:val="28"/>
          <w:szCs w:val="28"/>
        </w:rPr>
        <w:tab/>
      </w:r>
      <w:r>
        <w:rPr>
          <w:rFonts w:ascii="仿宋" w:eastAsia="仿宋" w:hAnsi="仿宋"/>
          <w:sz w:val="28"/>
          <w:szCs w:val="28"/>
        </w:rPr>
        <w:t>上述基金原费率标准请详见上述基金相关法律文件及本公司发布的最新业务公告。</w:t>
      </w:r>
    </w:p>
    <w:p w:rsidR="003145FB" w:rsidRDefault="00564665">
      <w:pPr>
        <w:pStyle w:val="a8"/>
        <w:ind w:firstLine="560"/>
        <w:rPr>
          <w:rFonts w:ascii="仿宋" w:eastAsia="仿宋" w:hAnsi="仿宋"/>
          <w:sz w:val="28"/>
          <w:szCs w:val="28"/>
        </w:rPr>
      </w:pPr>
      <w:r>
        <w:rPr>
          <w:rFonts w:ascii="仿宋" w:eastAsia="仿宋" w:hAnsi="仿宋"/>
          <w:sz w:val="28"/>
          <w:szCs w:val="28"/>
        </w:rPr>
        <w:lastRenderedPageBreak/>
        <w:t>3</w:t>
      </w:r>
      <w:r>
        <w:rPr>
          <w:rFonts w:ascii="仿宋" w:eastAsia="仿宋" w:hAnsi="仿宋"/>
          <w:sz w:val="28"/>
          <w:szCs w:val="28"/>
        </w:rPr>
        <w:t>、</w:t>
      </w:r>
      <w:r>
        <w:rPr>
          <w:rFonts w:ascii="仿宋" w:eastAsia="仿宋" w:hAnsi="仿宋"/>
          <w:sz w:val="28"/>
          <w:szCs w:val="28"/>
        </w:rPr>
        <w:tab/>
      </w:r>
      <w:r>
        <w:rPr>
          <w:rFonts w:ascii="仿宋" w:eastAsia="仿宋" w:hAnsi="仿宋"/>
          <w:sz w:val="28"/>
          <w:szCs w:val="28"/>
        </w:rPr>
        <w:t>此次公告的优惠活动内容或业务规则如与之前公告信息不同，请以本次公告信息为准。</w:t>
      </w:r>
    </w:p>
    <w:p w:rsidR="003145FB" w:rsidRDefault="00564665">
      <w:pPr>
        <w:ind w:left="420"/>
        <w:rPr>
          <w:rFonts w:ascii="仿宋" w:eastAsia="仿宋" w:hAnsi="仿宋"/>
          <w:sz w:val="28"/>
          <w:szCs w:val="28"/>
        </w:rPr>
      </w:pPr>
      <w:r>
        <w:rPr>
          <w:rFonts w:ascii="仿宋" w:eastAsia="仿宋" w:hAnsi="仿宋" w:hint="eastAsia"/>
          <w:sz w:val="28"/>
          <w:szCs w:val="28"/>
        </w:rPr>
        <w:t>四、投资者可通过以下途径了解或咨询相关情况</w:t>
      </w:r>
    </w:p>
    <w:p w:rsidR="003145FB" w:rsidRDefault="0056466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w:t>
      </w:r>
      <w:r>
        <w:rPr>
          <w:rFonts w:ascii="华文仿宋" w:eastAsia="华文仿宋" w:hAnsi="华文仿宋" w:cs="仿宋_GB2312" w:hint="eastAsia"/>
          <w:kern w:val="0"/>
          <w:sz w:val="28"/>
          <w:szCs w:val="28"/>
        </w:rPr>
        <w:t>、泰信基金管理有限公司</w:t>
      </w:r>
    </w:p>
    <w:p w:rsidR="003145FB" w:rsidRDefault="0056466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w:t>
      </w:r>
      <w:r>
        <w:rPr>
          <w:rFonts w:ascii="华文仿宋" w:eastAsia="华文仿宋" w:hAnsi="华文仿宋" w:cs="仿宋_GB2312" w:hint="eastAsia"/>
          <w:kern w:val="0"/>
          <w:sz w:val="28"/>
          <w:szCs w:val="28"/>
        </w:rPr>
        <w:t xml:space="preserve">400-888-5988 </w:t>
      </w:r>
      <w:r>
        <w:rPr>
          <w:rFonts w:ascii="华文仿宋" w:eastAsia="华文仿宋" w:hAnsi="华文仿宋" w:cs="仿宋_GB2312" w:hint="eastAsia"/>
          <w:kern w:val="0"/>
          <w:sz w:val="28"/>
          <w:szCs w:val="28"/>
        </w:rPr>
        <w:t>或</w:t>
      </w:r>
      <w:r>
        <w:rPr>
          <w:rFonts w:ascii="华文仿宋" w:eastAsia="华文仿宋" w:hAnsi="华文仿宋" w:cs="仿宋_GB2312" w:hint="eastAsia"/>
          <w:kern w:val="0"/>
          <w:sz w:val="28"/>
          <w:szCs w:val="28"/>
        </w:rPr>
        <w:t xml:space="preserve"> </w:t>
      </w:r>
      <w:r>
        <w:rPr>
          <w:rFonts w:ascii="华文仿宋" w:eastAsia="华文仿宋" w:hAnsi="华文仿宋" w:cs="仿宋_GB2312" w:hint="eastAsia"/>
          <w:kern w:val="0"/>
          <w:sz w:val="28"/>
          <w:szCs w:val="28"/>
        </w:rPr>
        <w:t>021-38784566</w:t>
      </w:r>
    </w:p>
    <w:p w:rsidR="003145FB" w:rsidRDefault="00564665">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8" w:history="1">
        <w:r>
          <w:rPr>
            <w:rStyle w:val="a7"/>
            <w:rFonts w:ascii="华文仿宋" w:eastAsia="华文仿宋" w:hAnsi="华文仿宋" w:cs="仿宋_GB2312" w:hint="eastAsia"/>
            <w:color w:val="auto"/>
            <w:kern w:val="0"/>
            <w:sz w:val="28"/>
            <w:szCs w:val="28"/>
            <w:u w:val="none"/>
          </w:rPr>
          <w:t>www.ftfund.com</w:t>
        </w:r>
      </w:hyperlink>
    </w:p>
    <w:p w:rsidR="003145FB" w:rsidRDefault="00564665">
      <w:pPr>
        <w:pStyle w:val="a8"/>
        <w:ind w:firstLine="560"/>
        <w:rPr>
          <w:rFonts w:ascii="仿宋" w:eastAsia="仿宋" w:hAnsi="仿宋"/>
          <w:sz w:val="28"/>
          <w:szCs w:val="28"/>
        </w:rPr>
      </w:pPr>
      <w:r>
        <w:rPr>
          <w:rFonts w:ascii="华文仿宋" w:eastAsia="华文仿宋" w:hAnsi="华文仿宋" w:hint="eastAsia"/>
          <w:sz w:val="28"/>
          <w:szCs w:val="28"/>
        </w:rPr>
        <w:t>2</w:t>
      </w:r>
      <w:r>
        <w:rPr>
          <w:rFonts w:ascii="华文仿宋" w:eastAsia="华文仿宋" w:hAnsi="华文仿宋" w:hint="eastAsia"/>
          <w:sz w:val="28"/>
          <w:szCs w:val="28"/>
        </w:rPr>
        <w:t>、金元证券股份有限公司</w:t>
      </w:r>
    </w:p>
    <w:p w:rsidR="003145FB" w:rsidRDefault="00564665">
      <w:pPr>
        <w:ind w:firstLineChars="200" w:firstLine="560"/>
        <w:rPr>
          <w:rFonts w:ascii="仿宋" w:eastAsia="仿宋" w:hAnsi="仿宋"/>
          <w:sz w:val="28"/>
          <w:szCs w:val="28"/>
        </w:rPr>
      </w:pPr>
      <w:r>
        <w:rPr>
          <w:rFonts w:ascii="仿宋" w:eastAsia="仿宋" w:hAnsi="仿宋" w:hint="eastAsia"/>
          <w:sz w:val="28"/>
          <w:szCs w:val="28"/>
        </w:rPr>
        <w:t>客服电话：</w:t>
      </w:r>
      <w:r>
        <w:rPr>
          <w:rFonts w:ascii="仿宋" w:eastAsia="仿宋" w:hAnsi="仿宋" w:hint="eastAsia"/>
          <w:sz w:val="28"/>
          <w:szCs w:val="28"/>
        </w:rPr>
        <w:t>95372</w:t>
      </w:r>
    </w:p>
    <w:p w:rsidR="003145FB" w:rsidRDefault="00564665">
      <w:pPr>
        <w:ind w:firstLineChars="200" w:firstLine="560"/>
        <w:rPr>
          <w:rFonts w:ascii="仿宋" w:eastAsia="仿宋" w:hAnsi="仿宋"/>
          <w:sz w:val="28"/>
          <w:szCs w:val="28"/>
        </w:rPr>
      </w:pPr>
      <w:r>
        <w:rPr>
          <w:rFonts w:ascii="仿宋" w:eastAsia="仿宋" w:hAnsi="仿宋" w:hint="eastAsia"/>
          <w:sz w:val="28"/>
          <w:szCs w:val="28"/>
        </w:rPr>
        <w:t>网址：</w:t>
      </w:r>
      <w:bookmarkStart w:id="0" w:name="_GoBack"/>
      <w:r>
        <w:rPr>
          <w:rFonts w:ascii="仿宋" w:eastAsia="仿宋" w:hAnsi="仿宋" w:hint="eastAsia"/>
          <w:sz w:val="28"/>
          <w:szCs w:val="28"/>
        </w:rPr>
        <w:t>www.jyzq.cn</w:t>
      </w:r>
      <w:bookmarkEnd w:id="0"/>
    </w:p>
    <w:p w:rsidR="003145FB" w:rsidRDefault="00564665">
      <w:pPr>
        <w:ind w:firstLineChars="200" w:firstLine="560"/>
        <w:rPr>
          <w:rFonts w:ascii="仿宋" w:eastAsia="仿宋" w:hAnsi="仿宋"/>
          <w:sz w:val="28"/>
          <w:szCs w:val="28"/>
        </w:rPr>
      </w:pPr>
      <w:r>
        <w:rPr>
          <w:rFonts w:ascii="仿宋" w:eastAsia="仿宋" w:hAnsi="仿宋" w:hint="eastAsia"/>
          <w:sz w:val="28"/>
          <w:szCs w:val="28"/>
        </w:rPr>
        <w:t>风险提示：本公司承诺以诚实信用、勤勉尽责的原则管理和运用基金财产，但不保证基金一定盈利，也不保证最低收益。投资者投资于本公司管理的基金时应认真阅读基金合同、招募说明书等文件。</w:t>
      </w:r>
    </w:p>
    <w:p w:rsidR="003145FB" w:rsidRDefault="003145FB">
      <w:pPr>
        <w:ind w:firstLineChars="200" w:firstLine="560"/>
        <w:jc w:val="right"/>
        <w:rPr>
          <w:rFonts w:ascii="仿宋" w:eastAsia="仿宋" w:hAnsi="仿宋"/>
          <w:sz w:val="28"/>
          <w:szCs w:val="28"/>
        </w:rPr>
      </w:pPr>
    </w:p>
    <w:p w:rsidR="003145FB" w:rsidRDefault="00564665">
      <w:pPr>
        <w:ind w:firstLineChars="200" w:firstLine="560"/>
        <w:jc w:val="right"/>
        <w:rPr>
          <w:rFonts w:ascii="仿宋" w:eastAsia="仿宋" w:hAnsi="仿宋"/>
          <w:sz w:val="28"/>
          <w:szCs w:val="28"/>
        </w:rPr>
      </w:pPr>
      <w:r>
        <w:rPr>
          <w:rFonts w:ascii="仿宋" w:eastAsia="仿宋" w:hAnsi="仿宋" w:hint="eastAsia"/>
          <w:sz w:val="28"/>
          <w:szCs w:val="28"/>
        </w:rPr>
        <w:t>泰信基金</w:t>
      </w:r>
      <w:r>
        <w:rPr>
          <w:rFonts w:ascii="仿宋" w:eastAsia="仿宋" w:hAnsi="仿宋" w:hint="eastAsia"/>
          <w:sz w:val="28"/>
          <w:szCs w:val="28"/>
        </w:rPr>
        <w:t>管理有限公司</w:t>
      </w:r>
    </w:p>
    <w:p w:rsidR="003145FB" w:rsidRDefault="00564665">
      <w:pPr>
        <w:ind w:firstLineChars="200" w:firstLine="560"/>
        <w:jc w:val="righ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24</w:t>
      </w:r>
      <w:r>
        <w:rPr>
          <w:rFonts w:ascii="仿宋" w:eastAsia="仿宋" w:hAnsi="仿宋" w:hint="eastAsia"/>
          <w:sz w:val="28"/>
          <w:szCs w:val="28"/>
        </w:rPr>
        <w:t>日</w:t>
      </w:r>
    </w:p>
    <w:sectPr w:rsidR="003145FB" w:rsidSect="003145F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5FB" w:rsidRDefault="003145FB" w:rsidP="003145FB">
      <w:r>
        <w:separator/>
      </w:r>
    </w:p>
  </w:endnote>
  <w:endnote w:type="continuationSeparator" w:id="0">
    <w:p w:rsidR="003145FB" w:rsidRDefault="003145FB" w:rsidP="00314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553174"/>
    </w:sdtPr>
    <w:sdtContent>
      <w:p w:rsidR="003145FB" w:rsidRDefault="003145FB">
        <w:pPr>
          <w:pStyle w:val="a4"/>
          <w:jc w:val="center"/>
        </w:pPr>
        <w:r>
          <w:fldChar w:fldCharType="begin"/>
        </w:r>
        <w:r w:rsidR="00564665">
          <w:instrText>PAGE   \* MERGEFORMAT</w:instrText>
        </w:r>
        <w:r>
          <w:fldChar w:fldCharType="separate"/>
        </w:r>
        <w:r w:rsidR="00564665" w:rsidRPr="00564665">
          <w:rPr>
            <w:noProof/>
            <w:lang w:val="zh-CN"/>
          </w:rPr>
          <w:t>1</w:t>
        </w:r>
        <w:r>
          <w:fldChar w:fldCharType="end"/>
        </w:r>
      </w:p>
    </w:sdtContent>
  </w:sdt>
  <w:p w:rsidR="003145FB" w:rsidRDefault="003145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5FB" w:rsidRDefault="003145FB" w:rsidP="003145FB">
      <w:r>
        <w:separator/>
      </w:r>
    </w:p>
  </w:footnote>
  <w:footnote w:type="continuationSeparator" w:id="0">
    <w:p w:rsidR="003145FB" w:rsidRDefault="003145FB" w:rsidP="003145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B7C1B"/>
    <w:multiLevelType w:val="multilevel"/>
    <w:tmpl w:val="44BB7C1B"/>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B6C30"/>
    <w:rsid w:val="000335D2"/>
    <w:rsid w:val="0004295E"/>
    <w:rsid w:val="000A17F6"/>
    <w:rsid w:val="000B6D37"/>
    <w:rsid w:val="00103ABC"/>
    <w:rsid w:val="001D36BC"/>
    <w:rsid w:val="001E4DC6"/>
    <w:rsid w:val="00205D73"/>
    <w:rsid w:val="00225F49"/>
    <w:rsid w:val="00244A9A"/>
    <w:rsid w:val="00255253"/>
    <w:rsid w:val="00284892"/>
    <w:rsid w:val="002D094F"/>
    <w:rsid w:val="002D64A6"/>
    <w:rsid w:val="003145FB"/>
    <w:rsid w:val="00325DF0"/>
    <w:rsid w:val="00383773"/>
    <w:rsid w:val="003E1DC6"/>
    <w:rsid w:val="004228C5"/>
    <w:rsid w:val="00436274"/>
    <w:rsid w:val="00445C2B"/>
    <w:rsid w:val="004876B5"/>
    <w:rsid w:val="004B33A1"/>
    <w:rsid w:val="004C21F3"/>
    <w:rsid w:val="004D1AAE"/>
    <w:rsid w:val="00513CAC"/>
    <w:rsid w:val="00541662"/>
    <w:rsid w:val="00541BA2"/>
    <w:rsid w:val="00564665"/>
    <w:rsid w:val="005C258A"/>
    <w:rsid w:val="006172CA"/>
    <w:rsid w:val="00647B2C"/>
    <w:rsid w:val="00681484"/>
    <w:rsid w:val="006A06C1"/>
    <w:rsid w:val="006D78B9"/>
    <w:rsid w:val="006F7966"/>
    <w:rsid w:val="00710F7A"/>
    <w:rsid w:val="0071547F"/>
    <w:rsid w:val="00724E60"/>
    <w:rsid w:val="00725552"/>
    <w:rsid w:val="00761E6D"/>
    <w:rsid w:val="0076797E"/>
    <w:rsid w:val="00797D41"/>
    <w:rsid w:val="007C7252"/>
    <w:rsid w:val="007E2A15"/>
    <w:rsid w:val="008D5689"/>
    <w:rsid w:val="00905E29"/>
    <w:rsid w:val="00955342"/>
    <w:rsid w:val="009A1CB5"/>
    <w:rsid w:val="00A26DEA"/>
    <w:rsid w:val="00A60604"/>
    <w:rsid w:val="00A613A8"/>
    <w:rsid w:val="00A72CFC"/>
    <w:rsid w:val="00AA2302"/>
    <w:rsid w:val="00AB07BB"/>
    <w:rsid w:val="00AB59E8"/>
    <w:rsid w:val="00AC6115"/>
    <w:rsid w:val="00B11FFB"/>
    <w:rsid w:val="00B6421E"/>
    <w:rsid w:val="00B87F53"/>
    <w:rsid w:val="00BA58B1"/>
    <w:rsid w:val="00BB6C30"/>
    <w:rsid w:val="00BE36AC"/>
    <w:rsid w:val="00C23CC8"/>
    <w:rsid w:val="00C41463"/>
    <w:rsid w:val="00C53E56"/>
    <w:rsid w:val="00D300E0"/>
    <w:rsid w:val="00D7289D"/>
    <w:rsid w:val="00D90002"/>
    <w:rsid w:val="00DA7356"/>
    <w:rsid w:val="00DD2867"/>
    <w:rsid w:val="00E03C2D"/>
    <w:rsid w:val="00E06296"/>
    <w:rsid w:val="00E42473"/>
    <w:rsid w:val="00E52297"/>
    <w:rsid w:val="00EA2BF4"/>
    <w:rsid w:val="00EB262D"/>
    <w:rsid w:val="00ED4FC9"/>
    <w:rsid w:val="00F644ED"/>
    <w:rsid w:val="00F8204E"/>
    <w:rsid w:val="00F90E28"/>
    <w:rsid w:val="00F9526E"/>
    <w:rsid w:val="00FA519D"/>
    <w:rsid w:val="00FB797F"/>
    <w:rsid w:val="00FD2E71"/>
    <w:rsid w:val="00FF06BE"/>
    <w:rsid w:val="02DC5069"/>
    <w:rsid w:val="0AF90667"/>
    <w:rsid w:val="0F447346"/>
    <w:rsid w:val="22180736"/>
    <w:rsid w:val="25764294"/>
    <w:rsid w:val="30F26279"/>
    <w:rsid w:val="393137F1"/>
    <w:rsid w:val="4A4C4935"/>
    <w:rsid w:val="4FE75668"/>
    <w:rsid w:val="5E5F35DF"/>
    <w:rsid w:val="67823021"/>
    <w:rsid w:val="6F456661"/>
    <w:rsid w:val="72CE45D1"/>
    <w:rsid w:val="75DF5D36"/>
    <w:rsid w:val="7C990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5FB"/>
    <w:pPr>
      <w:widowControl w:val="0"/>
      <w:jc w:val="both"/>
    </w:pPr>
    <w:rPr>
      <w:rFonts w:asciiTheme="minorHAnsi" w:eastAsiaTheme="minorEastAsia" w:hAnsiTheme="minorHAnsi" w:cstheme="minorBidi"/>
      <w:kern w:val="2"/>
      <w:sz w:val="21"/>
      <w:szCs w:val="22"/>
    </w:rPr>
  </w:style>
  <w:style w:type="paragraph" w:styleId="5">
    <w:name w:val="heading 5"/>
    <w:basedOn w:val="a"/>
    <w:next w:val="a"/>
    <w:uiPriority w:val="9"/>
    <w:qFormat/>
    <w:rsid w:val="003145F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145FB"/>
    <w:rPr>
      <w:sz w:val="18"/>
      <w:szCs w:val="18"/>
    </w:rPr>
  </w:style>
  <w:style w:type="paragraph" w:styleId="a4">
    <w:name w:val="footer"/>
    <w:basedOn w:val="a"/>
    <w:link w:val="Char0"/>
    <w:uiPriority w:val="99"/>
    <w:unhideWhenUsed/>
    <w:qFormat/>
    <w:rsid w:val="003145F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145F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3145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3145FB"/>
    <w:rPr>
      <w:color w:val="0563C1" w:themeColor="hyperlink"/>
      <w:u w:val="single"/>
    </w:rPr>
  </w:style>
  <w:style w:type="table" w:customStyle="1" w:styleId="PlainTable1">
    <w:name w:val="Plain Table 1"/>
    <w:basedOn w:val="a1"/>
    <w:uiPriority w:val="41"/>
    <w:qFormat/>
    <w:rsid w:val="003145F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a1"/>
    <w:uiPriority w:val="46"/>
    <w:qFormat/>
    <w:rsid w:val="003145F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8">
    <w:name w:val="List Paragraph"/>
    <w:basedOn w:val="a"/>
    <w:uiPriority w:val="34"/>
    <w:qFormat/>
    <w:rsid w:val="003145FB"/>
    <w:pPr>
      <w:ind w:firstLineChars="200" w:firstLine="420"/>
    </w:pPr>
  </w:style>
  <w:style w:type="character" w:customStyle="1" w:styleId="1">
    <w:name w:val="未处理的提及1"/>
    <w:basedOn w:val="a0"/>
    <w:uiPriority w:val="99"/>
    <w:semiHidden/>
    <w:unhideWhenUsed/>
    <w:qFormat/>
    <w:rsid w:val="003145FB"/>
    <w:rPr>
      <w:color w:val="605E5C"/>
      <w:shd w:val="clear" w:color="auto" w:fill="E1DFDD"/>
    </w:rPr>
  </w:style>
  <w:style w:type="character" w:customStyle="1" w:styleId="Char">
    <w:name w:val="批注框文本 Char"/>
    <w:basedOn w:val="a0"/>
    <w:link w:val="a3"/>
    <w:uiPriority w:val="99"/>
    <w:semiHidden/>
    <w:qFormat/>
    <w:rsid w:val="003145FB"/>
    <w:rPr>
      <w:sz w:val="18"/>
      <w:szCs w:val="18"/>
    </w:rPr>
  </w:style>
  <w:style w:type="paragraph" w:customStyle="1" w:styleId="10">
    <w:name w:val="修订1"/>
    <w:hidden/>
    <w:uiPriority w:val="99"/>
    <w:semiHidden/>
    <w:qFormat/>
    <w:rsid w:val="003145FB"/>
    <w:rPr>
      <w:rFonts w:asciiTheme="minorHAnsi" w:eastAsiaTheme="minorEastAsia" w:hAnsiTheme="minorHAnsi" w:cstheme="minorBidi"/>
      <w:kern w:val="2"/>
      <w:sz w:val="21"/>
      <w:szCs w:val="22"/>
    </w:rPr>
  </w:style>
  <w:style w:type="character" w:customStyle="1" w:styleId="Char1">
    <w:name w:val="页眉 Char"/>
    <w:basedOn w:val="a0"/>
    <w:link w:val="a5"/>
    <w:uiPriority w:val="99"/>
    <w:qFormat/>
    <w:rsid w:val="003145FB"/>
    <w:rPr>
      <w:sz w:val="18"/>
      <w:szCs w:val="18"/>
    </w:rPr>
  </w:style>
  <w:style w:type="character" w:customStyle="1" w:styleId="Char0">
    <w:name w:val="页脚 Char"/>
    <w:basedOn w:val="a0"/>
    <w:link w:val="a4"/>
    <w:uiPriority w:val="99"/>
    <w:qFormat/>
    <w:rsid w:val="003145F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f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1237</Characters>
  <Application>Microsoft Office Word</Application>
  <DocSecurity>4</DocSecurity>
  <Lines>10</Lines>
  <Paragraphs>2</Paragraphs>
  <ScaleCrop>false</ScaleCrop>
  <Company>CNSTOCK</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2023-05-24T02:41:00Z</cp:lastPrinted>
  <dcterms:created xsi:type="dcterms:W3CDTF">2023-08-23T16:02:00Z</dcterms:created>
  <dcterms:modified xsi:type="dcterms:W3CDTF">2023-08-23T16:02:00Z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CF902F48D31C44A087A9A9547086F15B</vt:lpwstr>
  </property>
</Properties>
</file>