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60F46">
      <w:pPr>
        <w:spacing w:line="400" w:lineRule="exact"/>
        <w:jc w:val="center"/>
        <w:rPr>
          <w:rStyle w:val="da"/>
          <w:rFonts w:ascii="宋体" w:hAnsi="宋体" w:cs="宋体" w:hint="eastAsia"/>
          <w:b/>
          <w:bCs/>
        </w:rPr>
      </w:pPr>
      <w:r>
        <w:rPr>
          <w:rStyle w:val="da"/>
          <w:rFonts w:ascii="宋体" w:hAnsi="宋体" w:cs="宋体" w:hint="eastAsia"/>
          <w:b/>
          <w:bCs/>
        </w:rPr>
        <w:t>东吴基金管理有限公司关于旗下</w:t>
      </w:r>
      <w:r>
        <w:rPr>
          <w:rStyle w:val="da"/>
          <w:rFonts w:ascii="宋体" w:hAnsi="宋体" w:cs="宋体" w:hint="eastAsia"/>
          <w:b/>
          <w:bCs/>
        </w:rPr>
        <w:t>部分</w:t>
      </w:r>
      <w:r>
        <w:rPr>
          <w:rStyle w:val="da"/>
          <w:rFonts w:ascii="宋体" w:hAnsi="宋体" w:cs="宋体" w:hint="eastAsia"/>
          <w:b/>
          <w:bCs/>
        </w:rPr>
        <w:t>基金新增</w:t>
      </w:r>
      <w:r>
        <w:rPr>
          <w:rStyle w:val="da"/>
          <w:rFonts w:ascii="宋体" w:hAnsi="宋体" w:cs="宋体" w:hint="eastAsia"/>
          <w:b/>
          <w:bCs/>
        </w:rPr>
        <w:t>上海华夏财富投资管理有限公司</w:t>
      </w:r>
    </w:p>
    <w:p w:rsidR="00000000" w:rsidRDefault="00060F46">
      <w:pPr>
        <w:spacing w:line="400" w:lineRule="exact"/>
        <w:jc w:val="center"/>
        <w:rPr>
          <w:rStyle w:val="da"/>
          <w:rFonts w:ascii="宋体" w:hAnsi="宋体" w:cs="宋体" w:hint="eastAsia"/>
          <w:b/>
          <w:bCs/>
        </w:rPr>
      </w:pPr>
      <w:r>
        <w:rPr>
          <w:rStyle w:val="da"/>
          <w:rFonts w:ascii="宋体" w:hAnsi="宋体" w:cs="宋体" w:hint="eastAsia"/>
          <w:b/>
          <w:bCs/>
        </w:rPr>
        <w:t>为代销机构</w:t>
      </w:r>
      <w:r>
        <w:rPr>
          <w:rStyle w:val="da"/>
          <w:rFonts w:ascii="宋体" w:hAnsi="宋体" w:cs="宋体" w:hint="eastAsia"/>
          <w:b/>
          <w:bCs/>
        </w:rPr>
        <w:t>、开通</w:t>
      </w:r>
      <w:r>
        <w:rPr>
          <w:rStyle w:val="da"/>
          <w:rFonts w:ascii="宋体" w:hAnsi="宋体" w:cs="宋体" w:hint="eastAsia"/>
          <w:b/>
          <w:bCs/>
        </w:rPr>
        <w:t>定期定额</w:t>
      </w:r>
      <w:r>
        <w:rPr>
          <w:rStyle w:val="da"/>
          <w:rFonts w:ascii="宋体" w:hAnsi="宋体" w:cs="宋体" w:hint="eastAsia"/>
          <w:b/>
          <w:bCs/>
        </w:rPr>
        <w:t>投资</w:t>
      </w:r>
      <w:r>
        <w:rPr>
          <w:rStyle w:val="da"/>
          <w:rFonts w:ascii="宋体" w:hAnsi="宋体" w:cs="宋体" w:hint="eastAsia"/>
          <w:b/>
          <w:bCs/>
        </w:rPr>
        <w:t>及转换业务</w:t>
      </w:r>
      <w:r>
        <w:rPr>
          <w:rStyle w:val="da"/>
          <w:rFonts w:ascii="宋体" w:hAnsi="宋体" w:cs="宋体" w:hint="eastAsia"/>
          <w:b/>
          <w:bCs/>
        </w:rPr>
        <w:t>的公告</w:t>
      </w:r>
    </w:p>
    <w:p w:rsidR="00000000" w:rsidRDefault="00060F46">
      <w:pPr>
        <w:spacing w:line="400" w:lineRule="exact"/>
        <w:jc w:val="center"/>
        <w:rPr>
          <w:rStyle w:val="da"/>
          <w:rFonts w:ascii="宋体" w:hAnsi="宋体" w:hint="eastAsia"/>
          <w:b/>
          <w:bCs/>
        </w:rPr>
      </w:pPr>
    </w:p>
    <w:p w:rsidR="00000000" w:rsidRDefault="00060F46">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一、新增</w:t>
      </w:r>
      <w:r>
        <w:rPr>
          <w:rFonts w:ascii="宋体" w:hAnsi="宋体" w:cs="宋体" w:hint="eastAsia"/>
          <w:kern w:val="0"/>
          <w:szCs w:val="21"/>
        </w:rPr>
        <w:t>上海华夏财富投资管理有限公司</w:t>
      </w:r>
      <w:r>
        <w:rPr>
          <w:rFonts w:ascii="宋体" w:hAnsi="宋体" w:cs="宋体" w:hint="eastAsia"/>
          <w:kern w:val="0"/>
          <w:szCs w:val="21"/>
        </w:rPr>
        <w:t>为东吴基金管理有限公司旗下</w:t>
      </w:r>
      <w:r>
        <w:rPr>
          <w:rFonts w:ascii="宋体" w:hAnsi="宋体" w:cs="宋体" w:hint="eastAsia"/>
          <w:kern w:val="0"/>
          <w:szCs w:val="21"/>
        </w:rPr>
        <w:t>部分</w:t>
      </w:r>
      <w:r>
        <w:rPr>
          <w:rFonts w:ascii="宋体" w:hAnsi="宋体" w:cs="宋体" w:hint="eastAsia"/>
          <w:kern w:val="0"/>
          <w:szCs w:val="21"/>
        </w:rPr>
        <w:t>基金的代销机构</w:t>
      </w:r>
    </w:p>
    <w:p w:rsidR="00000000" w:rsidRDefault="00060F46">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根据东吴基金管理有限公司（以下简称“东吴基金”）与</w:t>
      </w:r>
      <w:r>
        <w:rPr>
          <w:rFonts w:ascii="宋体" w:hAnsi="宋体" w:cs="宋体" w:hint="eastAsia"/>
          <w:kern w:val="0"/>
          <w:szCs w:val="21"/>
        </w:rPr>
        <w:t>上海华夏财富投资管理有限公司</w:t>
      </w:r>
      <w:r>
        <w:rPr>
          <w:rFonts w:ascii="宋体" w:hAnsi="宋体" w:cs="宋体" w:hint="eastAsia"/>
          <w:kern w:val="0"/>
          <w:szCs w:val="21"/>
        </w:rPr>
        <w:t>（以下简称</w:t>
      </w:r>
      <w:r>
        <w:rPr>
          <w:rFonts w:ascii="宋体" w:hAnsi="宋体" w:cs="宋体" w:hint="eastAsia"/>
          <w:kern w:val="0"/>
          <w:szCs w:val="21"/>
        </w:rPr>
        <w:t>"</w:t>
      </w:r>
      <w:r>
        <w:rPr>
          <w:rFonts w:ascii="宋体" w:hAnsi="宋体" w:cs="宋体" w:hint="eastAsia"/>
          <w:kern w:val="0"/>
          <w:szCs w:val="21"/>
        </w:rPr>
        <w:t>华夏财富</w:t>
      </w:r>
      <w:r>
        <w:rPr>
          <w:rFonts w:ascii="宋体" w:hAnsi="宋体" w:cs="宋体" w:hint="eastAsia"/>
          <w:kern w:val="0"/>
          <w:szCs w:val="21"/>
        </w:rPr>
        <w:t>"</w:t>
      </w:r>
      <w:r>
        <w:rPr>
          <w:rFonts w:ascii="宋体" w:hAnsi="宋体" w:cs="宋体" w:hint="eastAsia"/>
          <w:kern w:val="0"/>
          <w:szCs w:val="21"/>
        </w:rPr>
        <w:t>）签署的开放式基金代销协议，自</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23</w:t>
      </w:r>
      <w:r>
        <w:rPr>
          <w:rFonts w:ascii="宋体" w:hAnsi="宋体" w:cs="宋体" w:hint="eastAsia"/>
          <w:kern w:val="0"/>
          <w:szCs w:val="21"/>
        </w:rPr>
        <w:t>日</w:t>
      </w:r>
      <w:r>
        <w:rPr>
          <w:rFonts w:ascii="宋体" w:hAnsi="宋体" w:cs="宋体" w:hint="eastAsia"/>
          <w:kern w:val="0"/>
          <w:szCs w:val="21"/>
        </w:rPr>
        <w:t>起通过</w:t>
      </w:r>
      <w:r>
        <w:rPr>
          <w:rFonts w:ascii="宋体" w:hAnsi="宋体" w:cs="宋体" w:hint="eastAsia"/>
          <w:kern w:val="0"/>
          <w:szCs w:val="21"/>
        </w:rPr>
        <w:t>华夏财富</w:t>
      </w:r>
      <w:r>
        <w:rPr>
          <w:rFonts w:ascii="宋体" w:hAnsi="宋体" w:cs="宋体" w:hint="eastAsia"/>
          <w:color w:val="000000"/>
          <w:kern w:val="0"/>
          <w:szCs w:val="21"/>
        </w:rPr>
        <w:t>的</w:t>
      </w:r>
      <w:r>
        <w:rPr>
          <w:rFonts w:ascii="宋体" w:hAnsi="宋体" w:cs="宋体" w:hint="eastAsia"/>
          <w:szCs w:val="21"/>
        </w:rPr>
        <w:t>销售网点或基金电子交易平台</w:t>
      </w:r>
      <w:r>
        <w:rPr>
          <w:rFonts w:ascii="宋体" w:hAnsi="宋体" w:cs="宋体" w:hint="eastAsia"/>
          <w:kern w:val="0"/>
          <w:szCs w:val="21"/>
        </w:rPr>
        <w:t>接受所有投资者办理</w:t>
      </w:r>
      <w:r>
        <w:rPr>
          <w:rFonts w:ascii="宋体" w:hAnsi="宋体" w:cs="宋体" w:hint="eastAsia"/>
          <w:szCs w:val="21"/>
        </w:rPr>
        <w:t>东吴基金旗下管理的</w:t>
      </w:r>
      <w:r>
        <w:rPr>
          <w:rFonts w:ascii="宋体" w:hAnsi="宋体" w:cs="宋体" w:hint="eastAsia"/>
          <w:szCs w:val="21"/>
        </w:rPr>
        <w:t>部分</w:t>
      </w:r>
      <w:r>
        <w:rPr>
          <w:rFonts w:ascii="宋体" w:hAnsi="宋体" w:cs="宋体" w:hint="eastAsia"/>
          <w:szCs w:val="21"/>
        </w:rPr>
        <w:t>证券投资基金</w:t>
      </w:r>
      <w:r>
        <w:rPr>
          <w:rFonts w:ascii="宋体" w:hAnsi="宋体" w:cs="宋体" w:hint="eastAsia"/>
          <w:kern w:val="0"/>
          <w:szCs w:val="21"/>
        </w:rPr>
        <w:t>的开户、申购和赎回等业务，具体包括：</w:t>
      </w:r>
      <w:r>
        <w:rPr>
          <w:rFonts w:ascii="宋体" w:hAnsi="宋体" w:cs="宋体" w:hint="eastAsia"/>
          <w:kern w:val="0"/>
          <w:szCs w:val="21"/>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color w:val="000000"/>
                <w:kern w:val="0"/>
                <w:szCs w:val="21"/>
                <w:lang/>
              </w:rPr>
            </w:pPr>
            <w:r>
              <w:rPr>
                <w:rFonts w:ascii="宋体" w:hAnsi="宋体" w:cs="宋体" w:hint="eastAsia"/>
                <w:szCs w:val="21"/>
                <w:lang/>
              </w:rPr>
              <w:t>东吴消费成长混合型证券投资基金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color w:val="000000"/>
                <w:kern w:val="0"/>
                <w:szCs w:val="21"/>
                <w:lang/>
              </w:rPr>
            </w:pPr>
            <w:r>
              <w:rPr>
                <w:rFonts w:ascii="宋体" w:hAnsi="宋体" w:cs="宋体" w:hint="eastAsia"/>
                <w:szCs w:val="21"/>
                <w:lang/>
              </w:rPr>
              <w:t>012971/012972</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东吴医疗服务股票型证券投资基金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013940/013941</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东吴新能源汽车股票型证券投资基金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014376/014377</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东吴月月享</w:t>
            </w:r>
            <w:r>
              <w:rPr>
                <w:rFonts w:ascii="宋体" w:hAnsi="宋体" w:cs="宋体" w:hint="eastAsia"/>
                <w:szCs w:val="21"/>
                <w:lang/>
              </w:rPr>
              <w:t>30</w:t>
            </w:r>
            <w:r>
              <w:rPr>
                <w:rFonts w:ascii="宋体" w:hAnsi="宋体" w:cs="宋体" w:hint="eastAsia"/>
                <w:szCs w:val="21"/>
                <w:lang/>
              </w:rPr>
              <w:t>天持有期短债债券型证券投资基金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015426/015427</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016097/016098</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东吴添利三个月定期开放债券型证券投资基金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016759/016760</w:t>
            </w:r>
          </w:p>
        </w:tc>
      </w:tr>
      <w:tr w:rsidR="00000000">
        <w:trPr>
          <w:trHeight w:val="385"/>
          <w:jc w:val="center"/>
        </w:trPr>
        <w:tc>
          <w:tcPr>
            <w:tcW w:w="676" w:type="dxa"/>
          </w:tcPr>
          <w:p w:rsidR="00000000" w:rsidRDefault="00060F46">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东吴添</w:t>
            </w:r>
            <w:r>
              <w:rPr>
                <w:rFonts w:ascii="宋体" w:hAnsi="宋体" w:cs="宋体" w:hint="eastAsia"/>
                <w:szCs w:val="21"/>
                <w:lang/>
              </w:rPr>
              <w:t>瑞</w:t>
            </w:r>
            <w:r>
              <w:rPr>
                <w:rFonts w:ascii="宋体" w:hAnsi="宋体" w:cs="宋体" w:hint="eastAsia"/>
                <w:szCs w:val="21"/>
                <w:lang/>
              </w:rPr>
              <w:t>三个月定期开放债券型证券投</w:t>
            </w:r>
            <w:r>
              <w:rPr>
                <w:rFonts w:ascii="宋体" w:hAnsi="宋体" w:cs="宋体" w:hint="eastAsia"/>
                <w:szCs w:val="21"/>
                <w:lang/>
              </w:rPr>
              <w:t>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textAlignment w:val="center"/>
              <w:rPr>
                <w:rFonts w:ascii="宋体" w:hAnsi="宋体" w:cs="宋体"/>
                <w:szCs w:val="21"/>
                <w:lang/>
              </w:rPr>
            </w:pPr>
            <w:r>
              <w:rPr>
                <w:rFonts w:ascii="宋体" w:hAnsi="宋体" w:cs="宋体" w:hint="eastAsia"/>
                <w:szCs w:val="21"/>
                <w:lang/>
              </w:rPr>
              <w:t>01</w:t>
            </w:r>
            <w:r>
              <w:rPr>
                <w:rFonts w:ascii="宋体" w:hAnsi="宋体" w:cs="宋体" w:hint="eastAsia"/>
                <w:szCs w:val="21"/>
                <w:lang/>
              </w:rPr>
              <w:t>8416</w:t>
            </w:r>
            <w:r>
              <w:rPr>
                <w:rFonts w:ascii="宋体" w:hAnsi="宋体" w:cs="宋体" w:hint="eastAsia"/>
                <w:szCs w:val="21"/>
                <w:lang/>
              </w:rPr>
              <w:t>/01</w:t>
            </w:r>
            <w:r>
              <w:rPr>
                <w:rFonts w:ascii="宋体" w:hAnsi="宋体" w:cs="宋体" w:hint="eastAsia"/>
                <w:szCs w:val="21"/>
                <w:lang/>
              </w:rPr>
              <w:t>8417</w:t>
            </w:r>
          </w:p>
        </w:tc>
      </w:tr>
    </w:tbl>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（备注：定期开放式产品</w:t>
      </w:r>
      <w:r>
        <w:rPr>
          <w:rFonts w:ascii="宋体" w:hAnsi="宋体" w:cs="宋体" w:hint="eastAsia"/>
          <w:color w:val="000000"/>
          <w:kern w:val="0"/>
          <w:szCs w:val="21"/>
          <w:lang/>
        </w:rPr>
        <w:t>具体开放时间以产品公告为准</w:t>
      </w:r>
      <w:r>
        <w:rPr>
          <w:rFonts w:ascii="宋体" w:hAnsi="宋体" w:cs="宋体" w:hint="eastAsia"/>
          <w:szCs w:val="21"/>
        </w:rPr>
        <w:t>）</w:t>
      </w:r>
    </w:p>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具体业务办理时间为：</w:t>
      </w:r>
      <w:r>
        <w:rPr>
          <w:rFonts w:ascii="宋体" w:hAnsi="宋体" w:cs="宋体" w:hint="eastAsia"/>
          <w:szCs w:val="21"/>
        </w:rPr>
        <w:t>开放期产品</w:t>
      </w:r>
      <w:r>
        <w:rPr>
          <w:rFonts w:ascii="宋体" w:hAnsi="宋体" w:cs="宋体" w:hint="eastAsia"/>
          <w:szCs w:val="21"/>
        </w:rPr>
        <w:t>全天</w:t>
      </w:r>
      <w:r>
        <w:rPr>
          <w:rFonts w:ascii="宋体" w:hAnsi="宋体" w:cs="宋体" w:hint="eastAsia"/>
          <w:szCs w:val="21"/>
        </w:rPr>
        <w:t>24</w:t>
      </w:r>
      <w:r>
        <w:rPr>
          <w:rFonts w:ascii="宋体" w:hAnsi="宋体" w:cs="宋体" w:hint="eastAsia"/>
          <w:szCs w:val="21"/>
        </w:rPr>
        <w:t>小时接受委托，每个交易日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00</w:t>
      </w:r>
      <w:r>
        <w:rPr>
          <w:rFonts w:ascii="宋体" w:hAnsi="宋体" w:cs="宋体" w:hint="eastAsia"/>
          <w:szCs w:val="21"/>
        </w:rPr>
        <w:t>以后的委托将会在下一个交易日处理</w:t>
      </w:r>
      <w:r>
        <w:rPr>
          <w:rFonts w:ascii="宋体" w:hAnsi="宋体" w:cs="宋体" w:hint="eastAsia"/>
          <w:szCs w:val="21"/>
        </w:rPr>
        <w:t>，</w:t>
      </w:r>
      <w:r>
        <w:rPr>
          <w:rFonts w:ascii="宋体" w:hAnsi="宋体" w:cs="宋体" w:hint="eastAsia"/>
          <w:color w:val="000000"/>
          <w:szCs w:val="21"/>
        </w:rPr>
        <w:t>具体以销售机构</w:t>
      </w:r>
      <w:r>
        <w:rPr>
          <w:rFonts w:ascii="宋体" w:hAnsi="宋体" w:cs="宋体" w:hint="eastAsia"/>
          <w:color w:val="000000"/>
          <w:szCs w:val="21"/>
        </w:rPr>
        <w:t>相关规定</w:t>
      </w:r>
      <w:r>
        <w:rPr>
          <w:rFonts w:ascii="宋体" w:hAnsi="宋体" w:cs="宋体" w:hint="eastAsia"/>
          <w:color w:val="000000"/>
          <w:szCs w:val="21"/>
        </w:rPr>
        <w:t>为准</w:t>
      </w:r>
      <w:r>
        <w:rPr>
          <w:rFonts w:ascii="宋体" w:hAnsi="宋体" w:cs="宋体" w:hint="eastAsia"/>
          <w:color w:val="000000"/>
          <w:szCs w:val="21"/>
        </w:rPr>
        <w:t>。</w:t>
      </w:r>
    </w:p>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二、开通东吴基金旗下部分基金定期定额投资业务</w:t>
      </w:r>
    </w:p>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为满足广大投资者的理财需求，东吴基金决定自</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23</w:t>
      </w:r>
      <w:r>
        <w:rPr>
          <w:rFonts w:ascii="宋体" w:hAnsi="宋体" w:cs="宋体" w:hint="eastAsia"/>
          <w:kern w:val="0"/>
          <w:szCs w:val="21"/>
        </w:rPr>
        <w:t>日</w:t>
      </w:r>
      <w:r>
        <w:rPr>
          <w:rFonts w:ascii="宋体" w:hAnsi="宋体" w:cs="宋体" w:hint="eastAsia"/>
          <w:szCs w:val="21"/>
        </w:rPr>
        <w:t>起开通</w:t>
      </w:r>
      <w:r>
        <w:rPr>
          <w:rFonts w:ascii="宋体" w:hAnsi="宋体" w:cs="宋体" w:hint="eastAsia"/>
          <w:szCs w:val="21"/>
        </w:rPr>
        <w:t>部分</w:t>
      </w:r>
      <w:r>
        <w:rPr>
          <w:rFonts w:ascii="宋体" w:hAnsi="宋体" w:cs="宋体" w:hint="eastAsia"/>
          <w:szCs w:val="21"/>
          <w:lang/>
        </w:rPr>
        <w:t>基金</w:t>
      </w:r>
      <w:r>
        <w:rPr>
          <w:rFonts w:ascii="宋体" w:hAnsi="宋体" w:cs="宋体" w:hint="eastAsia"/>
          <w:szCs w:val="21"/>
        </w:rPr>
        <w:t>在</w:t>
      </w:r>
      <w:r>
        <w:rPr>
          <w:rFonts w:ascii="宋体" w:hAnsi="宋体" w:cs="宋体" w:hint="eastAsia"/>
          <w:kern w:val="0"/>
          <w:szCs w:val="21"/>
        </w:rPr>
        <w:t>华夏财富</w:t>
      </w:r>
      <w:r>
        <w:rPr>
          <w:rFonts w:ascii="宋体" w:hAnsi="宋体" w:cs="宋体" w:hint="eastAsia"/>
          <w:szCs w:val="21"/>
        </w:rPr>
        <w:t>的定期定额投资业务</w:t>
      </w:r>
      <w:r>
        <w:rPr>
          <w:rFonts w:ascii="宋体" w:hAnsi="宋体" w:cs="宋体" w:hint="eastAsia"/>
          <w:szCs w:val="21"/>
        </w:rPr>
        <w:t>，具体包括：</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color w:val="000000"/>
                <w:kern w:val="0"/>
                <w:szCs w:val="21"/>
                <w:lang/>
              </w:rPr>
            </w:pPr>
            <w:r>
              <w:rPr>
                <w:rFonts w:ascii="宋体" w:hAnsi="宋体" w:cs="宋体" w:hint="eastAsia"/>
                <w:szCs w:val="21"/>
                <w:lang/>
              </w:rPr>
              <w:t>东吴消费成长混合型证券投资基金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color w:val="000000"/>
                <w:kern w:val="0"/>
                <w:szCs w:val="21"/>
                <w:lang/>
              </w:rPr>
            </w:pPr>
            <w:r>
              <w:rPr>
                <w:rFonts w:ascii="宋体" w:hAnsi="宋体" w:cs="宋体" w:hint="eastAsia"/>
                <w:szCs w:val="21"/>
                <w:lang/>
              </w:rPr>
              <w:t>012971/012972</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东吴医</w:t>
            </w:r>
            <w:r>
              <w:rPr>
                <w:rFonts w:ascii="宋体" w:hAnsi="宋体" w:cs="宋体" w:hint="eastAsia"/>
                <w:szCs w:val="21"/>
                <w:lang/>
              </w:rPr>
              <w:t>疗服务股票型证券投资基金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013940/013941</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东吴新能源汽车股票型证券投资基金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014376/014377</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东吴月月享</w:t>
            </w:r>
            <w:r>
              <w:rPr>
                <w:rFonts w:ascii="宋体" w:hAnsi="宋体" w:cs="宋体" w:hint="eastAsia"/>
                <w:szCs w:val="21"/>
                <w:lang/>
              </w:rPr>
              <w:t>30</w:t>
            </w:r>
            <w:r>
              <w:rPr>
                <w:rFonts w:ascii="宋体" w:hAnsi="宋体" w:cs="宋体" w:hint="eastAsia"/>
                <w:szCs w:val="21"/>
                <w:lang/>
              </w:rPr>
              <w:t>天持有期短债债券型证券投资基金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015426/015427</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016097/016098</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东吴货币市场证券投资基金</w:t>
            </w:r>
            <w:r>
              <w:rPr>
                <w:rFonts w:ascii="宋体" w:hAnsi="宋体" w:cs="宋体" w:hint="eastAsia"/>
                <w:szCs w:val="21"/>
                <w:lang/>
              </w:rPr>
              <w:t>B</w:t>
            </w:r>
            <w:r>
              <w:rPr>
                <w:rFonts w:ascii="宋体" w:hAnsi="宋体" w:cs="宋体" w:hint="eastAsia"/>
                <w:szCs w:val="21"/>
                <w:lang/>
              </w:rPr>
              <w:t>级</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583101</w:t>
            </w:r>
          </w:p>
        </w:tc>
      </w:tr>
      <w:tr w:rsidR="00000000">
        <w:trPr>
          <w:trHeight w:val="385"/>
          <w:jc w:val="center"/>
        </w:trPr>
        <w:tc>
          <w:tcPr>
            <w:tcW w:w="676" w:type="dxa"/>
          </w:tcPr>
          <w:p w:rsidR="00000000" w:rsidRDefault="00060F46">
            <w:pPr>
              <w:widowControl/>
              <w:numPr>
                <w:ilvl w:val="0"/>
                <w:numId w:val="3"/>
              </w:numPr>
              <w:spacing w:line="400" w:lineRule="exact"/>
              <w:jc w:val="center"/>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东吴增鑫宝货币市场基金</w:t>
            </w:r>
            <w:r>
              <w:rPr>
                <w:rFonts w:ascii="宋体" w:hAnsi="宋体" w:cs="宋体" w:hint="eastAsia"/>
                <w:szCs w:val="21"/>
                <w:lang/>
              </w:rPr>
              <w:t>B</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szCs w:val="21"/>
                <w:lang/>
              </w:rPr>
            </w:pPr>
            <w:r>
              <w:rPr>
                <w:rFonts w:ascii="宋体" w:hAnsi="宋体" w:cs="宋体" w:hint="eastAsia"/>
                <w:szCs w:val="21"/>
                <w:lang/>
              </w:rPr>
              <w:t>003589</w:t>
            </w:r>
          </w:p>
        </w:tc>
      </w:tr>
    </w:tbl>
    <w:p w:rsidR="00000000" w:rsidRDefault="00060F46">
      <w:pPr>
        <w:widowControl/>
        <w:spacing w:line="360" w:lineRule="auto"/>
        <w:ind w:firstLineChars="200" w:firstLine="420"/>
        <w:jc w:val="left"/>
        <w:rPr>
          <w:rFonts w:ascii="宋体" w:hAnsi="宋体" w:cs="宋体" w:hint="eastAsia"/>
          <w:szCs w:val="21"/>
        </w:rPr>
      </w:pPr>
    </w:p>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“定期定额投资业务”是基金申购业务的一种方式，投资者可以通过</w:t>
      </w:r>
      <w:r>
        <w:rPr>
          <w:rFonts w:ascii="宋体" w:hAnsi="宋体" w:cs="宋体" w:hint="eastAsia"/>
          <w:kern w:val="0"/>
          <w:szCs w:val="21"/>
        </w:rPr>
        <w:t>华夏财富</w:t>
      </w:r>
      <w:r>
        <w:rPr>
          <w:rFonts w:ascii="宋体" w:hAnsi="宋体" w:cs="宋体" w:hint="eastAsia"/>
          <w:szCs w:val="21"/>
        </w:rPr>
        <w:t>提交申请，约定每期扣款时间、扣款金额及</w:t>
      </w:r>
      <w:r>
        <w:rPr>
          <w:rFonts w:ascii="宋体" w:hAnsi="宋体" w:cs="宋体" w:hint="eastAsia"/>
          <w:szCs w:val="21"/>
        </w:rPr>
        <w:t>扣款方式，由</w:t>
      </w:r>
      <w:r>
        <w:rPr>
          <w:rFonts w:ascii="宋体" w:hAnsi="宋体" w:cs="宋体" w:hint="eastAsia"/>
          <w:kern w:val="0"/>
          <w:szCs w:val="21"/>
        </w:rPr>
        <w:t>华夏财富</w:t>
      </w:r>
      <w:r>
        <w:rPr>
          <w:rFonts w:ascii="宋体" w:hAnsi="宋体" w:cs="宋体" w:hint="eastAsia"/>
          <w:szCs w:val="21"/>
        </w:rPr>
        <w:t>于约定扣款日在投资者指定资金账户内自动完成扣款及基金申购业务。投资者在办理基金“定期定额投资业务”的同时，仍然可以进行日常申购、赎回业务。</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（一）适用投资者</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“定期定额投资业务”适用于依据国家有关法律法规和基金合同约定的可以投资证券投资基金的合法投资者。</w:t>
      </w:r>
    </w:p>
    <w:p w:rsidR="00000000" w:rsidRDefault="00060F46">
      <w:pPr>
        <w:numPr>
          <w:ilvl w:val="0"/>
          <w:numId w:val="4"/>
        </w:numPr>
        <w:spacing w:line="360" w:lineRule="auto"/>
        <w:rPr>
          <w:rFonts w:ascii="宋体" w:hAnsi="宋体" w:cs="宋体" w:hint="eastAsia"/>
          <w:szCs w:val="21"/>
        </w:rPr>
      </w:pPr>
      <w:r>
        <w:rPr>
          <w:rFonts w:ascii="宋体" w:hAnsi="宋体" w:cs="宋体" w:hint="eastAsia"/>
          <w:szCs w:val="21"/>
        </w:rPr>
        <w:t>办理场所</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投资者可</w:t>
      </w:r>
      <w:r>
        <w:rPr>
          <w:rFonts w:ascii="宋体" w:hAnsi="宋体" w:cs="宋体" w:hint="eastAsia"/>
          <w:kern w:val="0"/>
          <w:szCs w:val="21"/>
        </w:rPr>
        <w:t>通过</w:t>
      </w:r>
      <w:r>
        <w:rPr>
          <w:rFonts w:ascii="宋体" w:hAnsi="宋体" w:cs="宋体" w:hint="eastAsia"/>
          <w:kern w:val="0"/>
          <w:szCs w:val="21"/>
        </w:rPr>
        <w:t>华夏财富</w:t>
      </w:r>
      <w:r>
        <w:rPr>
          <w:rFonts w:ascii="宋体" w:hAnsi="宋体" w:cs="宋体" w:hint="eastAsia"/>
          <w:kern w:val="0"/>
          <w:szCs w:val="21"/>
        </w:rPr>
        <w:t>交易系统</w:t>
      </w:r>
      <w:r>
        <w:rPr>
          <w:rFonts w:ascii="宋体" w:hAnsi="宋体" w:cs="宋体" w:hint="eastAsia"/>
          <w:szCs w:val="21"/>
        </w:rPr>
        <w:t>，办理“定期定额投资业务”申请。</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（三）办理方式</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．凡申请办理“定期定额投资业务”的投资者在</w:t>
      </w:r>
      <w:r>
        <w:rPr>
          <w:rFonts w:ascii="宋体" w:hAnsi="宋体" w:cs="宋体" w:hint="eastAsia"/>
          <w:kern w:val="0"/>
          <w:szCs w:val="21"/>
        </w:rPr>
        <w:t>华夏财富</w:t>
      </w:r>
      <w:r>
        <w:rPr>
          <w:rFonts w:ascii="宋体" w:hAnsi="宋体" w:cs="宋体" w:hint="eastAsia"/>
          <w:szCs w:val="21"/>
        </w:rPr>
        <w:t>直接开户便可进行东吴基金定期定额投资业务。</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．已开立东吴基金管理有限公司开放式基金账户的投资者</w:t>
      </w:r>
      <w:r>
        <w:rPr>
          <w:rFonts w:ascii="宋体" w:hAnsi="宋体" w:cs="宋体" w:hint="eastAsia"/>
          <w:szCs w:val="21"/>
        </w:rPr>
        <w:t>，可在</w:t>
      </w:r>
      <w:r>
        <w:rPr>
          <w:rFonts w:ascii="宋体" w:hAnsi="宋体" w:cs="宋体" w:hint="eastAsia"/>
          <w:kern w:val="0"/>
          <w:szCs w:val="21"/>
        </w:rPr>
        <w:t>华夏财富</w:t>
      </w:r>
      <w:r>
        <w:rPr>
          <w:rFonts w:ascii="宋体" w:hAnsi="宋体" w:cs="宋体" w:hint="eastAsia"/>
          <w:color w:val="000000"/>
          <w:kern w:val="0"/>
          <w:szCs w:val="21"/>
        </w:rPr>
        <w:t>的</w:t>
      </w:r>
      <w:r>
        <w:rPr>
          <w:rFonts w:ascii="宋体" w:hAnsi="宋体" w:cs="宋体" w:hint="eastAsia"/>
          <w:kern w:val="0"/>
          <w:szCs w:val="21"/>
        </w:rPr>
        <w:t>交易系统</w:t>
      </w:r>
      <w:r>
        <w:rPr>
          <w:rFonts w:ascii="宋体" w:hAnsi="宋体" w:cs="宋体" w:hint="eastAsia"/>
          <w:szCs w:val="21"/>
        </w:rPr>
        <w:t>通过账户登记后，办理“定期定额投资业务”申请。</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（四）办理时间</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本业务的申请受理时间与基金日常申购业务受理时间相同。</w:t>
      </w:r>
    </w:p>
    <w:p w:rsidR="00000000" w:rsidRDefault="00060F46">
      <w:pPr>
        <w:widowControl/>
        <w:snapToGrid w:val="0"/>
        <w:spacing w:line="360" w:lineRule="auto"/>
        <w:ind w:firstLineChars="200" w:firstLine="420"/>
        <w:jc w:val="left"/>
        <w:rPr>
          <w:rFonts w:ascii="宋体" w:hAnsi="宋体" w:cs="宋体" w:hint="eastAsia"/>
          <w:szCs w:val="21"/>
        </w:rPr>
      </w:pPr>
      <w:r>
        <w:rPr>
          <w:rFonts w:ascii="宋体" w:hAnsi="宋体" w:cs="宋体" w:hint="eastAsia"/>
          <w:szCs w:val="21"/>
        </w:rPr>
        <w:t>（五）扣款金额</w:t>
      </w:r>
    </w:p>
    <w:p w:rsidR="00000000" w:rsidRDefault="00060F46">
      <w:pPr>
        <w:widowControl/>
        <w:snapToGrid w:val="0"/>
        <w:spacing w:line="360" w:lineRule="auto"/>
        <w:ind w:firstLineChars="200" w:firstLine="420"/>
        <w:jc w:val="left"/>
        <w:rPr>
          <w:rFonts w:ascii="宋体" w:hAnsi="宋体" w:cs="宋体" w:hint="eastAsia"/>
          <w:color w:val="000000"/>
          <w:szCs w:val="21"/>
        </w:rPr>
      </w:pPr>
      <w:r>
        <w:rPr>
          <w:rFonts w:ascii="宋体" w:hAnsi="宋体" w:cs="宋体" w:hint="eastAsia"/>
          <w:szCs w:val="21"/>
        </w:rPr>
        <w:t>投资者应与</w:t>
      </w:r>
      <w:r>
        <w:rPr>
          <w:rFonts w:ascii="宋体" w:hAnsi="宋体" w:cs="宋体" w:hint="eastAsia"/>
          <w:kern w:val="0"/>
          <w:szCs w:val="21"/>
        </w:rPr>
        <w:t>华夏财富</w:t>
      </w:r>
      <w:r>
        <w:rPr>
          <w:rFonts w:ascii="宋体" w:hAnsi="宋体" w:cs="宋体" w:hint="eastAsia"/>
          <w:szCs w:val="21"/>
        </w:rPr>
        <w:t>约定每期约定每期扣款（申购）金额，</w:t>
      </w:r>
      <w:r>
        <w:rPr>
          <w:rFonts w:ascii="宋体" w:hAnsi="宋体" w:cs="宋体" w:hint="eastAsia"/>
          <w:szCs w:val="21"/>
        </w:rPr>
        <w:t>每期定投最低申购金额为人民币</w:t>
      </w:r>
      <w:r>
        <w:rPr>
          <w:rFonts w:ascii="宋体" w:hAnsi="宋体" w:cs="宋体" w:hint="eastAsia"/>
          <w:szCs w:val="21"/>
        </w:rPr>
        <w:t>1.00</w:t>
      </w:r>
      <w:r>
        <w:rPr>
          <w:rFonts w:ascii="宋体" w:hAnsi="宋体" w:cs="宋体" w:hint="eastAsia"/>
          <w:szCs w:val="21"/>
        </w:rPr>
        <w:t>元，</w:t>
      </w:r>
      <w:r>
        <w:rPr>
          <w:rFonts w:ascii="宋体" w:hAnsi="宋体" w:cs="宋体" w:hint="eastAsia"/>
          <w:color w:val="000000"/>
          <w:szCs w:val="21"/>
        </w:rPr>
        <w:t>销售机构在符合上述规定的前提下，可根据情况调高每期最低申购金额，具体以销售机构</w:t>
      </w:r>
      <w:r>
        <w:rPr>
          <w:rFonts w:ascii="宋体" w:hAnsi="宋体" w:cs="宋体" w:hint="eastAsia"/>
          <w:color w:val="000000"/>
          <w:szCs w:val="21"/>
        </w:rPr>
        <w:t>相关规定</w:t>
      </w:r>
      <w:r>
        <w:rPr>
          <w:rFonts w:ascii="宋体" w:hAnsi="宋体" w:cs="宋体" w:hint="eastAsia"/>
          <w:color w:val="000000"/>
          <w:szCs w:val="21"/>
        </w:rPr>
        <w:t>为准</w:t>
      </w:r>
      <w:r>
        <w:rPr>
          <w:rFonts w:ascii="宋体" w:hAnsi="宋体" w:cs="宋体" w:hint="eastAsia"/>
          <w:color w:val="000000"/>
          <w:szCs w:val="21"/>
        </w:rPr>
        <w:t>。</w:t>
      </w:r>
    </w:p>
    <w:p w:rsidR="00000000" w:rsidRDefault="00060F46">
      <w:pPr>
        <w:tabs>
          <w:tab w:val="left" w:pos="720"/>
        </w:tabs>
        <w:autoSpaceDE w:val="0"/>
        <w:autoSpaceDN w:val="0"/>
        <w:adjustRightInd w:val="0"/>
        <w:spacing w:line="360" w:lineRule="auto"/>
        <w:ind w:right="18" w:firstLineChars="200" w:firstLine="420"/>
        <w:jc w:val="left"/>
        <w:rPr>
          <w:rFonts w:ascii="宋体" w:hAnsi="宋体" w:cs="宋体" w:hint="eastAsia"/>
          <w:szCs w:val="21"/>
        </w:rPr>
      </w:pPr>
      <w:r>
        <w:rPr>
          <w:rFonts w:ascii="宋体" w:hAnsi="宋体" w:cs="宋体" w:hint="eastAsia"/>
          <w:color w:val="000000"/>
          <w:szCs w:val="21"/>
        </w:rPr>
        <w:t xml:space="preserve"> </w:t>
      </w:r>
      <w:r>
        <w:rPr>
          <w:rFonts w:ascii="宋体" w:hAnsi="宋体" w:cs="宋体" w:hint="eastAsia"/>
          <w:color w:val="000000"/>
          <w:szCs w:val="21"/>
        </w:rPr>
        <w:t>三、</w:t>
      </w:r>
      <w:r>
        <w:rPr>
          <w:rFonts w:ascii="宋体" w:hAnsi="宋体" w:cs="宋体" w:hint="eastAsia"/>
          <w:szCs w:val="21"/>
        </w:rPr>
        <w:t>开通东吴基金旗下部分基金的基金转换业务</w:t>
      </w:r>
    </w:p>
    <w:p w:rsidR="00000000" w:rsidRDefault="00060F46">
      <w:pPr>
        <w:widowControl/>
        <w:tabs>
          <w:tab w:val="left" w:pos="720"/>
        </w:tabs>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为满足广大投资者的理财需求，东吴基金决定自</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w:t>
      </w:r>
      <w:r>
        <w:rPr>
          <w:rFonts w:ascii="宋体" w:hAnsi="宋体" w:cs="宋体" w:hint="eastAsia"/>
          <w:szCs w:val="21"/>
        </w:rPr>
        <w:t>起同时在</w:t>
      </w:r>
      <w:r>
        <w:rPr>
          <w:rFonts w:ascii="宋体" w:hAnsi="宋体" w:cs="宋体" w:hint="eastAsia"/>
          <w:kern w:val="0"/>
          <w:szCs w:val="21"/>
        </w:rPr>
        <w:t>华夏财富</w:t>
      </w:r>
      <w:r>
        <w:rPr>
          <w:rFonts w:ascii="宋体" w:hAnsi="宋体" w:cs="宋体" w:hint="eastAsia"/>
          <w:szCs w:val="21"/>
        </w:rPr>
        <w:t>开通</w:t>
      </w:r>
      <w:r>
        <w:rPr>
          <w:rFonts w:ascii="宋体" w:hAnsi="宋体" w:cs="宋体" w:hint="eastAsia"/>
          <w:szCs w:val="21"/>
        </w:rPr>
        <w:t>部分基金</w:t>
      </w:r>
      <w:r>
        <w:rPr>
          <w:rFonts w:ascii="宋体" w:hAnsi="宋体" w:cs="宋体" w:hint="eastAsia"/>
          <w:szCs w:val="21"/>
        </w:rPr>
        <w:t>的转换业务</w:t>
      </w:r>
      <w:r>
        <w:rPr>
          <w:rFonts w:ascii="宋体" w:hAnsi="宋体" w:cs="宋体" w:hint="eastAsia"/>
          <w:szCs w:val="21"/>
        </w:rPr>
        <w:t>(</w:t>
      </w:r>
      <w:r>
        <w:rPr>
          <w:rFonts w:ascii="宋体" w:hAnsi="宋体" w:cs="宋体" w:hint="eastAsia"/>
          <w:szCs w:val="21"/>
        </w:rPr>
        <w:t>部分产品仅开通转换转</w:t>
      </w:r>
      <w:r>
        <w:rPr>
          <w:rFonts w:ascii="宋体" w:hAnsi="宋体" w:cs="宋体" w:hint="eastAsia"/>
          <w:szCs w:val="21"/>
        </w:rPr>
        <w:t>入或转换转出，以产品公告为准）</w:t>
      </w:r>
      <w:r>
        <w:rPr>
          <w:rFonts w:ascii="宋体" w:hAnsi="宋体" w:cs="宋体" w:hint="eastAsia"/>
          <w:szCs w:val="21"/>
        </w:rPr>
        <w:t>，具体如下：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060F46">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color w:val="000000"/>
                <w:kern w:val="0"/>
                <w:szCs w:val="21"/>
                <w:lang/>
              </w:rPr>
            </w:pPr>
            <w:r>
              <w:rPr>
                <w:rFonts w:ascii="宋体" w:hAnsi="宋体" w:cs="宋体" w:hint="eastAsia"/>
                <w:szCs w:val="21"/>
                <w:lang/>
              </w:rPr>
              <w:t>东吴消费成长混合型证券投资基金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color w:val="000000"/>
                <w:kern w:val="0"/>
                <w:szCs w:val="21"/>
                <w:lang/>
              </w:rPr>
            </w:pPr>
            <w:r>
              <w:rPr>
                <w:rFonts w:ascii="宋体" w:hAnsi="宋体" w:cs="宋体" w:hint="eastAsia"/>
                <w:szCs w:val="21"/>
                <w:lang/>
              </w:rPr>
              <w:t>012971/012972</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东吴医疗服务股票型证券投资基金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013940/013941</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东吴新能源汽车股票型证券投资基金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014376/014377</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东吴月月享</w:t>
            </w:r>
            <w:r>
              <w:rPr>
                <w:rFonts w:ascii="宋体" w:hAnsi="宋体" w:cs="宋体" w:hint="eastAsia"/>
                <w:szCs w:val="21"/>
                <w:lang/>
              </w:rPr>
              <w:t>30</w:t>
            </w:r>
            <w:r>
              <w:rPr>
                <w:rFonts w:ascii="宋体" w:hAnsi="宋体" w:cs="宋体" w:hint="eastAsia"/>
                <w:szCs w:val="21"/>
                <w:lang/>
              </w:rPr>
              <w:t>天持有期短债债券型证券投资基金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015426/015427</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spacing w:line="400" w:lineRule="exact"/>
              <w:jc w:val="left"/>
              <w:rPr>
                <w:rFonts w:ascii="宋体" w:hAnsi="宋体" w:cs="宋体" w:hint="eastAsia"/>
                <w:szCs w:val="21"/>
                <w:lang/>
              </w:rPr>
            </w:pPr>
            <w:r>
              <w:rPr>
                <w:rFonts w:ascii="宋体" w:hAnsi="宋体" w:cs="宋体" w:hint="eastAsia"/>
                <w:szCs w:val="21"/>
                <w:lang/>
              </w:rPr>
              <w:t>016097/016098</w:t>
            </w:r>
          </w:p>
        </w:tc>
      </w:tr>
      <w:tr w:rsidR="00000000">
        <w:trPr>
          <w:trHeight w:val="385"/>
          <w:jc w:val="center"/>
        </w:trPr>
        <w:tc>
          <w:tcPr>
            <w:tcW w:w="676" w:type="dxa"/>
          </w:tcPr>
          <w:p w:rsidR="00000000" w:rsidRDefault="00060F46">
            <w:pPr>
              <w:widowControl/>
              <w:numPr>
                <w:ilvl w:val="0"/>
                <w:numId w:val="5"/>
              </w:numPr>
              <w:spacing w:line="400" w:lineRule="exact"/>
              <w:rPr>
                <w:rFonts w:ascii="宋体" w:hAnsi="宋体" w:cs="宋体" w:hint="eastAsia"/>
                <w:szCs w:val="21"/>
              </w:rPr>
            </w:pPr>
          </w:p>
        </w:tc>
        <w:tc>
          <w:tcPr>
            <w:tcW w:w="5940"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东吴添利三个月定期开放债券型证券投资基金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060F46">
            <w:pPr>
              <w:widowControl/>
              <w:textAlignment w:val="center"/>
              <w:rPr>
                <w:rFonts w:ascii="宋体" w:hAnsi="宋体" w:cs="宋体" w:hint="eastAsia"/>
                <w:szCs w:val="21"/>
                <w:lang/>
              </w:rPr>
            </w:pPr>
            <w:r>
              <w:rPr>
                <w:rFonts w:ascii="宋体" w:hAnsi="宋体" w:cs="宋体" w:hint="eastAsia"/>
                <w:szCs w:val="21"/>
                <w:lang/>
              </w:rPr>
              <w:t>016759/016760</w:t>
            </w:r>
          </w:p>
        </w:tc>
      </w:tr>
    </w:tbl>
    <w:p w:rsidR="00000000" w:rsidRDefault="00060F46">
      <w:pPr>
        <w:widowControl/>
        <w:tabs>
          <w:tab w:val="left" w:pos="720"/>
        </w:tabs>
        <w:autoSpaceDE w:val="0"/>
        <w:autoSpaceDN w:val="0"/>
        <w:adjustRightInd w:val="0"/>
        <w:spacing w:line="360" w:lineRule="auto"/>
        <w:ind w:right="18" w:firstLineChars="200" w:firstLine="420"/>
        <w:jc w:val="left"/>
        <w:rPr>
          <w:rFonts w:ascii="宋体" w:hAnsi="宋体" w:cs="宋体" w:hint="eastAsia"/>
          <w:szCs w:val="21"/>
        </w:rPr>
      </w:pPr>
    </w:p>
    <w:p w:rsidR="00000000" w:rsidRDefault="00060F46">
      <w:pPr>
        <w:widowControl/>
        <w:spacing w:line="360" w:lineRule="auto"/>
        <w:ind w:firstLineChars="200" w:firstLine="420"/>
        <w:jc w:val="left"/>
        <w:rPr>
          <w:rFonts w:ascii="宋体" w:hAnsi="宋体" w:cs="宋体" w:hint="eastAsia"/>
          <w:szCs w:val="21"/>
        </w:rPr>
      </w:pPr>
      <w:r>
        <w:rPr>
          <w:rFonts w:ascii="宋体" w:hAnsi="宋体" w:cs="宋体" w:hint="eastAsia"/>
          <w:szCs w:val="21"/>
        </w:rPr>
        <w:t>（一）、基金转换业务适用投资者范围</w:t>
      </w:r>
    </w:p>
    <w:p w:rsidR="00000000" w:rsidRDefault="00060F46">
      <w:pPr>
        <w:pStyle w:val="HTML"/>
        <w:spacing w:line="360" w:lineRule="auto"/>
        <w:ind w:firstLineChars="200" w:firstLine="420"/>
        <w:rPr>
          <w:rFonts w:hint="eastAsia"/>
          <w:color w:val="auto"/>
          <w:sz w:val="21"/>
          <w:szCs w:val="21"/>
        </w:rPr>
      </w:pPr>
      <w:r>
        <w:rPr>
          <w:rFonts w:hint="eastAsia"/>
          <w:color w:val="auto"/>
          <w:sz w:val="21"/>
          <w:szCs w:val="21"/>
        </w:rPr>
        <w:t>已持有本公司管理的开放式基金产品的投资者。</w:t>
      </w:r>
    </w:p>
    <w:p w:rsidR="00000000" w:rsidRDefault="00060F46">
      <w:pPr>
        <w:pStyle w:val="HTML"/>
        <w:spacing w:line="360" w:lineRule="auto"/>
        <w:ind w:firstLineChars="200" w:firstLine="420"/>
        <w:rPr>
          <w:rFonts w:hint="eastAsia"/>
          <w:color w:val="auto"/>
          <w:sz w:val="21"/>
          <w:szCs w:val="21"/>
        </w:rPr>
      </w:pPr>
      <w:r>
        <w:rPr>
          <w:rFonts w:hint="eastAsia"/>
          <w:color w:val="auto"/>
          <w:sz w:val="21"/>
          <w:szCs w:val="21"/>
        </w:rPr>
        <w:t>（二）、基金转换受理时间</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基金办理转换业务的开放日为上海证券交易所和深圳证券交易所交易日（本公司公告暂停转换时除外）。具体业务办理时间与基金日常申购业务时间相同。</w:t>
      </w:r>
    </w:p>
    <w:p w:rsidR="00000000" w:rsidRDefault="00060F46">
      <w:pPr>
        <w:spacing w:line="360" w:lineRule="auto"/>
        <w:ind w:firstLineChars="200" w:firstLine="420"/>
        <w:rPr>
          <w:rFonts w:ascii="宋体" w:hAnsi="宋体" w:cs="宋体" w:hint="eastAsia"/>
          <w:szCs w:val="21"/>
        </w:rPr>
      </w:pPr>
      <w:r>
        <w:rPr>
          <w:rFonts w:ascii="宋体" w:hAnsi="宋体" w:cs="宋体" w:hint="eastAsia"/>
          <w:szCs w:val="21"/>
        </w:rPr>
        <w:t>（三）、基金转换业务规则</w:t>
      </w:r>
    </w:p>
    <w:p w:rsidR="00000000" w:rsidRDefault="00060F46">
      <w:pPr>
        <w:tabs>
          <w:tab w:val="left" w:pos="720"/>
        </w:tabs>
        <w:autoSpaceDE w:val="0"/>
        <w:autoSpaceDN w:val="0"/>
        <w:adjustRightInd w:val="0"/>
        <w:spacing w:line="360" w:lineRule="auto"/>
        <w:ind w:right="18" w:firstLineChars="200" w:firstLine="420"/>
        <w:jc w:val="left"/>
        <w:rPr>
          <w:rFonts w:ascii="宋体" w:hAnsi="宋体" w:cs="宋体" w:hint="eastAsia"/>
          <w:color w:val="000000"/>
          <w:szCs w:val="21"/>
        </w:rPr>
      </w:pPr>
      <w:r>
        <w:rPr>
          <w:rFonts w:ascii="宋体" w:hAnsi="宋体" w:cs="宋体" w:hint="eastAsia"/>
          <w:color w:val="000000"/>
          <w:szCs w:val="21"/>
        </w:rPr>
        <w:t>转换业务具体业务规则请参照《东吴基金管理有限公司开放式基金业务规则》。</w:t>
      </w:r>
    </w:p>
    <w:p w:rsidR="00000000" w:rsidRDefault="00060F46">
      <w:pPr>
        <w:tabs>
          <w:tab w:val="left" w:pos="720"/>
        </w:tabs>
        <w:autoSpaceDE w:val="0"/>
        <w:autoSpaceDN w:val="0"/>
        <w:adjustRightInd w:val="0"/>
        <w:spacing w:line="400" w:lineRule="exact"/>
        <w:ind w:right="18"/>
        <w:jc w:val="left"/>
        <w:rPr>
          <w:rFonts w:ascii="宋体" w:hAnsi="宋体" w:cs="宋体" w:hint="eastAsia"/>
          <w:color w:val="000000"/>
          <w:szCs w:val="21"/>
        </w:rPr>
      </w:pPr>
    </w:p>
    <w:p w:rsidR="00000000" w:rsidRDefault="00060F46">
      <w:pPr>
        <w:tabs>
          <w:tab w:val="left" w:pos="720"/>
        </w:tabs>
        <w:autoSpaceDE w:val="0"/>
        <w:autoSpaceDN w:val="0"/>
        <w:adjustRightInd w:val="0"/>
        <w:spacing w:line="400" w:lineRule="exact"/>
        <w:ind w:right="18" w:firstLineChars="200" w:firstLine="420"/>
        <w:jc w:val="left"/>
        <w:rPr>
          <w:rFonts w:ascii="宋体" w:hAnsi="宋体" w:cs="宋体" w:hint="eastAsia"/>
          <w:color w:val="000000"/>
          <w:szCs w:val="21"/>
        </w:rPr>
      </w:pPr>
      <w:r>
        <w:rPr>
          <w:rFonts w:ascii="宋体" w:hAnsi="宋体" w:cs="宋体" w:hint="eastAsia"/>
          <w:color w:val="000000"/>
          <w:szCs w:val="21"/>
        </w:rPr>
        <w:t>四</w:t>
      </w:r>
      <w:r>
        <w:rPr>
          <w:rFonts w:ascii="宋体" w:hAnsi="宋体" w:cs="宋体" w:hint="eastAsia"/>
          <w:color w:val="000000"/>
          <w:szCs w:val="21"/>
        </w:rPr>
        <w:t>、投资者可通过以下途径了解或咨询相关情况</w:t>
      </w:r>
      <w:r>
        <w:rPr>
          <w:rFonts w:ascii="宋体" w:hAnsi="宋体" w:cs="宋体" w:hint="eastAsia"/>
          <w:color w:val="000000"/>
          <w:szCs w:val="21"/>
        </w:rPr>
        <w:t xml:space="preserve"> </w:t>
      </w:r>
    </w:p>
    <w:p w:rsidR="00000000" w:rsidRDefault="00060F46">
      <w:pPr>
        <w:spacing w:line="400" w:lineRule="exac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t>1</w:t>
      </w:r>
      <w:r>
        <w:rPr>
          <w:rFonts w:ascii="宋体" w:hAnsi="宋体" w:cs="宋体" w:hint="eastAsia"/>
          <w:kern w:val="0"/>
          <w:szCs w:val="21"/>
        </w:rPr>
        <w:t>、上海华夏财富投资管理有限公司</w:t>
      </w:r>
    </w:p>
    <w:p w:rsidR="00000000" w:rsidRDefault="00060F46">
      <w:pPr>
        <w:spacing w:line="400" w:lineRule="exac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客户服务热线：</w:t>
      </w:r>
      <w:r>
        <w:rPr>
          <w:rFonts w:ascii="宋体" w:hAnsi="宋体" w:cs="宋体" w:hint="eastAsia"/>
          <w:kern w:val="0"/>
          <w:szCs w:val="21"/>
        </w:rPr>
        <w:t>400-817-5</w:t>
      </w:r>
      <w:r>
        <w:rPr>
          <w:rFonts w:ascii="宋体" w:hAnsi="宋体" w:cs="宋体" w:hint="eastAsia"/>
          <w:kern w:val="0"/>
          <w:szCs w:val="21"/>
        </w:rPr>
        <w:t>666</w:t>
      </w:r>
    </w:p>
    <w:p w:rsidR="00000000" w:rsidRDefault="00060F46">
      <w:pPr>
        <w:spacing w:line="400" w:lineRule="exact"/>
        <w:ind w:firstLineChars="304" w:firstLine="638"/>
        <w:rPr>
          <w:rFonts w:ascii="宋体" w:hAnsi="宋体" w:cs="宋体" w:hint="eastAsia"/>
          <w:szCs w:val="21"/>
        </w:rPr>
      </w:pPr>
      <w:r>
        <w:rPr>
          <w:rFonts w:ascii="宋体" w:hAnsi="宋体" w:cs="宋体" w:hint="eastAsia"/>
          <w:kern w:val="0"/>
          <w:szCs w:val="21"/>
        </w:rPr>
        <w:t xml:space="preserve"> </w:t>
      </w:r>
      <w:r>
        <w:rPr>
          <w:rFonts w:ascii="宋体" w:hAnsi="宋体" w:cs="宋体" w:hint="eastAsia"/>
          <w:kern w:val="0"/>
          <w:szCs w:val="21"/>
        </w:rPr>
        <w:t>公司网址</w:t>
      </w:r>
      <w:r>
        <w:rPr>
          <w:rFonts w:ascii="宋体" w:hAnsi="宋体" w:cs="宋体" w:hint="eastAsia"/>
          <w:kern w:val="0"/>
          <w:szCs w:val="21"/>
        </w:rPr>
        <w:t xml:space="preserve">: </w:t>
      </w:r>
      <w:hyperlink r:id="rId5" w:history="1">
        <w:r>
          <w:rPr>
            <w:rFonts w:ascii="宋体" w:hAnsi="宋体" w:cs="宋体" w:hint="eastAsia"/>
            <w:szCs w:val="21"/>
          </w:rPr>
          <w:t>www.amcfortune.com</w:t>
        </w:r>
      </w:hyperlink>
    </w:p>
    <w:p w:rsidR="00000000" w:rsidRDefault="00060F46">
      <w:pPr>
        <w:spacing w:line="400" w:lineRule="exact"/>
        <w:ind w:firstLineChars="304" w:firstLine="638"/>
        <w:rPr>
          <w:rFonts w:ascii="宋体" w:hAnsi="宋体" w:cs="宋体" w:hint="eastAsia"/>
          <w:kern w:val="0"/>
          <w:szCs w:val="21"/>
        </w:rPr>
      </w:pPr>
    </w:p>
    <w:p w:rsidR="00000000" w:rsidRDefault="00060F46">
      <w:pPr>
        <w:spacing w:line="400" w:lineRule="exact"/>
        <w:ind w:firstLineChars="200" w:firstLine="420"/>
        <w:rPr>
          <w:rFonts w:ascii="宋体" w:hAnsi="宋体" w:cs="宋体" w:hint="eastAsia"/>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东吴基金管理有限公司</w:t>
      </w:r>
      <w:r>
        <w:rPr>
          <w:rFonts w:ascii="宋体" w:hAnsi="宋体" w:cs="宋体" w:hint="eastAsia"/>
          <w:kern w:val="0"/>
          <w:szCs w:val="21"/>
        </w:rPr>
        <w:t xml:space="preserve"> </w:t>
      </w:r>
    </w:p>
    <w:p w:rsidR="00000000" w:rsidRDefault="00060F46">
      <w:pPr>
        <w:spacing w:line="400" w:lineRule="exac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szCs w:val="21"/>
        </w:rPr>
        <w:t xml:space="preserve">   </w:t>
      </w:r>
      <w:r>
        <w:rPr>
          <w:rFonts w:ascii="宋体" w:hAnsi="宋体" w:cs="宋体" w:hint="eastAsia"/>
          <w:kern w:val="0"/>
          <w:szCs w:val="21"/>
        </w:rPr>
        <w:t>客户服务热线：</w:t>
      </w:r>
      <w:r>
        <w:rPr>
          <w:rFonts w:ascii="宋体" w:hAnsi="宋体" w:cs="宋体" w:hint="eastAsia"/>
          <w:kern w:val="0"/>
          <w:szCs w:val="21"/>
        </w:rPr>
        <w:t>400-821-0588</w:t>
      </w:r>
      <w:r>
        <w:rPr>
          <w:rFonts w:ascii="宋体" w:hAnsi="宋体" w:cs="宋体" w:hint="eastAsia"/>
          <w:kern w:val="0"/>
          <w:szCs w:val="21"/>
        </w:rPr>
        <w:t>（免长途话费）</w:t>
      </w:r>
    </w:p>
    <w:p w:rsidR="00000000" w:rsidRDefault="00060F46">
      <w:pPr>
        <w:spacing w:line="400" w:lineRule="exact"/>
        <w:rPr>
          <w:rFonts w:ascii="宋体" w:hAnsi="宋体" w:cs="宋体" w:hint="eastAsia"/>
          <w:szCs w:val="21"/>
        </w:rPr>
      </w:pPr>
      <w:r>
        <w:rPr>
          <w:rFonts w:ascii="宋体" w:hAnsi="宋体" w:cs="宋体" w:hint="eastAsia"/>
          <w:kern w:val="0"/>
          <w:szCs w:val="21"/>
        </w:rPr>
        <w:t xml:space="preserve">　　</w:t>
      </w:r>
      <w:r>
        <w:rPr>
          <w:rFonts w:ascii="宋体" w:hAnsi="宋体" w:cs="宋体" w:hint="eastAsia"/>
          <w:szCs w:val="21"/>
        </w:rPr>
        <w:t xml:space="preserve">   </w:t>
      </w:r>
      <w:r>
        <w:rPr>
          <w:rFonts w:ascii="宋体" w:hAnsi="宋体" w:cs="宋体" w:hint="eastAsia"/>
          <w:kern w:val="0"/>
          <w:szCs w:val="21"/>
        </w:rPr>
        <w:t>公司网址：</w:t>
      </w:r>
      <w:hyperlink r:id="rId6" w:history="1">
        <w:r>
          <w:rPr>
            <w:rFonts w:ascii="宋体" w:hAnsi="宋体" w:cs="宋体" w:hint="eastAsia"/>
            <w:szCs w:val="21"/>
          </w:rPr>
          <w:t>www.scfund.com.cn</w:t>
        </w:r>
      </w:hyperlink>
    </w:p>
    <w:p w:rsidR="00000000" w:rsidRDefault="00060F46">
      <w:pPr>
        <w:spacing w:line="360" w:lineRule="auto"/>
        <w:ind w:firstLineChars="200" w:firstLine="420"/>
        <w:rPr>
          <w:rFonts w:ascii="宋体" w:hAnsi="宋体" w:cs="宋体" w:hint="eastAsia"/>
          <w:color w:val="000000"/>
          <w:kern w:val="0"/>
          <w:szCs w:val="21"/>
        </w:rPr>
      </w:pPr>
    </w:p>
    <w:p w:rsidR="00000000" w:rsidRDefault="00060F46">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五</w:t>
      </w:r>
      <w:r>
        <w:rPr>
          <w:rFonts w:ascii="宋体" w:hAnsi="宋体" w:cs="宋体" w:hint="eastAsia"/>
          <w:color w:val="000000"/>
          <w:kern w:val="0"/>
          <w:szCs w:val="21"/>
        </w:rPr>
        <w:t>、风险提示</w:t>
      </w:r>
    </w:p>
    <w:p w:rsidR="00000000" w:rsidRDefault="00060F46">
      <w:pPr>
        <w:spacing w:line="360" w:lineRule="auto"/>
        <w:ind w:firstLineChars="200" w:firstLine="420"/>
        <w:rPr>
          <w:rFonts w:ascii="宋体" w:hAnsi="宋体" w:cs="宋体" w:hint="eastAsia"/>
          <w:szCs w:val="21"/>
        </w:rPr>
      </w:pPr>
      <w:r>
        <w:rPr>
          <w:rFonts w:ascii="宋体" w:hAnsi="宋体" w:cs="宋体" w:hint="eastAsia"/>
          <w:color w:val="000000"/>
          <w:kern w:val="0"/>
          <w:szCs w:val="21"/>
        </w:rPr>
        <w:t>本公司承诺以诚实信用、勤勉尽责的原则管理和运用基金资产，但不保证基金一定盈利，也不保证最低收益。敬请投资者在投资前认真阅</w:t>
      </w:r>
      <w:r>
        <w:rPr>
          <w:rFonts w:ascii="宋体" w:hAnsi="宋体" w:cs="宋体" w:hint="eastAsia"/>
          <w:color w:val="000000"/>
          <w:kern w:val="0"/>
          <w:szCs w:val="21"/>
        </w:rPr>
        <w:t>读我司旗下基金的《基金合同》和《招募说明书》</w:t>
      </w:r>
      <w:r>
        <w:rPr>
          <w:rFonts w:ascii="宋体" w:hAnsi="宋体" w:cs="宋体" w:hint="eastAsia"/>
          <w:color w:val="000000"/>
          <w:kern w:val="0"/>
          <w:szCs w:val="21"/>
        </w:rPr>
        <w:t>等法律文件</w:t>
      </w:r>
      <w:r>
        <w:rPr>
          <w:rFonts w:ascii="宋体" w:hAnsi="宋体" w:cs="宋体" w:hint="eastAsia"/>
          <w:szCs w:val="21"/>
        </w:rPr>
        <w:t>。</w:t>
      </w:r>
    </w:p>
    <w:p w:rsidR="00000000" w:rsidRDefault="00060F46">
      <w:pPr>
        <w:spacing w:line="400" w:lineRule="exact"/>
        <w:rPr>
          <w:rFonts w:ascii="宋体" w:hAnsi="宋体" w:cs="宋体" w:hint="eastAsia"/>
          <w:szCs w:val="21"/>
        </w:rPr>
      </w:pPr>
      <w:r>
        <w:rPr>
          <w:rFonts w:ascii="宋体" w:hAnsi="宋体" w:cs="宋体" w:hint="eastAsia"/>
          <w:szCs w:val="21"/>
        </w:rPr>
        <w:t xml:space="preserve">     </w:t>
      </w:r>
    </w:p>
    <w:p w:rsidR="00000000" w:rsidRDefault="00060F46">
      <w:pPr>
        <w:spacing w:line="40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特此公告。</w:t>
      </w:r>
      <w:r>
        <w:rPr>
          <w:rFonts w:ascii="宋体" w:hAnsi="宋体" w:cs="宋体" w:hint="eastAsia"/>
          <w:szCs w:val="21"/>
        </w:rPr>
        <w:t xml:space="preserve"> </w:t>
      </w:r>
    </w:p>
    <w:p w:rsidR="00000000" w:rsidRDefault="00060F46">
      <w:pPr>
        <w:spacing w:line="400" w:lineRule="exact"/>
        <w:rPr>
          <w:rFonts w:ascii="宋体" w:hAnsi="宋体" w:cs="宋体" w:hint="eastAsia"/>
          <w:szCs w:val="21"/>
        </w:rPr>
      </w:pPr>
    </w:p>
    <w:p w:rsidR="00000000" w:rsidRDefault="00060F46">
      <w:pPr>
        <w:spacing w:line="400" w:lineRule="exact"/>
        <w:jc w:val="righ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东吴基金管理有限公司</w:t>
      </w:r>
    </w:p>
    <w:p w:rsidR="00000000" w:rsidRDefault="00060F46">
      <w:pPr>
        <w:spacing w:line="400" w:lineRule="exact"/>
        <w:jc w:val="righ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p>
    <w:p w:rsidR="00000000" w:rsidRDefault="00060F46"/>
    <w:p w:rsidR="00000000" w:rsidRDefault="00060F46"/>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3EE046"/>
    <w:multiLevelType w:val="singleLevel"/>
    <w:tmpl w:val="943EE046"/>
    <w:lvl w:ilvl="0">
      <w:start w:val="1"/>
      <w:numFmt w:val="decimal"/>
      <w:lvlText w:val="%1."/>
      <w:lvlJc w:val="left"/>
      <w:pPr>
        <w:ind w:left="425" w:hanging="425"/>
      </w:pPr>
      <w:rPr>
        <w:rFonts w:hint="default"/>
      </w:rPr>
    </w:lvl>
  </w:abstractNum>
  <w:abstractNum w:abstractNumId="1">
    <w:nsid w:val="94717A90"/>
    <w:multiLevelType w:val="singleLevel"/>
    <w:tmpl w:val="94717A90"/>
    <w:lvl w:ilvl="0">
      <w:start w:val="1"/>
      <w:numFmt w:val="decimal"/>
      <w:lvlText w:val="%1."/>
      <w:lvlJc w:val="left"/>
      <w:pPr>
        <w:ind w:left="425" w:hanging="425"/>
      </w:pPr>
      <w:rPr>
        <w:rFonts w:hint="default"/>
      </w:rPr>
    </w:lvl>
  </w:abstractNum>
  <w:abstractNum w:abstractNumId="2">
    <w:nsid w:val="EF1314A2"/>
    <w:multiLevelType w:val="singleLevel"/>
    <w:tmpl w:val="EF1314A2"/>
    <w:lvl w:ilvl="0">
      <w:start w:val="2"/>
      <w:numFmt w:val="chineseCounting"/>
      <w:suff w:val="nothing"/>
      <w:lvlText w:val="（%1）"/>
      <w:lvlJc w:val="left"/>
      <w:pPr>
        <w:ind w:left="420" w:firstLine="0"/>
      </w:pPr>
      <w:rPr>
        <w:rFonts w:hint="eastAsia"/>
      </w:rPr>
    </w:lvl>
  </w:abstractNum>
  <w:abstractNum w:abstractNumId="3">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5E28EE34"/>
    <w:multiLevelType w:val="singleLevel"/>
    <w:tmpl w:val="5E28EE34"/>
    <w:lvl w:ilvl="0">
      <w:start w:val="1"/>
      <w:numFmt w:val="decimal"/>
      <w:lvlText w:val="%1."/>
      <w:lvlJc w:val="left"/>
      <w:pPr>
        <w:ind w:left="425" w:hanging="425"/>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s>
  <w:rsids>
    <w:rsidRoot w:val="00A1064D"/>
    <w:rsid w:val="00002377"/>
    <w:rsid w:val="0001137F"/>
    <w:rsid w:val="0001592A"/>
    <w:rsid w:val="00060F46"/>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57D17"/>
    <w:rsid w:val="00F62BB7"/>
    <w:rsid w:val="00F854C4"/>
    <w:rsid w:val="00F91A49"/>
    <w:rsid w:val="00FA490F"/>
    <w:rsid w:val="00FA728E"/>
    <w:rsid w:val="00FC5112"/>
    <w:rsid w:val="00FC5A8B"/>
    <w:rsid w:val="00FD5138"/>
    <w:rsid w:val="01266495"/>
    <w:rsid w:val="018141F9"/>
    <w:rsid w:val="01DA3C64"/>
    <w:rsid w:val="025E6EF2"/>
    <w:rsid w:val="028C42D4"/>
    <w:rsid w:val="028E4041"/>
    <w:rsid w:val="02A9126A"/>
    <w:rsid w:val="02C4633C"/>
    <w:rsid w:val="02FE7A2C"/>
    <w:rsid w:val="03164509"/>
    <w:rsid w:val="037B608B"/>
    <w:rsid w:val="03BF4636"/>
    <w:rsid w:val="04A47A5C"/>
    <w:rsid w:val="05282922"/>
    <w:rsid w:val="05434531"/>
    <w:rsid w:val="05FD0EAD"/>
    <w:rsid w:val="06171B42"/>
    <w:rsid w:val="076808B4"/>
    <w:rsid w:val="07775550"/>
    <w:rsid w:val="07E27256"/>
    <w:rsid w:val="07EC11B9"/>
    <w:rsid w:val="089B75B6"/>
    <w:rsid w:val="097914DE"/>
    <w:rsid w:val="09C82DC6"/>
    <w:rsid w:val="09CF1612"/>
    <w:rsid w:val="0A641E54"/>
    <w:rsid w:val="0AE5737F"/>
    <w:rsid w:val="0AFA04AF"/>
    <w:rsid w:val="0B285199"/>
    <w:rsid w:val="0B2854B7"/>
    <w:rsid w:val="0B702E95"/>
    <w:rsid w:val="0C1734E6"/>
    <w:rsid w:val="0C465321"/>
    <w:rsid w:val="0CDA088F"/>
    <w:rsid w:val="0CFC7345"/>
    <w:rsid w:val="0D781E29"/>
    <w:rsid w:val="0F1E179F"/>
    <w:rsid w:val="0F5A6124"/>
    <w:rsid w:val="0FCE7E58"/>
    <w:rsid w:val="103852DA"/>
    <w:rsid w:val="103D7A7A"/>
    <w:rsid w:val="10BC5AA5"/>
    <w:rsid w:val="117D03B7"/>
    <w:rsid w:val="11D35ECA"/>
    <w:rsid w:val="121B17A1"/>
    <w:rsid w:val="12260115"/>
    <w:rsid w:val="126C35C1"/>
    <w:rsid w:val="12EA35CC"/>
    <w:rsid w:val="12ED0AC1"/>
    <w:rsid w:val="13A147CE"/>
    <w:rsid w:val="1412586F"/>
    <w:rsid w:val="144D74F1"/>
    <w:rsid w:val="14695692"/>
    <w:rsid w:val="149A6E87"/>
    <w:rsid w:val="149B08DC"/>
    <w:rsid w:val="15284B7A"/>
    <w:rsid w:val="156173A0"/>
    <w:rsid w:val="166D15EC"/>
    <w:rsid w:val="16887312"/>
    <w:rsid w:val="16BB2E3C"/>
    <w:rsid w:val="16E41E49"/>
    <w:rsid w:val="176C38A0"/>
    <w:rsid w:val="17837E4E"/>
    <w:rsid w:val="17F92A0B"/>
    <w:rsid w:val="183F3F70"/>
    <w:rsid w:val="185A6A58"/>
    <w:rsid w:val="18723695"/>
    <w:rsid w:val="196E49C7"/>
    <w:rsid w:val="1A0B0B52"/>
    <w:rsid w:val="1A4100CF"/>
    <w:rsid w:val="1B12406E"/>
    <w:rsid w:val="1BED5CE0"/>
    <w:rsid w:val="1C677BCF"/>
    <w:rsid w:val="1CA27161"/>
    <w:rsid w:val="1CDF3654"/>
    <w:rsid w:val="1E3644FF"/>
    <w:rsid w:val="1F792FCA"/>
    <w:rsid w:val="1FC7683A"/>
    <w:rsid w:val="1FDF5B04"/>
    <w:rsid w:val="20040DFF"/>
    <w:rsid w:val="213212D6"/>
    <w:rsid w:val="21FC2E7E"/>
    <w:rsid w:val="2217174F"/>
    <w:rsid w:val="22213E6C"/>
    <w:rsid w:val="224C5A31"/>
    <w:rsid w:val="225C7323"/>
    <w:rsid w:val="2269333F"/>
    <w:rsid w:val="22B107F8"/>
    <w:rsid w:val="235231CF"/>
    <w:rsid w:val="23A83A0D"/>
    <w:rsid w:val="24140680"/>
    <w:rsid w:val="242C0600"/>
    <w:rsid w:val="24FF2071"/>
    <w:rsid w:val="25123A35"/>
    <w:rsid w:val="2534229A"/>
    <w:rsid w:val="257D32B1"/>
    <w:rsid w:val="25EC6BD7"/>
    <w:rsid w:val="27751639"/>
    <w:rsid w:val="27C45851"/>
    <w:rsid w:val="27E36121"/>
    <w:rsid w:val="280C74C5"/>
    <w:rsid w:val="28525604"/>
    <w:rsid w:val="29531379"/>
    <w:rsid w:val="297E1EFC"/>
    <w:rsid w:val="2A656EEF"/>
    <w:rsid w:val="2AAE6793"/>
    <w:rsid w:val="2B382728"/>
    <w:rsid w:val="2B5C6850"/>
    <w:rsid w:val="2BAD2685"/>
    <w:rsid w:val="2C445CD5"/>
    <w:rsid w:val="2CB23497"/>
    <w:rsid w:val="2D2F0A6E"/>
    <w:rsid w:val="2DB228E5"/>
    <w:rsid w:val="2E290C48"/>
    <w:rsid w:val="2FAA2872"/>
    <w:rsid w:val="2FCA1259"/>
    <w:rsid w:val="30174FB3"/>
    <w:rsid w:val="309148BA"/>
    <w:rsid w:val="30D40089"/>
    <w:rsid w:val="323563A5"/>
    <w:rsid w:val="32B61B46"/>
    <w:rsid w:val="32C945B8"/>
    <w:rsid w:val="32FC4A99"/>
    <w:rsid w:val="33030223"/>
    <w:rsid w:val="330C0562"/>
    <w:rsid w:val="33464B7A"/>
    <w:rsid w:val="33576347"/>
    <w:rsid w:val="33915228"/>
    <w:rsid w:val="33B075FE"/>
    <w:rsid w:val="340D6DFE"/>
    <w:rsid w:val="351A72AD"/>
    <w:rsid w:val="35282C5A"/>
    <w:rsid w:val="354D41DF"/>
    <w:rsid w:val="36371F6E"/>
    <w:rsid w:val="36AC5178"/>
    <w:rsid w:val="370C6F24"/>
    <w:rsid w:val="373E372F"/>
    <w:rsid w:val="38137F9C"/>
    <w:rsid w:val="384D2127"/>
    <w:rsid w:val="39E949C6"/>
    <w:rsid w:val="39FB0130"/>
    <w:rsid w:val="3A0D38CD"/>
    <w:rsid w:val="3BCF2D0F"/>
    <w:rsid w:val="3C44454F"/>
    <w:rsid w:val="3D6E29EB"/>
    <w:rsid w:val="3DA939C5"/>
    <w:rsid w:val="3E1F1601"/>
    <w:rsid w:val="3E431917"/>
    <w:rsid w:val="3EA74EA6"/>
    <w:rsid w:val="3EAB2453"/>
    <w:rsid w:val="3EBE5CD8"/>
    <w:rsid w:val="3F0C3CD8"/>
    <w:rsid w:val="3F0D38BA"/>
    <w:rsid w:val="40591B82"/>
    <w:rsid w:val="406900CD"/>
    <w:rsid w:val="409B7B27"/>
    <w:rsid w:val="412133EB"/>
    <w:rsid w:val="41F017A8"/>
    <w:rsid w:val="431369E3"/>
    <w:rsid w:val="443C6B00"/>
    <w:rsid w:val="44440113"/>
    <w:rsid w:val="44D067D1"/>
    <w:rsid w:val="44E670C8"/>
    <w:rsid w:val="453E3F7B"/>
    <w:rsid w:val="46692B10"/>
    <w:rsid w:val="467C28B2"/>
    <w:rsid w:val="46B05CA5"/>
    <w:rsid w:val="471431A1"/>
    <w:rsid w:val="476F114B"/>
    <w:rsid w:val="47C17D67"/>
    <w:rsid w:val="48463A92"/>
    <w:rsid w:val="488515F1"/>
    <w:rsid w:val="489354A0"/>
    <w:rsid w:val="49083735"/>
    <w:rsid w:val="490F7BDD"/>
    <w:rsid w:val="4AAF17BC"/>
    <w:rsid w:val="4AD72EC2"/>
    <w:rsid w:val="4AFB1112"/>
    <w:rsid w:val="4C8C3A8E"/>
    <w:rsid w:val="4D473B61"/>
    <w:rsid w:val="4E053C46"/>
    <w:rsid w:val="4E13044B"/>
    <w:rsid w:val="4E326A2A"/>
    <w:rsid w:val="4EC201C3"/>
    <w:rsid w:val="4F1C2EFD"/>
    <w:rsid w:val="4F691C56"/>
    <w:rsid w:val="4FA249DE"/>
    <w:rsid w:val="4FD81752"/>
    <w:rsid w:val="51B0093F"/>
    <w:rsid w:val="51C41695"/>
    <w:rsid w:val="51D363A1"/>
    <w:rsid w:val="51E53A6D"/>
    <w:rsid w:val="524B0146"/>
    <w:rsid w:val="52861B73"/>
    <w:rsid w:val="52D60FD9"/>
    <w:rsid w:val="531D1557"/>
    <w:rsid w:val="5328390B"/>
    <w:rsid w:val="53506042"/>
    <w:rsid w:val="54697EE3"/>
    <w:rsid w:val="54D460B5"/>
    <w:rsid w:val="554167A1"/>
    <w:rsid w:val="56A11CCE"/>
    <w:rsid w:val="57564D00"/>
    <w:rsid w:val="5794651A"/>
    <w:rsid w:val="580F7213"/>
    <w:rsid w:val="581811B5"/>
    <w:rsid w:val="58406A82"/>
    <w:rsid w:val="58BB67A0"/>
    <w:rsid w:val="58DA0FD3"/>
    <w:rsid w:val="58F65C68"/>
    <w:rsid w:val="58FF5142"/>
    <w:rsid w:val="59391735"/>
    <w:rsid w:val="59C33488"/>
    <w:rsid w:val="5A765101"/>
    <w:rsid w:val="5A9F0071"/>
    <w:rsid w:val="5AF57022"/>
    <w:rsid w:val="5B6C4405"/>
    <w:rsid w:val="5B850857"/>
    <w:rsid w:val="5BA33C64"/>
    <w:rsid w:val="5BE71D34"/>
    <w:rsid w:val="5BF159D4"/>
    <w:rsid w:val="5C712910"/>
    <w:rsid w:val="5D057564"/>
    <w:rsid w:val="5D130BC5"/>
    <w:rsid w:val="5DF854E1"/>
    <w:rsid w:val="5E2A5AED"/>
    <w:rsid w:val="5E7D2556"/>
    <w:rsid w:val="5F110351"/>
    <w:rsid w:val="5F1A1F51"/>
    <w:rsid w:val="5F3C0630"/>
    <w:rsid w:val="5FAA4FFC"/>
    <w:rsid w:val="6025124B"/>
    <w:rsid w:val="603D5AAD"/>
    <w:rsid w:val="60467BAF"/>
    <w:rsid w:val="6072134A"/>
    <w:rsid w:val="608A7D81"/>
    <w:rsid w:val="60D50800"/>
    <w:rsid w:val="61186496"/>
    <w:rsid w:val="61BE058B"/>
    <w:rsid w:val="61F61A03"/>
    <w:rsid w:val="6219297F"/>
    <w:rsid w:val="625E03EE"/>
    <w:rsid w:val="62E01DCA"/>
    <w:rsid w:val="637D72F5"/>
    <w:rsid w:val="63857653"/>
    <w:rsid w:val="63D931E2"/>
    <w:rsid w:val="641D434E"/>
    <w:rsid w:val="650A6E75"/>
    <w:rsid w:val="651560BA"/>
    <w:rsid w:val="65273A24"/>
    <w:rsid w:val="652E52F0"/>
    <w:rsid w:val="65890AB7"/>
    <w:rsid w:val="65916115"/>
    <w:rsid w:val="65DE5582"/>
    <w:rsid w:val="66240165"/>
    <w:rsid w:val="66F43AF7"/>
    <w:rsid w:val="67787F8D"/>
    <w:rsid w:val="67F266AF"/>
    <w:rsid w:val="68FC32F2"/>
    <w:rsid w:val="69A07404"/>
    <w:rsid w:val="69E95778"/>
    <w:rsid w:val="6A596387"/>
    <w:rsid w:val="6A732B77"/>
    <w:rsid w:val="6B3016EB"/>
    <w:rsid w:val="6BBB6AAD"/>
    <w:rsid w:val="6DB15CE3"/>
    <w:rsid w:val="6DCF7A62"/>
    <w:rsid w:val="6EB448FD"/>
    <w:rsid w:val="6F002964"/>
    <w:rsid w:val="6F383D07"/>
    <w:rsid w:val="6F421085"/>
    <w:rsid w:val="6FFD3683"/>
    <w:rsid w:val="706C7FA2"/>
    <w:rsid w:val="71127BA2"/>
    <w:rsid w:val="7187084F"/>
    <w:rsid w:val="726F6D4C"/>
    <w:rsid w:val="72835E6E"/>
    <w:rsid w:val="73F12CD0"/>
    <w:rsid w:val="73FD2CDB"/>
    <w:rsid w:val="745A07E0"/>
    <w:rsid w:val="753271D8"/>
    <w:rsid w:val="757438E6"/>
    <w:rsid w:val="75E861EF"/>
    <w:rsid w:val="768C1119"/>
    <w:rsid w:val="776C6CE8"/>
    <w:rsid w:val="777658CC"/>
    <w:rsid w:val="777D46CA"/>
    <w:rsid w:val="77923065"/>
    <w:rsid w:val="77B37523"/>
    <w:rsid w:val="77EF43DC"/>
    <w:rsid w:val="78501E3B"/>
    <w:rsid w:val="795A5208"/>
    <w:rsid w:val="79833C7C"/>
    <w:rsid w:val="79C91A00"/>
    <w:rsid w:val="79DB41C3"/>
    <w:rsid w:val="7A5709DC"/>
    <w:rsid w:val="7A8F4748"/>
    <w:rsid w:val="7A9629B0"/>
    <w:rsid w:val="7B9F358C"/>
    <w:rsid w:val="7C271FE0"/>
    <w:rsid w:val="7CE03CA6"/>
    <w:rsid w:val="7D0801C2"/>
    <w:rsid w:val="7D3B2EE5"/>
    <w:rsid w:val="7DA60233"/>
    <w:rsid w:val="7DC83E07"/>
    <w:rsid w:val="7DE92D15"/>
    <w:rsid w:val="7E1A4758"/>
    <w:rsid w:val="7F1076A5"/>
    <w:rsid w:val="7F737252"/>
    <w:rsid w:val="7FCD3814"/>
    <w:rsid w:val="7FDB03DA"/>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800080"/>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0">
    <w:name w:val="emailstyle20"/>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3">
    <w:name w:val="emailstyle23"/>
    <w:rPr>
      <w:rFonts w:ascii="Calibri" w:hAnsi="Calibri" w:cs="Calibri" w:hint="default"/>
      <w:color w:val="1F497D"/>
    </w:rPr>
  </w:style>
  <w:style w:type="character" w:customStyle="1" w:styleId="emailstyle22">
    <w:name w:val="emailstyle22"/>
    <w:rPr>
      <w:rFonts w:ascii="Calibri" w:hAnsi="Calibri" w:cs="Calibri" w:hint="default"/>
      <w:color w:val="1F497D"/>
    </w:rPr>
  </w:style>
  <w:style w:type="character" w:customStyle="1" w:styleId="emailstyle21">
    <w:name w:val="emailstyle21"/>
    <w:rPr>
      <w:rFonts w:ascii="Calibri" w:hAnsi="Calibri" w:cs="Calibri" w:hint="default"/>
      <w:color w:val="1F497D"/>
    </w:rPr>
  </w:style>
  <w:style w:type="character" w:customStyle="1" w:styleId="emailstyle24">
    <w:name w:val="emailstyle24"/>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fund.com.cn" TargetMode="External"/><Relationship Id="rId5" Type="http://schemas.openxmlformats.org/officeDocument/2006/relationships/hyperlink" Target="http://www.amcfortu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4</DocSecurity>
  <PresentationFormat/>
  <Lines>17</Lines>
  <Paragraphs>4</Paragraphs>
  <Slides>0</Slides>
  <Notes>0</Notes>
  <HiddenSlides>0</HiddenSlides>
  <MMClips>0</MMClips>
  <ScaleCrop>false</ScaleCrop>
  <Manager/>
  <Company>DW</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东吴基金管理有限公司关于旗下部分基金新增上海华夏财富投资管理有限公司为代销机构、开通定期定额投资及转换业务的公告</dc:title>
  <dc:subject/>
  <dc:creator>dw</dc:creator>
  <cp:keywords/>
  <dc:description/>
  <cp:lastModifiedBy>ZHONGM</cp:lastModifiedBy>
  <cp:revision>2</cp:revision>
  <cp:lastPrinted>2015-06-11T02:51:00Z</cp:lastPrinted>
  <dcterms:created xsi:type="dcterms:W3CDTF">2023-08-20T16:00:00Z</dcterms:created>
  <dcterms:modified xsi:type="dcterms:W3CDTF">2023-08-20T16:00:00Z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9CC074E587E749DFB26E76DED5B80843_13</vt:lpwstr>
  </property>
</Properties>
</file>