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9B" w:rsidRDefault="00EE6C4D">
      <w:pPr>
        <w:jc w:val="center"/>
        <w:rPr>
          <w:b/>
          <w:sz w:val="28"/>
          <w:szCs w:val="28"/>
          <w:lang/>
        </w:rPr>
      </w:pPr>
      <w:r>
        <w:rPr>
          <w:rFonts w:hint="eastAsia"/>
          <w:b/>
          <w:sz w:val="28"/>
          <w:szCs w:val="28"/>
          <w:lang/>
        </w:rPr>
        <w:t>长盛</w:t>
      </w:r>
      <w:r w:rsidR="00491F44">
        <w:rPr>
          <w:rFonts w:hint="eastAsia"/>
          <w:b/>
          <w:sz w:val="28"/>
          <w:szCs w:val="28"/>
          <w:lang/>
        </w:rPr>
        <w:t>基金管理有限公司</w:t>
      </w:r>
    </w:p>
    <w:p w:rsidR="00F0519B" w:rsidRDefault="00491F44">
      <w:pPr>
        <w:jc w:val="center"/>
        <w:rPr>
          <w:b/>
          <w:sz w:val="28"/>
          <w:szCs w:val="28"/>
        </w:rPr>
      </w:pPr>
      <w:r>
        <w:rPr>
          <w:rFonts w:hint="eastAsia"/>
          <w:b/>
          <w:sz w:val="28"/>
          <w:szCs w:val="28"/>
        </w:rPr>
        <w:t>关于调低旗下部分基金费率并修订基金合同的公告</w:t>
      </w:r>
    </w:p>
    <w:p w:rsidR="00F0519B" w:rsidRDefault="00F0519B">
      <w:pPr>
        <w:spacing w:line="360" w:lineRule="auto"/>
        <w:ind w:firstLineChars="200" w:firstLine="420"/>
        <w:rPr>
          <w:rFonts w:asciiTheme="minorEastAsia" w:hAnsiTheme="minorEastAsia"/>
          <w:szCs w:val="21"/>
          <w:highlight w:val="lightGray"/>
        </w:rPr>
      </w:pPr>
    </w:p>
    <w:p w:rsidR="00F0519B" w:rsidRDefault="00491F44">
      <w:pPr>
        <w:spacing w:line="360" w:lineRule="auto"/>
        <w:ind w:firstLineChars="200" w:firstLine="420"/>
        <w:rPr>
          <w:rFonts w:asciiTheme="minorEastAsia" w:hAnsiTheme="minorEastAsia"/>
          <w:szCs w:val="21"/>
        </w:rPr>
      </w:pPr>
      <w:r>
        <w:rPr>
          <w:rFonts w:asciiTheme="minorEastAsia" w:hAnsiTheme="minorEastAsia" w:hint="eastAsia"/>
          <w:szCs w:val="21"/>
        </w:rPr>
        <w:t>为更好地满足广大投资者的投资理财需求，降低投资者的理财成本，经与相关公开募集证券投资基金（以下简称“基金”）的基金托管人协商一致，</w:t>
      </w:r>
      <w:r w:rsidR="00EE6C4D">
        <w:rPr>
          <w:rFonts w:asciiTheme="minorEastAsia" w:hAnsiTheme="minorEastAsia" w:hint="eastAsia"/>
          <w:szCs w:val="21"/>
          <w:lang/>
        </w:rPr>
        <w:t>长盛</w:t>
      </w:r>
      <w:r>
        <w:rPr>
          <w:rFonts w:asciiTheme="minorEastAsia" w:hAnsiTheme="minorEastAsia" w:hint="eastAsia"/>
          <w:szCs w:val="21"/>
          <w:lang/>
        </w:rPr>
        <w:t>基金管理有限公司</w:t>
      </w:r>
      <w:r>
        <w:rPr>
          <w:rFonts w:asciiTheme="minorEastAsia" w:hAnsiTheme="minorEastAsia" w:hint="eastAsia"/>
          <w:szCs w:val="21"/>
        </w:rPr>
        <w:t>（以下简称“本公司”）决定自2023年</w:t>
      </w:r>
      <w:r w:rsidR="00720920">
        <w:rPr>
          <w:rFonts w:asciiTheme="minorEastAsia" w:hAnsiTheme="minorEastAsia"/>
          <w:szCs w:val="21"/>
        </w:rPr>
        <w:t>8</w:t>
      </w:r>
      <w:r>
        <w:rPr>
          <w:rFonts w:asciiTheme="minorEastAsia" w:hAnsiTheme="minorEastAsia" w:hint="eastAsia"/>
          <w:szCs w:val="21"/>
        </w:rPr>
        <w:t>月</w:t>
      </w:r>
      <w:r w:rsidR="00720920">
        <w:rPr>
          <w:rFonts w:asciiTheme="minorEastAsia" w:hAnsiTheme="minorEastAsia"/>
          <w:szCs w:val="21"/>
        </w:rPr>
        <w:t>21</w:t>
      </w:r>
      <w:r>
        <w:rPr>
          <w:rFonts w:asciiTheme="minorEastAsia" w:hAnsiTheme="minorEastAsia" w:hint="eastAsia"/>
          <w:szCs w:val="21"/>
        </w:rPr>
        <w:t>日起，调低旗下部分基金的管理费率</w:t>
      </w:r>
      <w:r w:rsidR="00EF5A44">
        <w:rPr>
          <w:rFonts w:asciiTheme="minorEastAsia" w:hAnsiTheme="minorEastAsia" w:hint="eastAsia"/>
          <w:szCs w:val="21"/>
        </w:rPr>
        <w:t>和/或</w:t>
      </w:r>
      <w:r>
        <w:rPr>
          <w:rFonts w:asciiTheme="minorEastAsia" w:hAnsiTheme="minorEastAsia" w:hint="eastAsia"/>
          <w:szCs w:val="21"/>
        </w:rPr>
        <w:t xml:space="preserve">托管费率并对基金合同有关条款进行修订。现将有关修订内容说明如下： </w:t>
      </w:r>
    </w:p>
    <w:p w:rsidR="00F0519B" w:rsidRDefault="00491F44">
      <w:pPr>
        <w:spacing w:line="360" w:lineRule="auto"/>
        <w:ind w:firstLineChars="200" w:firstLine="420"/>
        <w:rPr>
          <w:rFonts w:asciiTheme="minorEastAsia" w:hAnsiTheme="minorEastAsia"/>
          <w:szCs w:val="21"/>
        </w:rPr>
      </w:pPr>
      <w:r>
        <w:rPr>
          <w:rFonts w:asciiTheme="minorEastAsia" w:hAnsiTheme="minorEastAsia" w:hint="eastAsia"/>
          <w:szCs w:val="21"/>
        </w:rPr>
        <w:t>1、根据相关法律法规</w:t>
      </w:r>
      <w:r w:rsidR="00F506F2">
        <w:rPr>
          <w:rFonts w:asciiTheme="minorEastAsia" w:hAnsiTheme="minorEastAsia" w:hint="eastAsia"/>
          <w:szCs w:val="21"/>
        </w:rPr>
        <w:t>规定</w:t>
      </w:r>
      <w:r>
        <w:rPr>
          <w:rFonts w:asciiTheme="minorEastAsia" w:hAnsiTheme="minorEastAsia" w:hint="eastAsia"/>
          <w:szCs w:val="21"/>
        </w:rPr>
        <w:t>和基金合同的约定，本公司决定调低旗下部分基金的管理费率</w:t>
      </w:r>
      <w:r w:rsidR="00EF5A44">
        <w:rPr>
          <w:rFonts w:asciiTheme="minorEastAsia" w:hAnsiTheme="minorEastAsia" w:hint="eastAsia"/>
          <w:szCs w:val="21"/>
        </w:rPr>
        <w:t>和/或</w:t>
      </w:r>
      <w:r>
        <w:rPr>
          <w:rFonts w:asciiTheme="minorEastAsia" w:hAnsiTheme="minorEastAsia" w:hint="eastAsia"/>
          <w:szCs w:val="21"/>
        </w:rPr>
        <w:t>托管费率，并对相关基金合同进行必要的修订。</w:t>
      </w:r>
      <w:r>
        <w:rPr>
          <w:rFonts w:hint="eastAsia"/>
          <w:szCs w:val="21"/>
        </w:rPr>
        <w:t>相关基金的名单及费率调整情况参见附件，相关基金的托管协议、招募说明书、基金产品资料概要据此相应进行必要修订。</w:t>
      </w:r>
    </w:p>
    <w:p w:rsidR="00F0519B" w:rsidRDefault="00491F44">
      <w:pPr>
        <w:spacing w:line="360" w:lineRule="auto"/>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w:t>
      </w:r>
      <w:r>
        <w:rPr>
          <w:rFonts w:hint="eastAsia"/>
          <w:szCs w:val="21"/>
        </w:rPr>
        <w:t>本次相关基金的基金合同、托管协议、招募说明书和基金产品资料概要修订的内容和程序符合有关法律法规</w:t>
      </w:r>
      <w:r w:rsidR="00F506F2">
        <w:rPr>
          <w:rFonts w:hint="eastAsia"/>
          <w:szCs w:val="21"/>
        </w:rPr>
        <w:t>规定</w:t>
      </w:r>
      <w:r>
        <w:rPr>
          <w:rFonts w:hint="eastAsia"/>
          <w:szCs w:val="21"/>
        </w:rPr>
        <w:t>和基金合同的规定。</w:t>
      </w:r>
      <w:r w:rsidR="003C0C5F">
        <w:rPr>
          <w:rFonts w:hint="eastAsia"/>
          <w:szCs w:val="21"/>
        </w:rPr>
        <w:t>本次修订内容主要</w:t>
      </w:r>
      <w:r w:rsidR="00BB0CBE">
        <w:rPr>
          <w:rFonts w:hint="eastAsia"/>
          <w:szCs w:val="21"/>
        </w:rPr>
        <w:t>为</w:t>
      </w:r>
      <w:r w:rsidR="003C0C5F">
        <w:rPr>
          <w:rFonts w:hint="eastAsia"/>
          <w:szCs w:val="21"/>
        </w:rPr>
        <w:t>上述基金费率调整并</w:t>
      </w:r>
      <w:r w:rsidR="003C0C5F" w:rsidRPr="003C0C5F">
        <w:rPr>
          <w:rFonts w:hint="eastAsia"/>
          <w:szCs w:val="21"/>
        </w:rPr>
        <w:t>更新法律法规及基金管理人和基金托管人的基本信息等必要内容</w:t>
      </w:r>
      <w:r>
        <w:rPr>
          <w:rFonts w:hint="eastAsia"/>
          <w:szCs w:val="21"/>
        </w:rPr>
        <w:t>，其余</w:t>
      </w:r>
      <w:r w:rsidR="003C0C5F">
        <w:rPr>
          <w:rFonts w:hint="eastAsia"/>
          <w:szCs w:val="21"/>
        </w:rPr>
        <w:t>内容</w:t>
      </w:r>
      <w:r>
        <w:rPr>
          <w:rFonts w:hint="eastAsia"/>
          <w:szCs w:val="21"/>
        </w:rPr>
        <w:t>不作变更。本次修订后的基金合同、托管协议、招募说明书（更新）和基金产品资料概要（更新）将在本公司网站（</w:t>
      </w:r>
      <w:r w:rsidR="00EE6C4D" w:rsidRPr="00EE6C4D">
        <w:rPr>
          <w:szCs w:val="21"/>
        </w:rPr>
        <w:t>www.csfunds.com.cn</w:t>
      </w:r>
      <w:r>
        <w:rPr>
          <w:rFonts w:hAnsi="Calibri" w:hint="eastAsia"/>
          <w:szCs w:val="21"/>
        </w:rPr>
        <w:t>）和中国证监会基金电子披露网站（</w:t>
      </w:r>
      <w:r>
        <w:rPr>
          <w:rFonts w:hint="eastAsia"/>
          <w:szCs w:val="21"/>
        </w:rPr>
        <w:t>http://eid.csrc.gov.cn/fund</w:t>
      </w:r>
      <w:r>
        <w:rPr>
          <w:rFonts w:hAnsi="Calibri" w:hint="eastAsia"/>
          <w:szCs w:val="21"/>
        </w:rPr>
        <w:t>）发布。投资人办理基金交易等相关业务前，应仔细阅读各基金的基金合同、</w:t>
      </w:r>
      <w:r w:rsidR="00CB0091">
        <w:rPr>
          <w:rFonts w:hAnsi="Calibri" w:hint="eastAsia"/>
          <w:szCs w:val="21"/>
        </w:rPr>
        <w:t>托管协议、</w:t>
      </w:r>
      <w:r>
        <w:rPr>
          <w:rFonts w:hAnsi="Calibri" w:hint="eastAsia"/>
          <w:szCs w:val="21"/>
        </w:rPr>
        <w:t>招募说明书、基金产品资料概要等文件。</w:t>
      </w:r>
    </w:p>
    <w:p w:rsidR="00F0519B" w:rsidRDefault="00EE6C4D">
      <w:pPr>
        <w:spacing w:line="360" w:lineRule="auto"/>
        <w:ind w:firstLineChars="200" w:firstLine="420"/>
        <w:rPr>
          <w:rFonts w:asciiTheme="minorEastAsia" w:hAnsiTheme="minorEastAsia"/>
          <w:szCs w:val="21"/>
        </w:rPr>
      </w:pPr>
      <w:r>
        <w:rPr>
          <w:rFonts w:hint="eastAsia"/>
        </w:rPr>
        <w:t>投资人可登录本公司网站（</w:t>
      </w:r>
      <w:r>
        <w:rPr>
          <w:rFonts w:hint="eastAsia"/>
        </w:rPr>
        <w:t>www.csfunds.com.cn</w:t>
      </w:r>
      <w:r>
        <w:rPr>
          <w:rFonts w:hint="eastAsia"/>
        </w:rPr>
        <w:t>）查阅基金合同全文或拨打客户服务电话（</w:t>
      </w:r>
      <w:r>
        <w:rPr>
          <w:rFonts w:hint="eastAsia"/>
        </w:rPr>
        <w:t>400-888-2666</w:t>
      </w:r>
      <w:r>
        <w:rPr>
          <w:rFonts w:hint="eastAsia"/>
        </w:rPr>
        <w:t>）咨询相关事宜。</w:t>
      </w:r>
    </w:p>
    <w:p w:rsidR="00F0519B" w:rsidRDefault="00F0519B">
      <w:pPr>
        <w:pStyle w:val="Default"/>
      </w:pPr>
    </w:p>
    <w:p w:rsidR="00F0519B" w:rsidRDefault="00EE6C4D">
      <w:pPr>
        <w:spacing w:line="360" w:lineRule="auto"/>
        <w:ind w:firstLineChars="200" w:firstLine="420"/>
        <w:rPr>
          <w:rFonts w:asciiTheme="minorEastAsia" w:hAnsiTheme="minorEastAsia"/>
          <w:szCs w:val="21"/>
        </w:rPr>
      </w:pPr>
      <w:r w:rsidRPr="00EE6C4D">
        <w:rPr>
          <w:rFonts w:asciiTheme="minorEastAsia" w:hAnsiTheme="minorEastAsia" w:hint="eastAsia"/>
          <w:szCs w:val="21"/>
        </w:rPr>
        <w:t>风险提示：本公司承诺以诚实信用、勤勉尽责的原则管理和运用基金资产，但不保证基金一定盈利，也不保证最低收益。基金的过往业绩及其净值高低并不预示其未来业绩表现。本公司提醒投资人在做出投资决策后，基金运营状况与基金净值变化引致的投资风险，由投资人自行负担。基金定期定额投资并不等于零存整取等储蓄方式，不能规避基金投资所固有的风险，也不能保证投资人获得收益。投资者投资基金时应认真阅读基金的基金合同、</w:t>
      </w:r>
      <w:r w:rsidR="00B559AC">
        <w:rPr>
          <w:rFonts w:asciiTheme="minorEastAsia" w:hAnsiTheme="minorEastAsia" w:hint="eastAsia"/>
          <w:szCs w:val="21"/>
        </w:rPr>
        <w:t>托管协议、</w:t>
      </w:r>
      <w:r w:rsidRPr="00EE6C4D">
        <w:rPr>
          <w:rFonts w:asciiTheme="minorEastAsia" w:hAnsiTheme="minorEastAsia" w:hint="eastAsia"/>
          <w:szCs w:val="21"/>
        </w:rPr>
        <w:t>招募说明书、</w:t>
      </w:r>
      <w:r w:rsidR="00F506F2">
        <w:rPr>
          <w:rFonts w:asciiTheme="minorEastAsia" w:hAnsiTheme="minorEastAsia" w:hint="eastAsia"/>
          <w:szCs w:val="21"/>
        </w:rPr>
        <w:t>基金</w:t>
      </w:r>
      <w:r w:rsidRPr="00EE6C4D">
        <w:rPr>
          <w:rFonts w:asciiTheme="minorEastAsia" w:hAnsiTheme="minorEastAsia" w:hint="eastAsia"/>
          <w:szCs w:val="21"/>
        </w:rPr>
        <w:t>产品资料概要等文件。</w:t>
      </w:r>
    </w:p>
    <w:p w:rsidR="00F0519B" w:rsidRDefault="00491F44">
      <w:pPr>
        <w:spacing w:line="360" w:lineRule="auto"/>
        <w:ind w:firstLineChars="200" w:firstLine="420"/>
        <w:rPr>
          <w:rFonts w:asciiTheme="minorEastAsia" w:hAnsiTheme="minorEastAsia"/>
          <w:szCs w:val="21"/>
        </w:rPr>
      </w:pPr>
      <w:r>
        <w:rPr>
          <w:rFonts w:asciiTheme="minorEastAsia" w:hAnsiTheme="minorEastAsia" w:hint="eastAsia"/>
          <w:szCs w:val="21"/>
        </w:rPr>
        <w:t>特此公告。</w:t>
      </w:r>
    </w:p>
    <w:p w:rsidR="00F0519B" w:rsidRDefault="00EE6C4D">
      <w:pPr>
        <w:spacing w:line="360" w:lineRule="auto"/>
        <w:ind w:firstLineChars="200" w:firstLine="420"/>
        <w:jc w:val="right"/>
        <w:rPr>
          <w:rFonts w:asciiTheme="minorEastAsia" w:hAnsiTheme="minorEastAsia"/>
          <w:color w:val="000000"/>
        </w:rPr>
      </w:pPr>
      <w:r>
        <w:rPr>
          <w:rFonts w:asciiTheme="minorEastAsia" w:hAnsiTheme="minorEastAsia" w:hint="eastAsia"/>
          <w:szCs w:val="21"/>
          <w:lang/>
        </w:rPr>
        <w:t>长盛</w:t>
      </w:r>
      <w:r w:rsidR="00491F44">
        <w:rPr>
          <w:rFonts w:asciiTheme="minorEastAsia" w:hAnsiTheme="minorEastAsia" w:hint="eastAsia"/>
          <w:szCs w:val="21"/>
          <w:lang/>
        </w:rPr>
        <w:t>基金管理有限公司</w:t>
      </w:r>
    </w:p>
    <w:p w:rsidR="00F0519B" w:rsidRDefault="00491F44" w:rsidP="002D4DE7">
      <w:pPr>
        <w:spacing w:line="360" w:lineRule="auto"/>
        <w:jc w:val="right"/>
        <w:rPr>
          <w:rFonts w:asciiTheme="minorEastAsia" w:hAnsiTheme="minorEastAsia"/>
          <w:szCs w:val="21"/>
          <w:highlight w:val="lightGray"/>
        </w:rPr>
      </w:pPr>
      <w:r>
        <w:rPr>
          <w:rFonts w:asciiTheme="minorEastAsia" w:hAnsiTheme="minorEastAsia" w:hint="eastAsia"/>
          <w:color w:val="000000"/>
        </w:rPr>
        <w:t>2023年</w:t>
      </w:r>
      <w:r w:rsidR="00720920">
        <w:rPr>
          <w:rFonts w:asciiTheme="minorEastAsia" w:hAnsiTheme="minorEastAsia"/>
          <w:color w:val="000000"/>
        </w:rPr>
        <w:t>8</w:t>
      </w:r>
      <w:r>
        <w:rPr>
          <w:rFonts w:asciiTheme="minorEastAsia" w:hAnsiTheme="minorEastAsia" w:hint="eastAsia"/>
          <w:color w:val="000000"/>
        </w:rPr>
        <w:t>月</w:t>
      </w:r>
      <w:r w:rsidR="00720920">
        <w:rPr>
          <w:rFonts w:asciiTheme="minorEastAsia" w:hAnsiTheme="minorEastAsia"/>
          <w:color w:val="000000"/>
        </w:rPr>
        <w:t>19</w:t>
      </w:r>
      <w:r>
        <w:rPr>
          <w:rFonts w:asciiTheme="minorEastAsia" w:hAnsiTheme="minorEastAsia" w:hint="eastAsia"/>
          <w:color w:val="000000"/>
        </w:rPr>
        <w:t>日</w:t>
      </w:r>
    </w:p>
    <w:p w:rsidR="00F0519B" w:rsidRDefault="00491F44">
      <w:pPr>
        <w:spacing w:line="360" w:lineRule="auto"/>
        <w:ind w:firstLineChars="200" w:firstLine="420"/>
        <w:rPr>
          <w:rFonts w:asciiTheme="minorEastAsia" w:hAnsiTheme="minorEastAsia"/>
          <w:szCs w:val="21"/>
        </w:rPr>
      </w:pPr>
      <w:r>
        <w:rPr>
          <w:rFonts w:asciiTheme="minorEastAsia" w:hAnsiTheme="minorEastAsia" w:hint="eastAsia"/>
          <w:szCs w:val="21"/>
        </w:rPr>
        <w:lastRenderedPageBreak/>
        <w:t>附件一：相关基金名单及费率调整安排</w:t>
      </w:r>
    </w:p>
    <w:tbl>
      <w:tblPr>
        <w:tblW w:w="9067" w:type="dxa"/>
        <w:jc w:val="center"/>
        <w:tblLayout w:type="fixed"/>
        <w:tblLook w:val="04A0"/>
      </w:tblPr>
      <w:tblGrid>
        <w:gridCol w:w="616"/>
        <w:gridCol w:w="5049"/>
        <w:gridCol w:w="851"/>
        <w:gridCol w:w="850"/>
        <w:gridCol w:w="851"/>
        <w:gridCol w:w="850"/>
      </w:tblGrid>
      <w:tr w:rsidR="00EF422C" w:rsidRPr="001A1C3C" w:rsidTr="00720920">
        <w:trPr>
          <w:trHeight w:val="288"/>
          <w:jc w:val="center"/>
        </w:trPr>
        <w:tc>
          <w:tcPr>
            <w:tcW w:w="616"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center"/>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序号</w:t>
            </w:r>
          </w:p>
        </w:tc>
        <w:tc>
          <w:tcPr>
            <w:tcW w:w="5049"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center"/>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基金名称</w:t>
            </w:r>
          </w:p>
        </w:tc>
        <w:tc>
          <w:tcPr>
            <w:tcW w:w="1701" w:type="dxa"/>
            <w:gridSpan w:val="2"/>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center"/>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调整前</w:t>
            </w:r>
          </w:p>
        </w:tc>
        <w:tc>
          <w:tcPr>
            <w:tcW w:w="1701" w:type="dxa"/>
            <w:gridSpan w:val="2"/>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center"/>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调整后</w:t>
            </w:r>
          </w:p>
        </w:tc>
      </w:tr>
      <w:tr w:rsidR="00EF422C" w:rsidRPr="001A1C3C" w:rsidTr="00720920">
        <w:trPr>
          <w:trHeight w:val="576"/>
          <w:jc w:val="center"/>
        </w:trPr>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EF422C" w:rsidRPr="001A1C3C" w:rsidRDefault="00EF422C" w:rsidP="00A95BDC">
            <w:pPr>
              <w:widowControl/>
              <w:jc w:val="left"/>
              <w:rPr>
                <w:rFonts w:ascii="仿宋" w:eastAsia="仿宋" w:hAnsi="仿宋" w:cs="宋体"/>
                <w:color w:val="000000"/>
                <w:sz w:val="20"/>
                <w:szCs w:val="20"/>
              </w:rPr>
            </w:pPr>
          </w:p>
        </w:tc>
        <w:tc>
          <w:tcPr>
            <w:tcW w:w="5049" w:type="dxa"/>
            <w:vMerge/>
            <w:tcBorders>
              <w:top w:val="single" w:sz="4" w:space="0" w:color="000000"/>
              <w:left w:val="single" w:sz="4" w:space="0" w:color="000000"/>
              <w:bottom w:val="single" w:sz="4" w:space="0" w:color="000000"/>
              <w:right w:val="single" w:sz="4" w:space="0" w:color="000000"/>
            </w:tcBorders>
            <w:vAlign w:val="center"/>
            <w:hideMark/>
          </w:tcPr>
          <w:p w:rsidR="00EF422C" w:rsidRPr="001A1C3C" w:rsidRDefault="00EF422C" w:rsidP="00A95BDC">
            <w:pPr>
              <w:widowControl/>
              <w:jc w:val="left"/>
              <w:rPr>
                <w:rFonts w:ascii="仿宋" w:eastAsia="仿宋" w:hAnsi="仿宋" w:cs="宋体"/>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F422C" w:rsidRPr="001A1C3C" w:rsidRDefault="0094115E" w:rsidP="00A95BDC">
            <w:pPr>
              <w:widowControl/>
              <w:jc w:val="center"/>
              <w:textAlignment w:val="center"/>
              <w:rPr>
                <w:rFonts w:ascii="仿宋" w:eastAsia="仿宋" w:hAnsi="仿宋" w:cs="宋体"/>
                <w:color w:val="000000"/>
                <w:sz w:val="20"/>
                <w:szCs w:val="20"/>
              </w:rPr>
            </w:pPr>
            <w:r>
              <w:rPr>
                <w:rFonts w:ascii="仿宋" w:eastAsia="仿宋" w:hAnsi="仿宋" w:cs="宋体" w:hint="eastAsia"/>
                <w:color w:val="000000"/>
                <w:kern w:val="0"/>
                <w:sz w:val="20"/>
                <w:szCs w:val="20"/>
                <w:lang/>
              </w:rPr>
              <w:t>年</w:t>
            </w:r>
            <w:r w:rsidR="00EF422C" w:rsidRPr="001A1C3C">
              <w:rPr>
                <w:rFonts w:ascii="仿宋" w:eastAsia="仿宋" w:hAnsi="仿宋" w:cs="宋体" w:hint="eastAsia"/>
                <w:color w:val="000000"/>
                <w:kern w:val="0"/>
                <w:sz w:val="20"/>
                <w:szCs w:val="20"/>
                <w:lang/>
              </w:rPr>
              <w:t>管理费率</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F422C" w:rsidRPr="001A1C3C" w:rsidRDefault="0094115E" w:rsidP="00A95BDC">
            <w:pPr>
              <w:widowControl/>
              <w:jc w:val="center"/>
              <w:textAlignment w:val="center"/>
              <w:rPr>
                <w:rFonts w:ascii="仿宋" w:eastAsia="仿宋" w:hAnsi="仿宋" w:cs="宋体"/>
                <w:color w:val="000000"/>
                <w:sz w:val="20"/>
                <w:szCs w:val="20"/>
              </w:rPr>
            </w:pPr>
            <w:r>
              <w:rPr>
                <w:rFonts w:ascii="仿宋" w:eastAsia="仿宋" w:hAnsi="仿宋" w:cs="宋体" w:hint="eastAsia"/>
                <w:color w:val="000000"/>
                <w:kern w:val="0"/>
                <w:sz w:val="20"/>
                <w:szCs w:val="20"/>
                <w:lang/>
              </w:rPr>
              <w:t>年</w:t>
            </w:r>
            <w:r w:rsidR="00EF422C" w:rsidRPr="001A1C3C">
              <w:rPr>
                <w:rFonts w:ascii="仿宋" w:eastAsia="仿宋" w:hAnsi="仿宋" w:cs="宋体" w:hint="eastAsia"/>
                <w:color w:val="000000"/>
                <w:kern w:val="0"/>
                <w:sz w:val="20"/>
                <w:szCs w:val="20"/>
                <w:lang/>
              </w:rPr>
              <w:t>托管费率</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F422C" w:rsidRPr="001A1C3C" w:rsidRDefault="0094115E" w:rsidP="00A95BDC">
            <w:pPr>
              <w:widowControl/>
              <w:jc w:val="center"/>
              <w:textAlignment w:val="center"/>
              <w:rPr>
                <w:rFonts w:ascii="仿宋" w:eastAsia="仿宋" w:hAnsi="仿宋" w:cs="宋体"/>
                <w:color w:val="000000"/>
                <w:sz w:val="20"/>
                <w:szCs w:val="20"/>
              </w:rPr>
            </w:pPr>
            <w:r>
              <w:rPr>
                <w:rFonts w:ascii="仿宋" w:eastAsia="仿宋" w:hAnsi="仿宋" w:cs="宋体" w:hint="eastAsia"/>
                <w:color w:val="000000"/>
                <w:kern w:val="0"/>
                <w:sz w:val="20"/>
                <w:szCs w:val="20"/>
                <w:lang/>
              </w:rPr>
              <w:t>年</w:t>
            </w:r>
            <w:r w:rsidR="00EF422C" w:rsidRPr="001A1C3C">
              <w:rPr>
                <w:rFonts w:ascii="仿宋" w:eastAsia="仿宋" w:hAnsi="仿宋" w:cs="宋体" w:hint="eastAsia"/>
                <w:color w:val="000000"/>
                <w:kern w:val="0"/>
                <w:sz w:val="20"/>
                <w:szCs w:val="20"/>
                <w:lang/>
              </w:rPr>
              <w:t>管理费率</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F422C" w:rsidRPr="001A1C3C" w:rsidRDefault="0094115E" w:rsidP="00A95BDC">
            <w:pPr>
              <w:widowControl/>
              <w:jc w:val="center"/>
              <w:textAlignment w:val="center"/>
              <w:rPr>
                <w:rFonts w:ascii="仿宋" w:eastAsia="仿宋" w:hAnsi="仿宋" w:cs="宋体"/>
                <w:color w:val="000000"/>
                <w:sz w:val="20"/>
                <w:szCs w:val="20"/>
              </w:rPr>
            </w:pPr>
            <w:r>
              <w:rPr>
                <w:rFonts w:ascii="仿宋" w:eastAsia="仿宋" w:hAnsi="仿宋" w:cs="宋体" w:hint="eastAsia"/>
                <w:color w:val="000000"/>
                <w:kern w:val="0"/>
                <w:sz w:val="20"/>
                <w:szCs w:val="20"/>
                <w:lang/>
              </w:rPr>
              <w:t>年</w:t>
            </w:r>
            <w:r w:rsidR="00EF422C" w:rsidRPr="001A1C3C">
              <w:rPr>
                <w:rFonts w:ascii="仿宋" w:eastAsia="仿宋" w:hAnsi="仿宋" w:cs="宋体" w:hint="eastAsia"/>
                <w:color w:val="000000"/>
                <w:kern w:val="0"/>
                <w:sz w:val="20"/>
                <w:szCs w:val="20"/>
                <w:lang/>
              </w:rPr>
              <w:t>托管费率</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长盛先进制造六个月持有期混合型证券投资基金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p>
        </w:tc>
        <w:tc>
          <w:tcPr>
            <w:tcW w:w="851" w:type="dxa"/>
            <w:tcBorders>
              <w:top w:val="single" w:sz="4" w:space="0" w:color="000000"/>
              <w:left w:val="single" w:sz="4" w:space="0" w:color="000000"/>
              <w:bottom w:val="single" w:sz="4" w:space="0" w:color="000000"/>
              <w:right w:val="single" w:sz="4" w:space="0" w:color="000000"/>
            </w:tcBorders>
            <w:noWrap/>
            <w:hideMark/>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hideMark/>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长盛电子信息产业混合型证券投资基金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hideMark/>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hideMark/>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长盛同盛成长优选灵活配置混合型证券投资基金</w:t>
            </w:r>
            <w:r w:rsidRPr="001A1C3C">
              <w:rPr>
                <w:rFonts w:ascii="仿宋" w:eastAsia="仿宋" w:hAnsi="仿宋" w:cs="Arial"/>
                <w:kern w:val="0"/>
                <w:sz w:val="20"/>
                <w:szCs w:val="20"/>
              </w:rPr>
              <w:t>(LOF)</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4</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长盛高端装备制造灵活配置混合型证券投资基金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5</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长盛医疗行业量化配置股票型证券投资基金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6</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长盛同智优势成长混合型证券投资基金</w:t>
            </w:r>
            <w:r w:rsidRPr="001A1C3C">
              <w:rPr>
                <w:rFonts w:ascii="仿宋" w:eastAsia="仿宋" w:hAnsi="仿宋" w:cs="Arial"/>
                <w:kern w:val="0"/>
                <w:sz w:val="20"/>
                <w:szCs w:val="20"/>
              </w:rPr>
              <w:t>(LOF)</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7</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长盛转型升级主题灵活配置混合型证券投资基金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8</w:t>
            </w:r>
          </w:p>
        </w:tc>
        <w:tc>
          <w:tcPr>
            <w:tcW w:w="5049"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长盛中证申万一带一路主题指数证券投资基金</w:t>
            </w:r>
            <w:r w:rsidRPr="001A1C3C">
              <w:rPr>
                <w:rFonts w:ascii="仿宋" w:eastAsia="仿宋" w:hAnsi="仿宋" w:cs="Arial"/>
                <w:kern w:val="0"/>
                <w:sz w:val="20"/>
                <w:szCs w:val="20"/>
              </w:rPr>
              <w:t>(LOF)</w:t>
            </w:r>
          </w:p>
        </w:tc>
        <w:tc>
          <w:tcPr>
            <w:tcW w:w="851"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1.00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0.22</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1A1C3C" w:rsidRDefault="00EF422C" w:rsidP="00F506F2">
            <w:pPr>
              <w:widowControl/>
              <w:jc w:val="center"/>
              <w:textAlignment w:val="top"/>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1.</w:t>
            </w:r>
            <w:r w:rsidR="00F506F2">
              <w:rPr>
                <w:rFonts w:ascii="仿宋" w:eastAsia="仿宋" w:hAnsi="仿宋" w:cs="宋体"/>
                <w:color w:val="000000"/>
                <w:kern w:val="0"/>
                <w:sz w:val="20"/>
                <w:szCs w:val="20"/>
                <w:lang/>
              </w:rPr>
              <w:t>0</w:t>
            </w:r>
            <w:r w:rsidRPr="001A1C3C">
              <w:rPr>
                <w:rFonts w:ascii="仿宋" w:eastAsia="仿宋" w:hAnsi="仿宋" w:cs="宋体" w:hint="eastAsia"/>
                <w:color w:val="000000"/>
                <w:kern w:val="0"/>
                <w:sz w:val="20"/>
                <w:szCs w:val="20"/>
                <w:lang/>
              </w:rPr>
              <w:t>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9</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长盛电子信息主题灵活配置混合型证券投资基金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10</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长盛生态环境主题灵活配置混合型证券投资基金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11</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长盛核心成长混合型证券投资基金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12</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长盛新兴成长主题灵活配置混合型证券投资基金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13</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长盛养老健康产业灵活配置混合型证券投资基金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14</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长盛研发回报混合型证券投资基金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15</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长盛成长精选混合型证券投资基金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16</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长盛创新先锋灵活配置混合型证券投资基金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17</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长盛城镇化主题混合型证券投资基金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18</w:t>
            </w:r>
          </w:p>
        </w:tc>
        <w:tc>
          <w:tcPr>
            <w:tcW w:w="5049"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长盛中证金融地产指数证券投资基金</w:t>
            </w:r>
            <w:r w:rsidRPr="001A1C3C">
              <w:rPr>
                <w:rFonts w:ascii="仿宋" w:eastAsia="仿宋" w:hAnsi="仿宋" w:cs="Arial"/>
                <w:kern w:val="0"/>
                <w:sz w:val="20"/>
                <w:szCs w:val="20"/>
              </w:rPr>
              <w:t>(LOF)</w:t>
            </w:r>
          </w:p>
        </w:tc>
        <w:tc>
          <w:tcPr>
            <w:tcW w:w="851"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1.00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0.22</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1A1C3C" w:rsidRDefault="00EF422C" w:rsidP="00A95BDC">
            <w:pPr>
              <w:widowControl/>
              <w:jc w:val="center"/>
              <w:textAlignment w:val="top"/>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1.</w:t>
            </w:r>
            <w:r>
              <w:rPr>
                <w:rFonts w:ascii="仿宋" w:eastAsia="仿宋" w:hAnsi="仿宋" w:cs="宋体"/>
                <w:color w:val="000000"/>
                <w:kern w:val="0"/>
                <w:sz w:val="20"/>
                <w:szCs w:val="20"/>
                <w:lang/>
              </w:rPr>
              <w:t>0</w:t>
            </w:r>
            <w:r w:rsidRPr="001A1C3C">
              <w:rPr>
                <w:rFonts w:ascii="仿宋" w:eastAsia="仿宋" w:hAnsi="仿宋" w:cs="宋体" w:hint="eastAsia"/>
                <w:color w:val="000000"/>
                <w:kern w:val="0"/>
                <w:sz w:val="20"/>
                <w:szCs w:val="20"/>
                <w:lang/>
              </w:rPr>
              <w:t>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19</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长盛互联网</w:t>
            </w:r>
            <w:r w:rsidRPr="001A1C3C">
              <w:rPr>
                <w:rFonts w:ascii="仿宋" w:eastAsia="仿宋" w:hAnsi="仿宋" w:cs="Arial"/>
                <w:kern w:val="0"/>
                <w:sz w:val="20"/>
                <w:szCs w:val="20"/>
              </w:rPr>
              <w:t>+</w:t>
            </w:r>
            <w:r w:rsidRPr="001A1C3C">
              <w:rPr>
                <w:rFonts w:ascii="仿宋" w:eastAsia="仿宋" w:hAnsi="仿宋" w:cs="Arial" w:hint="eastAsia"/>
                <w:kern w:val="0"/>
                <w:sz w:val="20"/>
                <w:szCs w:val="20"/>
              </w:rPr>
              <w:t>主题灵活配置混合型证券投资基金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hideMark/>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hideMark/>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hideMark/>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20</w:t>
            </w:r>
          </w:p>
        </w:tc>
        <w:tc>
          <w:tcPr>
            <w:tcW w:w="5049"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长盛上证</w:t>
            </w:r>
            <w:r w:rsidRPr="001A1C3C">
              <w:rPr>
                <w:rFonts w:ascii="仿宋" w:eastAsia="仿宋" w:hAnsi="仿宋" w:cs="Arial"/>
                <w:kern w:val="0"/>
                <w:sz w:val="20"/>
                <w:szCs w:val="20"/>
              </w:rPr>
              <w:t>50</w:t>
            </w:r>
            <w:r w:rsidRPr="001A1C3C">
              <w:rPr>
                <w:rFonts w:ascii="仿宋" w:eastAsia="仿宋" w:hAnsi="仿宋" w:cs="Arial" w:hint="eastAsia"/>
                <w:kern w:val="0"/>
                <w:sz w:val="20"/>
                <w:szCs w:val="20"/>
              </w:rPr>
              <w:t>指数证券投资基金</w:t>
            </w:r>
            <w:r w:rsidRPr="001A1C3C">
              <w:rPr>
                <w:rFonts w:ascii="仿宋" w:eastAsia="仿宋" w:hAnsi="仿宋" w:cs="Arial"/>
                <w:kern w:val="0"/>
                <w:sz w:val="20"/>
                <w:szCs w:val="20"/>
              </w:rPr>
              <w:t>(LOF)</w:t>
            </w:r>
          </w:p>
        </w:tc>
        <w:tc>
          <w:tcPr>
            <w:tcW w:w="851" w:type="dxa"/>
            <w:tcBorders>
              <w:top w:val="single" w:sz="4" w:space="0" w:color="000000"/>
              <w:left w:val="single" w:sz="4" w:space="0" w:color="000000"/>
              <w:bottom w:val="single" w:sz="4" w:space="0" w:color="000000"/>
              <w:right w:val="single" w:sz="4" w:space="0" w:color="000000"/>
            </w:tcBorders>
            <w:noWrap/>
            <w:vAlign w:val="bottom"/>
            <w:hideMark/>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1.00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bottom"/>
            <w:hideMark/>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0.22</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hideMark/>
          </w:tcPr>
          <w:p w:rsidR="00EF422C" w:rsidRPr="001A1C3C" w:rsidRDefault="00EF422C" w:rsidP="00A95BDC">
            <w:pPr>
              <w:widowControl/>
              <w:jc w:val="center"/>
              <w:textAlignment w:val="top"/>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1.</w:t>
            </w:r>
            <w:r>
              <w:rPr>
                <w:rFonts w:ascii="仿宋" w:eastAsia="仿宋" w:hAnsi="仿宋" w:cs="宋体"/>
                <w:color w:val="000000"/>
                <w:kern w:val="0"/>
                <w:sz w:val="20"/>
                <w:szCs w:val="20"/>
                <w:lang/>
              </w:rPr>
              <w:t>0</w:t>
            </w:r>
            <w:r w:rsidRPr="001A1C3C">
              <w:rPr>
                <w:rFonts w:ascii="仿宋" w:eastAsia="仿宋" w:hAnsi="仿宋" w:cs="宋体" w:hint="eastAsia"/>
                <w:color w:val="000000"/>
                <w:kern w:val="0"/>
                <w:sz w:val="20"/>
                <w:szCs w:val="20"/>
                <w:lang/>
              </w:rPr>
              <w:t>0%</w:t>
            </w:r>
          </w:p>
        </w:tc>
        <w:tc>
          <w:tcPr>
            <w:tcW w:w="850" w:type="dxa"/>
            <w:tcBorders>
              <w:top w:val="single" w:sz="4" w:space="0" w:color="000000"/>
              <w:left w:val="single" w:sz="4" w:space="0" w:color="000000"/>
              <w:bottom w:val="single" w:sz="4" w:space="0" w:color="000000"/>
              <w:right w:val="single" w:sz="4" w:space="0" w:color="000000"/>
            </w:tcBorders>
            <w:noWrap/>
            <w:hideMark/>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21</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长盛同鑫行业配置混合型证券投资基金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22</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长盛中小盘精选混合型证券投资基金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23</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长盛同德主题增长混合型证券投资基金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24</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长盛国企改革主题灵活配置混合型证券投资基金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25</w:t>
            </w:r>
          </w:p>
        </w:tc>
        <w:tc>
          <w:tcPr>
            <w:tcW w:w="5049"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长盛中证全指证券公司指数证券投资基金</w:t>
            </w:r>
            <w:r w:rsidRPr="001A1C3C">
              <w:rPr>
                <w:rFonts w:ascii="仿宋" w:eastAsia="仿宋" w:hAnsi="仿宋" w:cs="Arial"/>
                <w:kern w:val="0"/>
                <w:sz w:val="20"/>
                <w:szCs w:val="20"/>
              </w:rPr>
              <w:t>(LOF)</w:t>
            </w:r>
          </w:p>
        </w:tc>
        <w:tc>
          <w:tcPr>
            <w:tcW w:w="851"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1.00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0.22</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1A1C3C" w:rsidRDefault="00EF422C" w:rsidP="00A95BDC">
            <w:pPr>
              <w:widowControl/>
              <w:jc w:val="center"/>
              <w:textAlignment w:val="top"/>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1.</w:t>
            </w:r>
            <w:r>
              <w:rPr>
                <w:rFonts w:ascii="仿宋" w:eastAsia="仿宋" w:hAnsi="仿宋" w:cs="宋体"/>
                <w:color w:val="000000"/>
                <w:kern w:val="0"/>
                <w:sz w:val="20"/>
                <w:szCs w:val="20"/>
                <w:lang/>
              </w:rPr>
              <w:t>0</w:t>
            </w:r>
            <w:r w:rsidRPr="001A1C3C">
              <w:rPr>
                <w:rFonts w:ascii="仿宋" w:eastAsia="仿宋" w:hAnsi="仿宋" w:cs="宋体" w:hint="eastAsia"/>
                <w:color w:val="000000"/>
                <w:kern w:val="0"/>
                <w:sz w:val="20"/>
                <w:szCs w:val="20"/>
                <w:lang/>
              </w:rPr>
              <w:t>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26</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长盛制造精选混合型证券投资基金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27</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长盛成长价值证券投资基金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28</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长盛动态精选证券投资基金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0.20</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1A1C3C" w:rsidRDefault="00EF422C" w:rsidP="00A95BDC">
            <w:pPr>
              <w:widowControl/>
              <w:jc w:val="center"/>
              <w:textAlignment w:val="top"/>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29</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长盛航天海工装备灵活配置混合型证券投资基金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30</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长盛成长龙头混合型证券投资基金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31</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长盛均衡回报混合型证券投资基金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32</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长盛创新驱动灵活配置混合型证券投资基金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1A1C3C" w:rsidRDefault="00EF422C" w:rsidP="00A95BDC">
            <w:pPr>
              <w:widowControl/>
              <w:jc w:val="center"/>
              <w:textAlignment w:val="top"/>
              <w:rPr>
                <w:rFonts w:ascii="仿宋" w:eastAsia="仿宋" w:hAnsi="仿宋" w:cs="宋体"/>
                <w:color w:val="000000"/>
                <w:sz w:val="20"/>
                <w:szCs w:val="20"/>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33</w:t>
            </w:r>
          </w:p>
        </w:tc>
        <w:tc>
          <w:tcPr>
            <w:tcW w:w="5049"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长盛同庆中证</w:t>
            </w:r>
            <w:r w:rsidRPr="001A1C3C">
              <w:rPr>
                <w:rFonts w:ascii="仿宋" w:eastAsia="仿宋" w:hAnsi="仿宋" w:cs="Arial"/>
                <w:kern w:val="0"/>
                <w:sz w:val="20"/>
                <w:szCs w:val="20"/>
              </w:rPr>
              <w:t>800</w:t>
            </w:r>
            <w:r w:rsidRPr="001A1C3C">
              <w:rPr>
                <w:rFonts w:ascii="仿宋" w:eastAsia="仿宋" w:hAnsi="仿宋" w:cs="Arial" w:hint="eastAsia"/>
                <w:kern w:val="0"/>
                <w:sz w:val="20"/>
                <w:szCs w:val="20"/>
              </w:rPr>
              <w:t>指数型证券投资基金</w:t>
            </w:r>
            <w:r w:rsidRPr="001A1C3C">
              <w:rPr>
                <w:rFonts w:ascii="仿宋" w:eastAsia="仿宋" w:hAnsi="仿宋" w:cs="Arial"/>
                <w:kern w:val="0"/>
                <w:sz w:val="20"/>
                <w:szCs w:val="20"/>
              </w:rPr>
              <w:t>(LOF)</w:t>
            </w:r>
          </w:p>
        </w:tc>
        <w:tc>
          <w:tcPr>
            <w:tcW w:w="851"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1.00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bottom"/>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0.22</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1A1C3C" w:rsidRDefault="00EF422C" w:rsidP="00A95BDC">
            <w:pPr>
              <w:widowControl/>
              <w:jc w:val="center"/>
              <w:textAlignment w:val="top"/>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1.</w:t>
            </w:r>
            <w:r>
              <w:rPr>
                <w:rFonts w:ascii="仿宋" w:eastAsia="仿宋" w:hAnsi="仿宋" w:cs="宋体"/>
                <w:color w:val="000000"/>
                <w:kern w:val="0"/>
                <w:sz w:val="20"/>
                <w:szCs w:val="20"/>
                <w:lang/>
              </w:rPr>
              <w:t>0</w:t>
            </w:r>
            <w:r w:rsidRPr="001A1C3C">
              <w:rPr>
                <w:rFonts w:ascii="仿宋" w:eastAsia="仿宋" w:hAnsi="仿宋" w:cs="宋体" w:hint="eastAsia"/>
                <w:color w:val="000000"/>
                <w:kern w:val="0"/>
                <w:sz w:val="20"/>
                <w:szCs w:val="20"/>
                <w:lang/>
              </w:rPr>
              <w:t>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34</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长盛战略新兴产业灵活配置混合型证券投资基金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1.00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1A1C3C" w:rsidRDefault="00EF422C" w:rsidP="00A95BDC">
            <w:pPr>
              <w:widowControl/>
              <w:jc w:val="center"/>
              <w:textAlignment w:val="top"/>
              <w:rPr>
                <w:rFonts w:ascii="仿宋" w:eastAsia="仿宋" w:hAnsi="仿宋" w:cs="宋体"/>
                <w:color w:val="000000"/>
                <w:sz w:val="20"/>
                <w:szCs w:val="20"/>
              </w:rPr>
            </w:pPr>
            <w:r w:rsidRPr="001A1C3C">
              <w:rPr>
                <w:rFonts w:ascii="仿宋" w:eastAsia="仿宋" w:hAnsi="仿宋" w:cs="宋体" w:hint="eastAsia"/>
                <w:color w:val="000000"/>
                <w:kern w:val="0"/>
                <w:sz w:val="20"/>
                <w:szCs w:val="20"/>
                <w:lang/>
              </w:rPr>
              <w:t>1.</w:t>
            </w:r>
            <w:r>
              <w:rPr>
                <w:rFonts w:ascii="仿宋" w:eastAsia="仿宋" w:hAnsi="仿宋" w:cs="宋体"/>
                <w:color w:val="000000"/>
                <w:kern w:val="0"/>
                <w:sz w:val="20"/>
                <w:szCs w:val="20"/>
                <w:lang/>
              </w:rPr>
              <w:t>0</w:t>
            </w:r>
            <w:r w:rsidRPr="001A1C3C">
              <w:rPr>
                <w:rFonts w:ascii="仿宋" w:eastAsia="仿宋" w:hAnsi="仿宋" w:cs="宋体" w:hint="eastAsia"/>
                <w:color w:val="000000"/>
                <w:kern w:val="0"/>
                <w:sz w:val="20"/>
                <w:szCs w:val="20"/>
                <w:lang/>
              </w:rPr>
              <w:t>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35</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长盛优势企业精选混合型证券投资基金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36</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长盛景气优选混合型证券投资基金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37</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长盛量化红利策略混合型证券投资基金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38</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长盛同益成长回报灵活配置混合型证券投资基金</w:t>
            </w:r>
            <w:r w:rsidRPr="001A1C3C">
              <w:rPr>
                <w:rFonts w:ascii="仿宋" w:eastAsia="仿宋" w:hAnsi="仿宋" w:cs="Arial"/>
                <w:kern w:val="0"/>
                <w:sz w:val="20"/>
                <w:szCs w:val="20"/>
              </w:rPr>
              <w:t>(LOF)</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E41F4" w:rsidRDefault="00EF422C" w:rsidP="00A95BDC">
            <w:pPr>
              <w:widowControl/>
              <w:jc w:val="center"/>
              <w:textAlignment w:val="top"/>
              <w:rPr>
                <w:rFonts w:ascii="仿宋" w:eastAsia="仿宋" w:hAnsi="仿宋" w:cs="宋体"/>
                <w:b/>
                <w:i/>
                <w:color w:val="000000"/>
                <w:kern w:val="0"/>
                <w:sz w:val="20"/>
                <w:szCs w:val="20"/>
                <w:lang/>
              </w:rPr>
            </w:pPr>
            <w:r w:rsidRPr="002E41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39</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长盛竞争优势股票型证券投资基金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157F4" w:rsidRDefault="00EF422C" w:rsidP="00A95BDC">
            <w:pPr>
              <w:widowControl/>
              <w:jc w:val="center"/>
              <w:textAlignment w:val="top"/>
              <w:rPr>
                <w:rFonts w:ascii="仿宋" w:eastAsia="仿宋" w:hAnsi="仿宋" w:cs="宋体"/>
                <w:b/>
                <w:i/>
                <w:color w:val="000000"/>
                <w:kern w:val="0"/>
                <w:sz w:val="20"/>
                <w:szCs w:val="20"/>
                <w:lang/>
              </w:rPr>
            </w:pPr>
            <w:r w:rsidRPr="002157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157F4" w:rsidRDefault="00EF422C" w:rsidP="00A95BDC">
            <w:pPr>
              <w:widowControl/>
              <w:jc w:val="center"/>
              <w:textAlignment w:val="top"/>
              <w:rPr>
                <w:rFonts w:ascii="仿宋" w:eastAsia="仿宋" w:hAnsi="仿宋" w:cs="宋体"/>
                <w:b/>
                <w:i/>
                <w:color w:val="000000"/>
                <w:kern w:val="0"/>
                <w:sz w:val="20"/>
                <w:szCs w:val="20"/>
                <w:lang/>
              </w:rPr>
            </w:pPr>
            <w:r w:rsidRPr="002157F4">
              <w:rPr>
                <w:rFonts w:ascii="仿宋" w:eastAsia="仿宋" w:hAnsi="仿宋" w:cs="宋体" w:hint="eastAsia"/>
                <w:b/>
                <w:i/>
                <w:color w:val="000000"/>
                <w:kern w:val="0"/>
                <w:sz w:val="20"/>
                <w:szCs w:val="20"/>
                <w:lang/>
              </w:rPr>
              <w:t>0.20%</w:t>
            </w:r>
          </w:p>
        </w:tc>
      </w:tr>
      <w:tr w:rsidR="00EF422C" w:rsidRPr="001A1C3C" w:rsidTr="00720920">
        <w:trPr>
          <w:trHeight w:val="288"/>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kern w:val="0"/>
                <w:sz w:val="20"/>
                <w:szCs w:val="20"/>
              </w:rPr>
              <w:t>40</w:t>
            </w:r>
          </w:p>
        </w:tc>
        <w:tc>
          <w:tcPr>
            <w:tcW w:w="5049"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rPr>
                <w:rFonts w:ascii="仿宋" w:eastAsia="仿宋" w:hAnsi="仿宋" w:cs="Arial"/>
                <w:kern w:val="0"/>
                <w:sz w:val="20"/>
                <w:szCs w:val="20"/>
              </w:rPr>
            </w:pPr>
            <w:r w:rsidRPr="001A1C3C">
              <w:rPr>
                <w:rFonts w:ascii="仿宋" w:eastAsia="仿宋" w:hAnsi="仿宋" w:cs="Arial" w:hint="eastAsia"/>
                <w:kern w:val="0"/>
                <w:sz w:val="20"/>
                <w:szCs w:val="20"/>
              </w:rPr>
              <w:t>长盛匠心研究精选混合型证券投资基金</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1.50</w:t>
            </w:r>
            <w:r>
              <w:rPr>
                <w:rFonts w:ascii="仿宋" w:eastAsia="仿宋" w:hAnsi="仿宋" w:cs="宋体"/>
                <w:color w:val="000000"/>
                <w:kern w:val="0"/>
                <w:sz w:val="20"/>
                <w:szCs w:val="20"/>
                <w:lang/>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EF422C" w:rsidRPr="001A1C3C" w:rsidRDefault="00EF422C" w:rsidP="00A95BDC">
            <w:pPr>
              <w:widowControl/>
              <w:jc w:val="center"/>
              <w:textAlignment w:val="top"/>
              <w:rPr>
                <w:rFonts w:ascii="仿宋" w:eastAsia="仿宋" w:hAnsi="仿宋" w:cs="宋体"/>
                <w:color w:val="000000"/>
                <w:kern w:val="0"/>
                <w:sz w:val="20"/>
                <w:szCs w:val="20"/>
                <w:lang/>
              </w:rPr>
            </w:pPr>
            <w:r w:rsidRPr="001A1C3C">
              <w:rPr>
                <w:rFonts w:ascii="仿宋" w:eastAsia="仿宋" w:hAnsi="仿宋" w:cs="宋体"/>
                <w:color w:val="000000"/>
                <w:kern w:val="0"/>
                <w:sz w:val="20"/>
                <w:szCs w:val="20"/>
                <w:lang/>
              </w:rPr>
              <w:t>0.25</w:t>
            </w:r>
            <w:r>
              <w:rPr>
                <w:rFonts w:ascii="仿宋" w:eastAsia="仿宋" w:hAnsi="仿宋" w:cs="宋体"/>
                <w:color w:val="000000"/>
                <w:kern w:val="0"/>
                <w:sz w:val="20"/>
                <w:szCs w:val="20"/>
                <w:lang/>
              </w:rPr>
              <w:t>%</w:t>
            </w:r>
          </w:p>
        </w:tc>
        <w:tc>
          <w:tcPr>
            <w:tcW w:w="851" w:type="dxa"/>
            <w:tcBorders>
              <w:top w:val="single" w:sz="4" w:space="0" w:color="000000"/>
              <w:left w:val="single" w:sz="4" w:space="0" w:color="000000"/>
              <w:bottom w:val="single" w:sz="4" w:space="0" w:color="000000"/>
              <w:right w:val="single" w:sz="4" w:space="0" w:color="000000"/>
            </w:tcBorders>
            <w:noWrap/>
          </w:tcPr>
          <w:p w:rsidR="00EF422C" w:rsidRPr="002157F4" w:rsidRDefault="00EF422C" w:rsidP="00A95BDC">
            <w:pPr>
              <w:widowControl/>
              <w:jc w:val="center"/>
              <w:textAlignment w:val="top"/>
              <w:rPr>
                <w:rFonts w:ascii="仿宋" w:eastAsia="仿宋" w:hAnsi="仿宋" w:cs="宋体"/>
                <w:b/>
                <w:i/>
                <w:color w:val="000000"/>
                <w:kern w:val="0"/>
                <w:sz w:val="20"/>
                <w:szCs w:val="20"/>
                <w:lang/>
              </w:rPr>
            </w:pPr>
            <w:r w:rsidRPr="002157F4">
              <w:rPr>
                <w:rFonts w:ascii="仿宋" w:eastAsia="仿宋" w:hAnsi="仿宋" w:cs="宋体" w:hint="eastAsia"/>
                <w:b/>
                <w:i/>
                <w:color w:val="000000"/>
                <w:kern w:val="0"/>
                <w:sz w:val="20"/>
                <w:szCs w:val="20"/>
                <w:lang/>
              </w:rPr>
              <w:t>1.20%</w:t>
            </w:r>
          </w:p>
        </w:tc>
        <w:tc>
          <w:tcPr>
            <w:tcW w:w="850" w:type="dxa"/>
            <w:tcBorders>
              <w:top w:val="single" w:sz="4" w:space="0" w:color="000000"/>
              <w:left w:val="single" w:sz="4" w:space="0" w:color="000000"/>
              <w:bottom w:val="single" w:sz="4" w:space="0" w:color="000000"/>
              <w:right w:val="single" w:sz="4" w:space="0" w:color="000000"/>
            </w:tcBorders>
            <w:noWrap/>
          </w:tcPr>
          <w:p w:rsidR="00EF422C" w:rsidRPr="002157F4" w:rsidRDefault="00EF422C" w:rsidP="00A95BDC">
            <w:pPr>
              <w:widowControl/>
              <w:jc w:val="center"/>
              <w:textAlignment w:val="top"/>
              <w:rPr>
                <w:rFonts w:ascii="仿宋" w:eastAsia="仿宋" w:hAnsi="仿宋" w:cs="宋体"/>
                <w:b/>
                <w:i/>
                <w:color w:val="000000"/>
                <w:kern w:val="0"/>
                <w:sz w:val="20"/>
                <w:szCs w:val="20"/>
                <w:lang/>
              </w:rPr>
            </w:pPr>
            <w:r w:rsidRPr="002157F4">
              <w:rPr>
                <w:rFonts w:ascii="仿宋" w:eastAsia="仿宋" w:hAnsi="仿宋" w:cs="宋体" w:hint="eastAsia"/>
                <w:b/>
                <w:i/>
                <w:color w:val="000000"/>
                <w:kern w:val="0"/>
                <w:sz w:val="20"/>
                <w:szCs w:val="20"/>
                <w:lang/>
              </w:rPr>
              <w:t>0.20%</w:t>
            </w:r>
          </w:p>
        </w:tc>
      </w:tr>
    </w:tbl>
    <w:p w:rsidR="00F0519B" w:rsidRPr="00EF422C" w:rsidRDefault="00F0519B">
      <w:pPr>
        <w:spacing w:line="360" w:lineRule="auto"/>
        <w:ind w:firstLineChars="200" w:firstLine="420"/>
        <w:rPr>
          <w:rFonts w:ascii="宋体" w:hAnsi="宋体" w:cs="宋体"/>
          <w:color w:val="000000"/>
          <w:kern w:val="0"/>
          <w:szCs w:val="21"/>
        </w:rPr>
      </w:pPr>
    </w:p>
    <w:p w:rsidR="00F0519B" w:rsidRDefault="00F0519B">
      <w:pPr>
        <w:spacing w:line="360" w:lineRule="auto"/>
        <w:ind w:firstLineChars="200" w:firstLine="420"/>
        <w:jc w:val="right"/>
        <w:rPr>
          <w:rFonts w:asciiTheme="minorEastAsia" w:hAnsiTheme="minorEastAsia"/>
          <w:color w:val="000000"/>
          <w:highlight w:val="lightGray"/>
        </w:rPr>
      </w:pPr>
      <w:bookmarkStart w:id="0" w:name="_GoBack"/>
      <w:bookmarkEnd w:id="0"/>
    </w:p>
    <w:sectPr w:rsidR="00F0519B" w:rsidSect="00BF207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825" w:rsidRDefault="00764825">
      <w:r>
        <w:separator/>
      </w:r>
    </w:p>
  </w:endnote>
  <w:endnote w:type="continuationSeparator" w:id="0">
    <w:p w:rsidR="00764825" w:rsidRDefault="007648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微软雅黑"/>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428503"/>
    </w:sdtPr>
    <w:sdtContent>
      <w:p w:rsidR="00F0519B" w:rsidRDefault="00BF207D">
        <w:pPr>
          <w:pStyle w:val="a6"/>
          <w:jc w:val="center"/>
        </w:pPr>
        <w:r>
          <w:fldChar w:fldCharType="begin"/>
        </w:r>
        <w:r w:rsidR="00491F44">
          <w:instrText>PAGE   \* MERGEFORMAT</w:instrText>
        </w:r>
        <w:r>
          <w:fldChar w:fldCharType="separate"/>
        </w:r>
        <w:r w:rsidR="0006242F" w:rsidRPr="0006242F">
          <w:rPr>
            <w:noProof/>
            <w:lang w:val="zh-CN"/>
          </w:rPr>
          <w:t>1</w:t>
        </w:r>
        <w:r>
          <w:fldChar w:fldCharType="end"/>
        </w:r>
      </w:p>
    </w:sdtContent>
  </w:sdt>
  <w:p w:rsidR="00F0519B" w:rsidRDefault="00F051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825" w:rsidRDefault="00764825">
      <w:r>
        <w:separator/>
      </w:r>
    </w:p>
  </w:footnote>
  <w:footnote w:type="continuationSeparator" w:id="0">
    <w:p w:rsidR="00764825" w:rsidRDefault="007648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8"/>
  <w:doNotDisplayPageBoundarie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274FB"/>
    <w:rsid w:val="00033D83"/>
    <w:rsid w:val="000377E2"/>
    <w:rsid w:val="000377EB"/>
    <w:rsid w:val="00050411"/>
    <w:rsid w:val="000540A5"/>
    <w:rsid w:val="00054735"/>
    <w:rsid w:val="0006242F"/>
    <w:rsid w:val="00063E11"/>
    <w:rsid w:val="0006424A"/>
    <w:rsid w:val="0006764A"/>
    <w:rsid w:val="00070D7F"/>
    <w:rsid w:val="00076884"/>
    <w:rsid w:val="00076D0F"/>
    <w:rsid w:val="000823C2"/>
    <w:rsid w:val="000930E9"/>
    <w:rsid w:val="000A1C46"/>
    <w:rsid w:val="000A6828"/>
    <w:rsid w:val="000B79BB"/>
    <w:rsid w:val="000C4FD4"/>
    <w:rsid w:val="000F2CF2"/>
    <w:rsid w:val="000F57BA"/>
    <w:rsid w:val="0010216C"/>
    <w:rsid w:val="00104696"/>
    <w:rsid w:val="00105903"/>
    <w:rsid w:val="0010794C"/>
    <w:rsid w:val="00114609"/>
    <w:rsid w:val="00127582"/>
    <w:rsid w:val="00132357"/>
    <w:rsid w:val="00132DB9"/>
    <w:rsid w:val="00136F4B"/>
    <w:rsid w:val="00140601"/>
    <w:rsid w:val="00153F74"/>
    <w:rsid w:val="001779D7"/>
    <w:rsid w:val="0019018C"/>
    <w:rsid w:val="00192CC8"/>
    <w:rsid w:val="001970F0"/>
    <w:rsid w:val="001A7647"/>
    <w:rsid w:val="001C44F1"/>
    <w:rsid w:val="001D0CEA"/>
    <w:rsid w:val="001E746C"/>
    <w:rsid w:val="002121FB"/>
    <w:rsid w:val="002157F4"/>
    <w:rsid w:val="002224CB"/>
    <w:rsid w:val="00223B8B"/>
    <w:rsid w:val="00224ED0"/>
    <w:rsid w:val="002335CF"/>
    <w:rsid w:val="002364A7"/>
    <w:rsid w:val="002572D0"/>
    <w:rsid w:val="002679C4"/>
    <w:rsid w:val="00271FF6"/>
    <w:rsid w:val="0027567E"/>
    <w:rsid w:val="002769B1"/>
    <w:rsid w:val="002804A9"/>
    <w:rsid w:val="0028554A"/>
    <w:rsid w:val="00285D8B"/>
    <w:rsid w:val="002B2F3D"/>
    <w:rsid w:val="002B4DC4"/>
    <w:rsid w:val="002C18B0"/>
    <w:rsid w:val="002D0177"/>
    <w:rsid w:val="002D1F64"/>
    <w:rsid w:val="002D389C"/>
    <w:rsid w:val="002D4DE7"/>
    <w:rsid w:val="002D5039"/>
    <w:rsid w:val="002E3CFD"/>
    <w:rsid w:val="002E41F4"/>
    <w:rsid w:val="00313858"/>
    <w:rsid w:val="00316EB7"/>
    <w:rsid w:val="00350CD3"/>
    <w:rsid w:val="00354AAF"/>
    <w:rsid w:val="00355487"/>
    <w:rsid w:val="00376098"/>
    <w:rsid w:val="0038202E"/>
    <w:rsid w:val="003906D9"/>
    <w:rsid w:val="00390765"/>
    <w:rsid w:val="00391AC3"/>
    <w:rsid w:val="00393DF1"/>
    <w:rsid w:val="003A20B4"/>
    <w:rsid w:val="003A776F"/>
    <w:rsid w:val="003A7D95"/>
    <w:rsid w:val="003A7DED"/>
    <w:rsid w:val="003C0C5F"/>
    <w:rsid w:val="003C609E"/>
    <w:rsid w:val="003D56F0"/>
    <w:rsid w:val="003D6D28"/>
    <w:rsid w:val="003E7C95"/>
    <w:rsid w:val="003F74CE"/>
    <w:rsid w:val="004010FF"/>
    <w:rsid w:val="004325E9"/>
    <w:rsid w:val="004419A3"/>
    <w:rsid w:val="004620AD"/>
    <w:rsid w:val="00464163"/>
    <w:rsid w:val="0046638D"/>
    <w:rsid w:val="00481DC1"/>
    <w:rsid w:val="00487032"/>
    <w:rsid w:val="00491DE9"/>
    <w:rsid w:val="00491F44"/>
    <w:rsid w:val="00493C3E"/>
    <w:rsid w:val="0049632A"/>
    <w:rsid w:val="00496845"/>
    <w:rsid w:val="00497380"/>
    <w:rsid w:val="004A1951"/>
    <w:rsid w:val="004B45E0"/>
    <w:rsid w:val="004B655A"/>
    <w:rsid w:val="004B76A7"/>
    <w:rsid w:val="004C2E4C"/>
    <w:rsid w:val="004C36FF"/>
    <w:rsid w:val="004D38C4"/>
    <w:rsid w:val="004F774F"/>
    <w:rsid w:val="00501459"/>
    <w:rsid w:val="00510B32"/>
    <w:rsid w:val="005204B8"/>
    <w:rsid w:val="005269A9"/>
    <w:rsid w:val="005370A5"/>
    <w:rsid w:val="00540A72"/>
    <w:rsid w:val="00543D4A"/>
    <w:rsid w:val="00550285"/>
    <w:rsid w:val="00553146"/>
    <w:rsid w:val="00563ABB"/>
    <w:rsid w:val="00575066"/>
    <w:rsid w:val="00594BB3"/>
    <w:rsid w:val="00596A5D"/>
    <w:rsid w:val="005A0FD0"/>
    <w:rsid w:val="005A3BB6"/>
    <w:rsid w:val="005B7F56"/>
    <w:rsid w:val="005C20B3"/>
    <w:rsid w:val="005D5535"/>
    <w:rsid w:val="005F5342"/>
    <w:rsid w:val="0060233F"/>
    <w:rsid w:val="00606D85"/>
    <w:rsid w:val="0060719F"/>
    <w:rsid w:val="00614769"/>
    <w:rsid w:val="006155E6"/>
    <w:rsid w:val="00635B29"/>
    <w:rsid w:val="00637880"/>
    <w:rsid w:val="006413CE"/>
    <w:rsid w:val="006549F0"/>
    <w:rsid w:val="00674640"/>
    <w:rsid w:val="00697EFD"/>
    <w:rsid w:val="006A2A7E"/>
    <w:rsid w:val="006B21CF"/>
    <w:rsid w:val="006D393E"/>
    <w:rsid w:val="00706B4F"/>
    <w:rsid w:val="00707F6C"/>
    <w:rsid w:val="00710ACA"/>
    <w:rsid w:val="00713670"/>
    <w:rsid w:val="00715F35"/>
    <w:rsid w:val="00716D59"/>
    <w:rsid w:val="00717124"/>
    <w:rsid w:val="007173FD"/>
    <w:rsid w:val="00720920"/>
    <w:rsid w:val="00721283"/>
    <w:rsid w:val="00725532"/>
    <w:rsid w:val="00731E24"/>
    <w:rsid w:val="00731E52"/>
    <w:rsid w:val="007331B2"/>
    <w:rsid w:val="00746F4C"/>
    <w:rsid w:val="007513FB"/>
    <w:rsid w:val="00764825"/>
    <w:rsid w:val="007914EE"/>
    <w:rsid w:val="007962D0"/>
    <w:rsid w:val="007A2FC6"/>
    <w:rsid w:val="007A60AB"/>
    <w:rsid w:val="007B5E97"/>
    <w:rsid w:val="007B7D03"/>
    <w:rsid w:val="007C23B3"/>
    <w:rsid w:val="007C57D6"/>
    <w:rsid w:val="007F386B"/>
    <w:rsid w:val="007F7C7C"/>
    <w:rsid w:val="00810830"/>
    <w:rsid w:val="00813C52"/>
    <w:rsid w:val="0081572D"/>
    <w:rsid w:val="008407DD"/>
    <w:rsid w:val="00841593"/>
    <w:rsid w:val="00843620"/>
    <w:rsid w:val="0087500E"/>
    <w:rsid w:val="00880ADE"/>
    <w:rsid w:val="008B7FF1"/>
    <w:rsid w:val="008D3AF0"/>
    <w:rsid w:val="008E076D"/>
    <w:rsid w:val="008E4ECB"/>
    <w:rsid w:val="008E56A9"/>
    <w:rsid w:val="008F5E65"/>
    <w:rsid w:val="00920FFB"/>
    <w:rsid w:val="00922B5F"/>
    <w:rsid w:val="00923F2B"/>
    <w:rsid w:val="0092781E"/>
    <w:rsid w:val="00932224"/>
    <w:rsid w:val="00935342"/>
    <w:rsid w:val="00935379"/>
    <w:rsid w:val="0094115E"/>
    <w:rsid w:val="00943CC1"/>
    <w:rsid w:val="0094654A"/>
    <w:rsid w:val="00947AE6"/>
    <w:rsid w:val="00963CDD"/>
    <w:rsid w:val="00971998"/>
    <w:rsid w:val="00974368"/>
    <w:rsid w:val="00974976"/>
    <w:rsid w:val="0098426F"/>
    <w:rsid w:val="0098733E"/>
    <w:rsid w:val="00987C71"/>
    <w:rsid w:val="00990DB5"/>
    <w:rsid w:val="009946D1"/>
    <w:rsid w:val="009C04FB"/>
    <w:rsid w:val="009E081D"/>
    <w:rsid w:val="009E6774"/>
    <w:rsid w:val="009F216B"/>
    <w:rsid w:val="00A0143B"/>
    <w:rsid w:val="00A0161E"/>
    <w:rsid w:val="00A12347"/>
    <w:rsid w:val="00A40C89"/>
    <w:rsid w:val="00A41307"/>
    <w:rsid w:val="00A5535D"/>
    <w:rsid w:val="00A74F16"/>
    <w:rsid w:val="00A906F3"/>
    <w:rsid w:val="00A91E09"/>
    <w:rsid w:val="00A92265"/>
    <w:rsid w:val="00A940E8"/>
    <w:rsid w:val="00AA0CFA"/>
    <w:rsid w:val="00AA63D6"/>
    <w:rsid w:val="00AB5549"/>
    <w:rsid w:val="00AB7C19"/>
    <w:rsid w:val="00AC64E6"/>
    <w:rsid w:val="00AD17BF"/>
    <w:rsid w:val="00AD484A"/>
    <w:rsid w:val="00AD5C5E"/>
    <w:rsid w:val="00AE57DC"/>
    <w:rsid w:val="00B07614"/>
    <w:rsid w:val="00B10717"/>
    <w:rsid w:val="00B11207"/>
    <w:rsid w:val="00B140E9"/>
    <w:rsid w:val="00B24FDA"/>
    <w:rsid w:val="00B402D2"/>
    <w:rsid w:val="00B447AA"/>
    <w:rsid w:val="00B45023"/>
    <w:rsid w:val="00B47398"/>
    <w:rsid w:val="00B50FDE"/>
    <w:rsid w:val="00B559AC"/>
    <w:rsid w:val="00B56D5E"/>
    <w:rsid w:val="00B72415"/>
    <w:rsid w:val="00B73F4A"/>
    <w:rsid w:val="00B74614"/>
    <w:rsid w:val="00B80E3A"/>
    <w:rsid w:val="00B81597"/>
    <w:rsid w:val="00B81DFD"/>
    <w:rsid w:val="00B85891"/>
    <w:rsid w:val="00B90A48"/>
    <w:rsid w:val="00B91CAD"/>
    <w:rsid w:val="00B94EDE"/>
    <w:rsid w:val="00BA18FC"/>
    <w:rsid w:val="00BB0CBE"/>
    <w:rsid w:val="00BC2EFA"/>
    <w:rsid w:val="00BD7D4A"/>
    <w:rsid w:val="00BE3877"/>
    <w:rsid w:val="00BE476F"/>
    <w:rsid w:val="00BE5357"/>
    <w:rsid w:val="00BF207D"/>
    <w:rsid w:val="00BF59BE"/>
    <w:rsid w:val="00C05906"/>
    <w:rsid w:val="00C20F00"/>
    <w:rsid w:val="00C31943"/>
    <w:rsid w:val="00C41346"/>
    <w:rsid w:val="00C53082"/>
    <w:rsid w:val="00C5569E"/>
    <w:rsid w:val="00C62547"/>
    <w:rsid w:val="00C631F7"/>
    <w:rsid w:val="00C66A82"/>
    <w:rsid w:val="00C7250F"/>
    <w:rsid w:val="00C90B02"/>
    <w:rsid w:val="00C95CA7"/>
    <w:rsid w:val="00C970E8"/>
    <w:rsid w:val="00CA5EE0"/>
    <w:rsid w:val="00CB0091"/>
    <w:rsid w:val="00CB5753"/>
    <w:rsid w:val="00CC05D1"/>
    <w:rsid w:val="00CC285B"/>
    <w:rsid w:val="00CC34D7"/>
    <w:rsid w:val="00CC3E69"/>
    <w:rsid w:val="00CD2CA8"/>
    <w:rsid w:val="00CD3404"/>
    <w:rsid w:val="00CD4293"/>
    <w:rsid w:val="00CD678F"/>
    <w:rsid w:val="00CE0143"/>
    <w:rsid w:val="00CE513A"/>
    <w:rsid w:val="00CF2A1F"/>
    <w:rsid w:val="00CF6FB4"/>
    <w:rsid w:val="00D130A7"/>
    <w:rsid w:val="00D1365B"/>
    <w:rsid w:val="00D20635"/>
    <w:rsid w:val="00D365A6"/>
    <w:rsid w:val="00D46ADC"/>
    <w:rsid w:val="00D5260A"/>
    <w:rsid w:val="00D62A17"/>
    <w:rsid w:val="00D86584"/>
    <w:rsid w:val="00D87C91"/>
    <w:rsid w:val="00DA515B"/>
    <w:rsid w:val="00DA62BB"/>
    <w:rsid w:val="00DA6B1B"/>
    <w:rsid w:val="00DB0626"/>
    <w:rsid w:val="00DB73C6"/>
    <w:rsid w:val="00DD07A8"/>
    <w:rsid w:val="00DD43D6"/>
    <w:rsid w:val="00DE6022"/>
    <w:rsid w:val="00E07F6F"/>
    <w:rsid w:val="00E4430F"/>
    <w:rsid w:val="00E467C9"/>
    <w:rsid w:val="00E52C30"/>
    <w:rsid w:val="00E5367A"/>
    <w:rsid w:val="00E55467"/>
    <w:rsid w:val="00E56F36"/>
    <w:rsid w:val="00E62C70"/>
    <w:rsid w:val="00E63BCC"/>
    <w:rsid w:val="00E71860"/>
    <w:rsid w:val="00E855BB"/>
    <w:rsid w:val="00E86DAC"/>
    <w:rsid w:val="00E92EF9"/>
    <w:rsid w:val="00EA0880"/>
    <w:rsid w:val="00EA1CFF"/>
    <w:rsid w:val="00EB4998"/>
    <w:rsid w:val="00ED6BDF"/>
    <w:rsid w:val="00EE6C4D"/>
    <w:rsid w:val="00EF422C"/>
    <w:rsid w:val="00EF5A44"/>
    <w:rsid w:val="00F04FBD"/>
    <w:rsid w:val="00F0519B"/>
    <w:rsid w:val="00F05B95"/>
    <w:rsid w:val="00F21261"/>
    <w:rsid w:val="00F249E6"/>
    <w:rsid w:val="00F251E8"/>
    <w:rsid w:val="00F47579"/>
    <w:rsid w:val="00F506F2"/>
    <w:rsid w:val="00F56D5E"/>
    <w:rsid w:val="00F61BAA"/>
    <w:rsid w:val="00F74F2A"/>
    <w:rsid w:val="00F831E7"/>
    <w:rsid w:val="00F942CD"/>
    <w:rsid w:val="00FA5606"/>
    <w:rsid w:val="00FC1ABC"/>
    <w:rsid w:val="00FC451C"/>
    <w:rsid w:val="00FD3667"/>
    <w:rsid w:val="00FD530D"/>
    <w:rsid w:val="00FE43B4"/>
    <w:rsid w:val="00FE4E33"/>
    <w:rsid w:val="00FF3779"/>
    <w:rsid w:val="226856D8"/>
    <w:rsid w:val="27ED59F5"/>
    <w:rsid w:val="3275312B"/>
    <w:rsid w:val="331D4E26"/>
    <w:rsid w:val="4D7F12A7"/>
    <w:rsid w:val="4DE93387"/>
    <w:rsid w:val="5CE2C487"/>
    <w:rsid w:val="5D070D48"/>
    <w:rsid w:val="5D144790"/>
    <w:rsid w:val="66192F0C"/>
    <w:rsid w:val="699B4E49"/>
    <w:rsid w:val="71445B94"/>
    <w:rsid w:val="76E10D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07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F207D"/>
    <w:rPr>
      <w:rFonts w:ascii="宋体" w:eastAsia="宋体"/>
      <w:sz w:val="18"/>
      <w:szCs w:val="18"/>
    </w:rPr>
  </w:style>
  <w:style w:type="paragraph" w:styleId="a4">
    <w:name w:val="annotation text"/>
    <w:basedOn w:val="a"/>
    <w:link w:val="Char0"/>
    <w:unhideWhenUsed/>
    <w:qFormat/>
    <w:rsid w:val="00BF207D"/>
    <w:pPr>
      <w:jc w:val="left"/>
    </w:pPr>
  </w:style>
  <w:style w:type="paragraph" w:styleId="a5">
    <w:name w:val="Balloon Text"/>
    <w:basedOn w:val="a"/>
    <w:link w:val="Char1"/>
    <w:uiPriority w:val="99"/>
    <w:semiHidden/>
    <w:unhideWhenUsed/>
    <w:qFormat/>
    <w:rsid w:val="00BF207D"/>
    <w:rPr>
      <w:sz w:val="18"/>
      <w:szCs w:val="18"/>
    </w:rPr>
  </w:style>
  <w:style w:type="paragraph" w:styleId="a6">
    <w:name w:val="footer"/>
    <w:basedOn w:val="a"/>
    <w:link w:val="Char2"/>
    <w:uiPriority w:val="99"/>
    <w:unhideWhenUsed/>
    <w:qFormat/>
    <w:rsid w:val="00BF207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BF207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BF207D"/>
    <w:pPr>
      <w:spacing w:line="400" w:lineRule="atLeast"/>
      <w:ind w:firstLineChars="100" w:firstLine="600"/>
    </w:pPr>
    <w:rPr>
      <w:rFonts w:ascii="宋体" w:eastAsia="仿宋_GB2312" w:hAnsi="Times New Roman" w:cs="Times New Roman" w:hint="eastAsia"/>
      <w:sz w:val="28"/>
      <w:szCs w:val="20"/>
    </w:rPr>
  </w:style>
  <w:style w:type="paragraph" w:styleId="2">
    <w:name w:val="Body Text 2"/>
    <w:basedOn w:val="a"/>
    <w:link w:val="2Char"/>
    <w:uiPriority w:val="99"/>
    <w:unhideWhenUsed/>
    <w:qFormat/>
    <w:rsid w:val="00BF207D"/>
    <w:pPr>
      <w:spacing w:after="120" w:line="480" w:lineRule="auto"/>
    </w:pPr>
  </w:style>
  <w:style w:type="paragraph" w:styleId="a8">
    <w:name w:val="Normal (Web)"/>
    <w:basedOn w:val="a"/>
    <w:uiPriority w:val="99"/>
    <w:qFormat/>
    <w:rsid w:val="00BF207D"/>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a9">
    <w:name w:val="annotation subject"/>
    <w:basedOn w:val="a4"/>
    <w:next w:val="a4"/>
    <w:link w:val="Char4"/>
    <w:uiPriority w:val="99"/>
    <w:semiHidden/>
    <w:unhideWhenUsed/>
    <w:qFormat/>
    <w:rsid w:val="00BF207D"/>
    <w:rPr>
      <w:b/>
      <w:bCs/>
    </w:rPr>
  </w:style>
  <w:style w:type="table" w:styleId="aa">
    <w:name w:val="Table Grid"/>
    <w:basedOn w:val="a1"/>
    <w:uiPriority w:val="59"/>
    <w:qFormat/>
    <w:rsid w:val="00BF20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uiPriority w:val="22"/>
    <w:qFormat/>
    <w:rsid w:val="00BF207D"/>
    <w:rPr>
      <w:b/>
      <w:bCs/>
    </w:rPr>
  </w:style>
  <w:style w:type="character" w:styleId="ac">
    <w:name w:val="annotation reference"/>
    <w:basedOn w:val="a0"/>
    <w:unhideWhenUsed/>
    <w:qFormat/>
    <w:rsid w:val="00BF207D"/>
    <w:rPr>
      <w:sz w:val="21"/>
      <w:szCs w:val="21"/>
    </w:rPr>
  </w:style>
  <w:style w:type="character" w:customStyle="1" w:styleId="Char0">
    <w:name w:val="批注文字 Char"/>
    <w:basedOn w:val="a0"/>
    <w:link w:val="a4"/>
    <w:qFormat/>
    <w:rsid w:val="00BF207D"/>
  </w:style>
  <w:style w:type="character" w:customStyle="1" w:styleId="Char4">
    <w:name w:val="批注主题 Char"/>
    <w:basedOn w:val="Char0"/>
    <w:link w:val="a9"/>
    <w:uiPriority w:val="99"/>
    <w:semiHidden/>
    <w:qFormat/>
    <w:rsid w:val="00BF207D"/>
    <w:rPr>
      <w:b/>
      <w:bCs/>
    </w:rPr>
  </w:style>
  <w:style w:type="character" w:customStyle="1" w:styleId="Char1">
    <w:name w:val="批注框文本 Char"/>
    <w:basedOn w:val="a0"/>
    <w:link w:val="a5"/>
    <w:uiPriority w:val="99"/>
    <w:semiHidden/>
    <w:qFormat/>
    <w:rsid w:val="00BF207D"/>
    <w:rPr>
      <w:sz w:val="18"/>
      <w:szCs w:val="18"/>
    </w:rPr>
  </w:style>
  <w:style w:type="character" w:customStyle="1" w:styleId="Char3">
    <w:name w:val="页眉 Char"/>
    <w:basedOn w:val="a0"/>
    <w:link w:val="a7"/>
    <w:uiPriority w:val="99"/>
    <w:qFormat/>
    <w:rsid w:val="00BF207D"/>
    <w:rPr>
      <w:sz w:val="18"/>
      <w:szCs w:val="18"/>
    </w:rPr>
  </w:style>
  <w:style w:type="character" w:customStyle="1" w:styleId="Char2">
    <w:name w:val="页脚 Char"/>
    <w:basedOn w:val="a0"/>
    <w:link w:val="a6"/>
    <w:uiPriority w:val="99"/>
    <w:qFormat/>
    <w:rsid w:val="00BF207D"/>
    <w:rPr>
      <w:sz w:val="18"/>
      <w:szCs w:val="18"/>
    </w:rPr>
  </w:style>
  <w:style w:type="paragraph" w:customStyle="1" w:styleId="1">
    <w:name w:val="修订1"/>
    <w:hidden/>
    <w:uiPriority w:val="99"/>
    <w:semiHidden/>
    <w:qFormat/>
    <w:rsid w:val="00BF207D"/>
    <w:rPr>
      <w:rFonts w:asciiTheme="minorHAnsi" w:eastAsiaTheme="minorEastAsia" w:hAnsiTheme="minorHAnsi" w:cstheme="minorBidi"/>
      <w:kern w:val="2"/>
      <w:sz w:val="21"/>
      <w:szCs w:val="22"/>
    </w:rPr>
  </w:style>
  <w:style w:type="paragraph" w:customStyle="1" w:styleId="tl1">
    <w:name w:val="tl1"/>
    <w:basedOn w:val="a"/>
    <w:qFormat/>
    <w:rsid w:val="00BF207D"/>
    <w:pPr>
      <w:widowControl/>
      <w:jc w:val="center"/>
    </w:pPr>
    <w:rPr>
      <w:rFonts w:ascii="黑体" w:eastAsia="黑体" w:hAnsi="黑体" w:cs="Arial"/>
      <w:color w:val="003F8E"/>
      <w:kern w:val="0"/>
      <w:sz w:val="15"/>
      <w:szCs w:val="15"/>
    </w:rPr>
  </w:style>
  <w:style w:type="paragraph" w:styleId="ad">
    <w:name w:val="List Paragraph"/>
    <w:basedOn w:val="a"/>
    <w:uiPriority w:val="34"/>
    <w:qFormat/>
    <w:rsid w:val="00BF207D"/>
    <w:pPr>
      <w:ind w:firstLineChars="200" w:firstLine="420"/>
    </w:pPr>
  </w:style>
  <w:style w:type="character" w:customStyle="1" w:styleId="3Char">
    <w:name w:val="正文文本缩进 3 Char"/>
    <w:basedOn w:val="a0"/>
    <w:link w:val="3"/>
    <w:qFormat/>
    <w:rsid w:val="00BF207D"/>
    <w:rPr>
      <w:rFonts w:ascii="宋体" w:eastAsia="仿宋_GB2312" w:hAnsi="Times New Roman" w:cs="Times New Roman"/>
      <w:sz w:val="28"/>
      <w:szCs w:val="20"/>
    </w:rPr>
  </w:style>
  <w:style w:type="character" w:customStyle="1" w:styleId="Char">
    <w:name w:val="文档结构图 Char"/>
    <w:basedOn w:val="a0"/>
    <w:link w:val="a3"/>
    <w:uiPriority w:val="99"/>
    <w:semiHidden/>
    <w:qFormat/>
    <w:rsid w:val="00BF207D"/>
    <w:rPr>
      <w:rFonts w:ascii="宋体" w:eastAsia="宋体"/>
      <w:sz w:val="18"/>
      <w:szCs w:val="18"/>
    </w:rPr>
  </w:style>
  <w:style w:type="character" w:customStyle="1" w:styleId="2Char">
    <w:name w:val="正文文本 2 Char"/>
    <w:basedOn w:val="a0"/>
    <w:link w:val="2"/>
    <w:uiPriority w:val="99"/>
    <w:qFormat/>
    <w:rsid w:val="00BF207D"/>
  </w:style>
  <w:style w:type="paragraph" w:customStyle="1" w:styleId="Default">
    <w:name w:val="Default"/>
    <w:qFormat/>
    <w:rsid w:val="00BF207D"/>
    <w:pPr>
      <w:widowControl w:val="0"/>
      <w:autoSpaceDE w:val="0"/>
      <w:autoSpaceDN w:val="0"/>
      <w:adjustRightInd w:val="0"/>
    </w:pPr>
    <w:rPr>
      <w:rFonts w:ascii="宋体" w:hAnsiTheme="minorHAnsi" w:cs="宋体"/>
      <w:color w:val="000000"/>
      <w:sz w:val="24"/>
      <w:szCs w:val="24"/>
    </w:rPr>
  </w:style>
  <w:style w:type="paragraph" w:styleId="ae">
    <w:name w:val="Revision"/>
    <w:hidden/>
    <w:uiPriority w:val="99"/>
    <w:semiHidden/>
    <w:rsid w:val="00EE6C4D"/>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2442</Characters>
  <Application>Microsoft Office Word</Application>
  <DocSecurity>4</DocSecurity>
  <Lines>20</Lines>
  <Paragraphs>5</Paragraphs>
  <ScaleCrop>false</ScaleCrop>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li_yg</dc:creator>
  <cp:lastModifiedBy>ZHONGM</cp:lastModifiedBy>
  <cp:revision>2</cp:revision>
  <cp:lastPrinted>2023-07-06T09:29:00Z</cp:lastPrinted>
  <dcterms:created xsi:type="dcterms:W3CDTF">2023-08-18T16:01:00Z</dcterms:created>
  <dcterms:modified xsi:type="dcterms:W3CDTF">2023-08-18T16:01:00Z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4EAED859A28942BFB24F33541E7AF1CA</vt:lpwstr>
  </property>
</Properties>
</file>