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Cs w:val="21"/>
        </w:rPr>
      </w:pPr>
      <w:bookmarkStart w:id="0" w:name="_Toc361324840"/>
    </w:p>
    <w:p>
      <w:pPr>
        <w:spacing w:line="360" w:lineRule="auto"/>
        <w:jc w:val="center"/>
        <w:rPr>
          <w:rFonts w:ascii="宋体" w:hAnsi="宋体"/>
          <w:b/>
          <w:szCs w:val="21"/>
        </w:rPr>
      </w:pPr>
    </w:p>
    <w:bookmarkEnd w:id="0"/>
    <w:p>
      <w:pPr>
        <w:spacing w:line="360" w:lineRule="auto"/>
        <w:jc w:val="center"/>
        <w:rPr>
          <w:rFonts w:ascii="宋体" w:hAnsi="宋体"/>
          <w:b/>
          <w:sz w:val="52"/>
          <w:szCs w:val="52"/>
        </w:rPr>
      </w:pPr>
      <w:bookmarkStart w:id="1" w:name="_Toc361324841"/>
      <w:r>
        <w:rPr>
          <w:rFonts w:hint="eastAsia" w:ascii="宋体" w:hAnsi="宋体"/>
          <w:b/>
          <w:sz w:val="52"/>
          <w:szCs w:val="52"/>
        </w:rPr>
        <w:t>博时鑫瑞灵活配置混合型证券投资基金清算</w:t>
      </w:r>
      <w:r>
        <w:rPr>
          <w:rFonts w:ascii="宋体" w:hAnsi="宋体"/>
          <w:b/>
          <w:sz w:val="52"/>
          <w:szCs w:val="52"/>
        </w:rPr>
        <w:t>报告</w:t>
      </w:r>
      <w:bookmarkEnd w:id="1"/>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jc w:val="center"/>
        <w:rPr>
          <w:rFonts w:ascii="宋体" w:hAnsi="宋体"/>
          <w:b/>
          <w:color w:val="000000"/>
          <w:sz w:val="36"/>
          <w:szCs w:val="36"/>
        </w:rPr>
      </w:pPr>
      <w:r>
        <w:rPr>
          <w:rFonts w:ascii="宋体" w:hAnsi="宋体"/>
          <w:b/>
          <w:color w:val="000000"/>
          <w:sz w:val="36"/>
          <w:szCs w:val="36"/>
        </w:rPr>
        <w:t>基金管理人：博时基金管理有限公司</w:t>
      </w:r>
    </w:p>
    <w:p>
      <w:pPr>
        <w:spacing w:line="360" w:lineRule="auto"/>
        <w:jc w:val="center"/>
        <w:rPr>
          <w:rFonts w:ascii="宋体" w:hAnsi="宋体"/>
          <w:b/>
          <w:color w:val="000000"/>
          <w:sz w:val="36"/>
          <w:szCs w:val="36"/>
        </w:rPr>
      </w:pPr>
      <w:r>
        <w:rPr>
          <w:rFonts w:ascii="宋体" w:hAnsi="宋体"/>
          <w:b/>
          <w:color w:val="000000"/>
          <w:sz w:val="36"/>
          <w:szCs w:val="36"/>
        </w:rPr>
        <w:t>基金托管人：</w:t>
      </w:r>
      <w:r>
        <w:rPr>
          <w:rFonts w:hint="eastAsia" w:ascii="宋体" w:hAnsi="宋体"/>
          <w:b/>
          <w:color w:val="000000"/>
          <w:sz w:val="36"/>
          <w:szCs w:val="36"/>
        </w:rPr>
        <w:t>中国民生银行股份有限公司</w:t>
      </w:r>
    </w:p>
    <w:p>
      <w:pPr>
        <w:spacing w:line="360" w:lineRule="auto"/>
        <w:jc w:val="center"/>
        <w:rPr>
          <w:rFonts w:ascii="宋体" w:hAnsi="宋体"/>
          <w:b/>
          <w:color w:val="000000"/>
          <w:sz w:val="36"/>
          <w:szCs w:val="36"/>
        </w:rPr>
      </w:pPr>
      <w:r>
        <w:rPr>
          <w:rFonts w:ascii="宋体" w:hAnsi="宋体"/>
          <w:b/>
          <w:color w:val="000000"/>
          <w:sz w:val="36"/>
          <w:szCs w:val="36"/>
        </w:rPr>
        <w:t>报告</w:t>
      </w:r>
      <w:r>
        <w:rPr>
          <w:rFonts w:hint="eastAsia" w:ascii="宋体" w:hAnsi="宋体"/>
          <w:b/>
          <w:color w:val="000000"/>
          <w:sz w:val="36"/>
          <w:szCs w:val="36"/>
        </w:rPr>
        <w:t>出具</w:t>
      </w:r>
      <w:r>
        <w:rPr>
          <w:rFonts w:ascii="宋体" w:hAnsi="宋体"/>
          <w:b/>
          <w:color w:val="000000"/>
          <w:sz w:val="36"/>
          <w:szCs w:val="36"/>
        </w:rPr>
        <w:t>日期：二〇二三年八月</w:t>
      </w:r>
      <w:r>
        <w:rPr>
          <w:rFonts w:hint="eastAsia" w:ascii="宋体" w:hAnsi="宋体"/>
          <w:b/>
          <w:color w:val="000000"/>
          <w:sz w:val="36"/>
          <w:szCs w:val="36"/>
        </w:rPr>
        <w:t>九</w:t>
      </w:r>
      <w:r>
        <w:rPr>
          <w:rFonts w:ascii="宋体" w:hAnsi="宋体"/>
          <w:b/>
          <w:color w:val="000000"/>
          <w:sz w:val="36"/>
          <w:szCs w:val="36"/>
        </w:rPr>
        <w:t>日</w:t>
      </w:r>
    </w:p>
    <w:p>
      <w:pPr>
        <w:spacing w:line="360" w:lineRule="auto"/>
        <w:jc w:val="center"/>
        <w:rPr>
          <w:rFonts w:ascii="宋体" w:hAnsi="宋体"/>
          <w:b/>
          <w:color w:val="000000"/>
          <w:sz w:val="36"/>
          <w:szCs w:val="36"/>
        </w:rPr>
      </w:pPr>
      <w:r>
        <w:rPr>
          <w:rFonts w:hint="eastAsia" w:ascii="宋体" w:hAnsi="宋体"/>
          <w:b/>
          <w:color w:val="000000"/>
          <w:sz w:val="36"/>
          <w:szCs w:val="36"/>
        </w:rPr>
        <w:t>报告公告日期：</w:t>
      </w:r>
      <w:r>
        <w:rPr>
          <w:rFonts w:ascii="宋体" w:hAnsi="宋体"/>
          <w:b/>
          <w:color w:val="000000"/>
          <w:sz w:val="36"/>
          <w:szCs w:val="36"/>
        </w:rPr>
        <w:t>二〇</w:t>
      </w:r>
      <w:r>
        <w:rPr>
          <w:rFonts w:hint="eastAsia" w:ascii="宋体" w:hAnsi="宋体"/>
          <w:b/>
          <w:color w:val="000000"/>
          <w:sz w:val="36"/>
          <w:szCs w:val="36"/>
        </w:rPr>
        <w:t>二三</w:t>
      </w:r>
      <w:r>
        <w:rPr>
          <w:rFonts w:ascii="宋体" w:hAnsi="宋体"/>
          <w:b/>
          <w:color w:val="000000"/>
          <w:sz w:val="36"/>
          <w:szCs w:val="36"/>
        </w:rPr>
        <w:t>年</w:t>
      </w:r>
      <w:r>
        <w:rPr>
          <w:rFonts w:hint="eastAsia" w:ascii="宋体" w:hAnsi="宋体"/>
          <w:b/>
          <w:color w:val="000000"/>
          <w:sz w:val="36"/>
          <w:szCs w:val="36"/>
        </w:rPr>
        <w:t>八</w:t>
      </w:r>
      <w:r>
        <w:rPr>
          <w:rFonts w:ascii="宋体" w:hAnsi="宋体"/>
          <w:b/>
          <w:color w:val="000000"/>
          <w:sz w:val="36"/>
          <w:szCs w:val="36"/>
        </w:rPr>
        <w:t>月</w:t>
      </w:r>
      <w:r>
        <w:rPr>
          <w:rFonts w:hint="eastAsia" w:ascii="宋体" w:hAnsi="宋体"/>
          <w:b/>
          <w:color w:val="000000"/>
          <w:sz w:val="36"/>
          <w:szCs w:val="36"/>
          <w:lang w:val="en-US" w:eastAsia="zh-CN"/>
        </w:rPr>
        <w:t>十九</w:t>
      </w:r>
      <w:r>
        <w:rPr>
          <w:rFonts w:hint="eastAsia" w:ascii="宋体" w:hAnsi="宋体"/>
          <w:b/>
          <w:color w:val="000000"/>
          <w:sz w:val="36"/>
          <w:szCs w:val="36"/>
        </w:rPr>
        <w:t>日</w:t>
      </w:r>
    </w:p>
    <w:p>
      <w:pPr>
        <w:spacing w:line="360" w:lineRule="auto"/>
        <w:jc w:val="center"/>
        <w:rPr>
          <w:rFonts w:ascii="宋体" w:hAnsi="宋体"/>
          <w:b/>
          <w:color w:val="000000"/>
          <w:sz w:val="36"/>
          <w:szCs w:val="36"/>
        </w:rPr>
      </w:pPr>
    </w:p>
    <w:p>
      <w:pPr>
        <w:spacing w:line="360" w:lineRule="auto"/>
        <w:ind w:firstLine="1265" w:firstLineChars="350"/>
        <w:rPr>
          <w:rFonts w:ascii="宋体" w:hAnsi="宋体"/>
          <w:b/>
          <w:color w:val="000000"/>
          <w:sz w:val="36"/>
          <w:szCs w:val="36"/>
        </w:rPr>
        <w:sectPr>
          <w:headerReference r:id="rId3" w:type="default"/>
          <w:footerReference r:id="rId4" w:type="default"/>
          <w:pgSz w:w="11926" w:h="15840"/>
          <w:pgMar w:top="1418" w:right="1418" w:bottom="851" w:left="1418" w:header="851" w:footer="992" w:gutter="0"/>
          <w:pgNumType w:start="1"/>
          <w:cols w:space="720" w:num="1"/>
          <w:titlePg/>
          <w:docGrid w:linePitch="286" w:charSpace="0"/>
        </w:sectPr>
      </w:pPr>
    </w:p>
    <w:sdt>
      <w:sdtPr>
        <w:rPr>
          <w:rFonts w:ascii="Times New Roman" w:hAnsi="Times New Roman" w:eastAsia="宋体" w:cs="Times New Roman"/>
          <w:b w:val="0"/>
          <w:bCs w:val="0"/>
          <w:color w:val="auto"/>
          <w:kern w:val="2"/>
          <w:sz w:val="21"/>
          <w:szCs w:val="24"/>
          <w:lang w:val="zh-CN"/>
        </w:rPr>
        <w:id w:val="542722309"/>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32"/>
            <w:jc w:val="center"/>
          </w:pPr>
          <w:bookmarkStart w:id="2" w:name="_Toc484769794"/>
          <w:r>
            <w:rPr>
              <w:rFonts w:hint="eastAsia"/>
              <w:color w:val="000000" w:themeColor="text1"/>
              <w:lang w:val="zh-CN"/>
              <w14:textFill>
                <w14:solidFill>
                  <w14:schemeClr w14:val="tx1"/>
                </w14:solidFill>
              </w14:textFill>
            </w:rPr>
            <w:t>目录</w:t>
          </w:r>
        </w:p>
        <w:p>
          <w:pPr>
            <w:pStyle w:val="9"/>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"_Toc491963077" </w:instrText>
          </w:r>
          <w:r>
            <w:fldChar w:fldCharType="separate"/>
          </w:r>
          <w:r>
            <w:rPr>
              <w:rStyle w:val="15"/>
              <w:rFonts w:ascii="宋体" w:hAnsi="宋体"/>
              <w:b/>
            </w:rPr>
            <w:t>1</w:t>
          </w:r>
          <w:r>
            <w:rPr>
              <w:rStyle w:val="15"/>
              <w:rFonts w:hint="eastAsia" w:ascii="宋体" w:hAnsi="宋体"/>
              <w:b/>
            </w:rPr>
            <w:t>、重要提示</w:t>
          </w:r>
          <w:r>
            <w:tab/>
          </w:r>
          <w:r>
            <w:fldChar w:fldCharType="begin"/>
          </w:r>
          <w:r>
            <w:instrText xml:space="preserve"> PAGEREF _Toc491963077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"_Toc491963078" </w:instrText>
          </w:r>
          <w:r>
            <w:fldChar w:fldCharType="separate"/>
          </w:r>
          <w:r>
            <w:rPr>
              <w:rStyle w:val="15"/>
              <w:rFonts w:ascii="宋体" w:hAnsi="宋体"/>
              <w:kern w:val="0"/>
            </w:rPr>
            <w:t xml:space="preserve">1.1 </w:t>
          </w:r>
          <w:r>
            <w:rPr>
              <w:rStyle w:val="15"/>
              <w:rFonts w:hint="eastAsia" w:ascii="宋体" w:hAnsi="宋体"/>
              <w:kern w:val="0"/>
            </w:rPr>
            <w:t>重要提示</w:t>
          </w:r>
          <w:r>
            <w:tab/>
          </w:r>
          <w:r>
            <w:fldChar w:fldCharType="begin"/>
          </w:r>
          <w:r>
            <w:instrText xml:space="preserve"> PAGEREF _Toc491963078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"_Toc491963079" </w:instrText>
          </w:r>
          <w:r>
            <w:fldChar w:fldCharType="separate"/>
          </w:r>
          <w:r>
            <w:rPr>
              <w:rStyle w:val="15"/>
              <w:rFonts w:ascii="宋体" w:hAnsi="宋体"/>
              <w:b/>
            </w:rPr>
            <w:t>2</w:t>
          </w:r>
          <w:r>
            <w:rPr>
              <w:rStyle w:val="15"/>
              <w:rFonts w:hint="eastAsia" w:ascii="宋体" w:hAnsi="宋体"/>
              <w:b/>
            </w:rPr>
            <w:t>、基金概况</w:t>
          </w:r>
          <w:r>
            <w:tab/>
          </w:r>
          <w:r>
            <w:fldChar w:fldCharType="begin"/>
          </w:r>
          <w:r>
            <w:instrText xml:space="preserve"> PAGEREF _Toc491963079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"_Toc491963080" </w:instrText>
          </w:r>
          <w:r>
            <w:fldChar w:fldCharType="separate"/>
          </w:r>
          <w:r>
            <w:rPr>
              <w:rStyle w:val="15"/>
              <w:rFonts w:ascii="宋体" w:hAnsi="宋体"/>
              <w:kern w:val="0"/>
            </w:rPr>
            <w:t xml:space="preserve">2.1 </w:t>
          </w:r>
          <w:r>
            <w:rPr>
              <w:rStyle w:val="15"/>
              <w:rFonts w:hint="eastAsia" w:ascii="宋体" w:hAnsi="宋体"/>
              <w:kern w:val="0"/>
            </w:rPr>
            <w:t>基金基本情况</w:t>
          </w:r>
          <w:r>
            <w:tab/>
          </w:r>
          <w:r>
            <w:fldChar w:fldCharType="begin"/>
          </w:r>
          <w:r>
            <w:instrText xml:space="preserve"> PAGEREF _Toc491963080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"_Toc491963081" </w:instrText>
          </w:r>
          <w:r>
            <w:fldChar w:fldCharType="separate"/>
          </w:r>
          <w:r>
            <w:rPr>
              <w:rStyle w:val="15"/>
              <w:rFonts w:ascii="宋体" w:hAnsi="宋体"/>
            </w:rPr>
            <w:t xml:space="preserve">2.2 </w:t>
          </w:r>
          <w:r>
            <w:rPr>
              <w:rStyle w:val="15"/>
              <w:rFonts w:hint="eastAsia" w:ascii="宋体" w:hAnsi="宋体"/>
            </w:rPr>
            <w:t>基金产品说明</w:t>
          </w:r>
          <w:r>
            <w:tab/>
          </w:r>
          <w:r>
            <w:fldChar w:fldCharType="begin"/>
          </w:r>
          <w:r>
            <w:instrText xml:space="preserve"> PAGEREF _Toc491963081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"_Toc491963082" </w:instrText>
          </w:r>
          <w:r>
            <w:fldChar w:fldCharType="separate"/>
          </w:r>
          <w:r>
            <w:rPr>
              <w:rStyle w:val="15"/>
              <w:rFonts w:ascii="宋体" w:hAnsi="宋体"/>
              <w:b/>
            </w:rPr>
            <w:t>3</w:t>
          </w:r>
          <w:r>
            <w:rPr>
              <w:rStyle w:val="15"/>
              <w:rFonts w:hint="eastAsia" w:ascii="宋体" w:hAnsi="宋体"/>
              <w:b/>
            </w:rPr>
            <w:t>、基金运作情况说明</w:t>
          </w:r>
          <w:r>
            <w:tab/>
          </w:r>
          <w:r>
            <w:fldChar w:fldCharType="begin"/>
          </w:r>
          <w:r>
            <w:instrText xml:space="preserve"> PAGEREF _Toc491963082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"_Toc491963083" </w:instrText>
          </w:r>
          <w:r>
            <w:fldChar w:fldCharType="separate"/>
          </w:r>
          <w:r>
            <w:rPr>
              <w:rStyle w:val="15"/>
              <w:rFonts w:ascii="宋体" w:hAnsi="宋体"/>
              <w:b/>
            </w:rPr>
            <w:t>4</w:t>
          </w:r>
          <w:r>
            <w:rPr>
              <w:rStyle w:val="15"/>
              <w:rFonts w:hint="eastAsia" w:ascii="宋体" w:hAnsi="宋体"/>
              <w:b/>
            </w:rPr>
            <w:t>、财务报告</w:t>
          </w:r>
          <w:r>
            <w:tab/>
          </w:r>
          <w:r>
            <w:fldChar w:fldCharType="begin"/>
          </w:r>
          <w:r>
            <w:instrText xml:space="preserve"> PAGEREF _Toc491963083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"_Toc491963084" </w:instrText>
          </w:r>
          <w:r>
            <w:fldChar w:fldCharType="separate"/>
          </w:r>
          <w:r>
            <w:rPr>
              <w:rStyle w:val="15"/>
              <w:rFonts w:ascii="宋体" w:hAnsi="宋体"/>
              <w:kern w:val="0"/>
            </w:rPr>
            <w:t xml:space="preserve">4.1 </w:t>
          </w:r>
          <w:r>
            <w:rPr>
              <w:rStyle w:val="15"/>
              <w:rFonts w:hint="eastAsia" w:ascii="宋体" w:hAnsi="宋体"/>
              <w:kern w:val="0"/>
            </w:rPr>
            <w:t>资产负债表</w:t>
          </w:r>
          <w:r>
            <w:tab/>
          </w:r>
          <w:r>
            <w:fldChar w:fldCharType="begin"/>
          </w:r>
          <w:r>
            <w:instrText xml:space="preserve"> PAGEREF _Toc491963084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"_Toc491963085" </w:instrText>
          </w:r>
          <w:r>
            <w:fldChar w:fldCharType="separate"/>
          </w:r>
          <w:r>
            <w:rPr>
              <w:rStyle w:val="15"/>
              <w:rFonts w:ascii="宋体" w:hAnsi="宋体"/>
              <w:kern w:val="0"/>
            </w:rPr>
            <w:t xml:space="preserve">4.2 </w:t>
          </w:r>
          <w:r>
            <w:rPr>
              <w:rStyle w:val="15"/>
              <w:rFonts w:hint="eastAsia" w:ascii="宋体" w:hAnsi="宋体"/>
              <w:kern w:val="0"/>
            </w:rPr>
            <w:t>清算损益表</w:t>
          </w:r>
          <w:r>
            <w:tab/>
          </w:r>
          <w:r>
            <w:fldChar w:fldCharType="begin"/>
          </w:r>
          <w:r>
            <w:instrText xml:space="preserve"> PAGEREF _Toc491963085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"_Toc491963086" </w:instrText>
          </w:r>
          <w:r>
            <w:fldChar w:fldCharType="separate"/>
          </w:r>
          <w:r>
            <w:rPr>
              <w:rStyle w:val="15"/>
              <w:rFonts w:ascii="宋体" w:hAnsi="宋体"/>
              <w:kern w:val="0"/>
            </w:rPr>
            <w:t xml:space="preserve">4.3 </w:t>
          </w:r>
          <w:r>
            <w:rPr>
              <w:rStyle w:val="15"/>
              <w:rFonts w:hint="eastAsia" w:ascii="宋体" w:hAnsi="宋体"/>
              <w:kern w:val="0"/>
            </w:rPr>
            <w:t>报表附注</w:t>
          </w:r>
          <w:r>
            <w:tab/>
          </w:r>
          <w:r>
            <w:fldChar w:fldCharType="begin"/>
          </w:r>
          <w:r>
            <w:instrText xml:space="preserve"> PAGEREF _Toc491963086 \h </w:instrText>
          </w:r>
          <w:r>
            <w:fldChar w:fldCharType="separate"/>
          </w:r>
          <w:r>
            <w:t>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"_Toc491963087" </w:instrText>
          </w:r>
          <w:r>
            <w:fldChar w:fldCharType="separate"/>
          </w:r>
          <w:r>
            <w:rPr>
              <w:rStyle w:val="15"/>
              <w:rFonts w:ascii="宋体" w:hAnsi="宋体"/>
              <w:b/>
            </w:rPr>
            <w:t>5</w:t>
          </w:r>
          <w:r>
            <w:rPr>
              <w:rStyle w:val="15"/>
              <w:rFonts w:hint="eastAsia" w:ascii="宋体" w:hAnsi="宋体"/>
              <w:b/>
            </w:rPr>
            <w:t>、清算情况</w:t>
          </w:r>
          <w:r>
            <w:tab/>
          </w:r>
          <w:r>
            <w:fldChar w:fldCharType="begin"/>
          </w:r>
          <w:r>
            <w:instrText xml:space="preserve"> PAGEREF _Toc491963087 \h </w:instrText>
          </w:r>
          <w:r>
            <w:fldChar w:fldCharType="separate"/>
          </w:r>
          <w:r>
            <w:t>6</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"_Toc491963088" </w:instrText>
          </w:r>
          <w:r>
            <w:fldChar w:fldCharType="separate"/>
          </w:r>
          <w:r>
            <w:rPr>
              <w:rStyle w:val="15"/>
              <w:rFonts w:ascii="宋体" w:hAnsi="宋体"/>
              <w:kern w:val="0"/>
            </w:rPr>
            <w:t xml:space="preserve">5.1 </w:t>
          </w:r>
          <w:r>
            <w:rPr>
              <w:rStyle w:val="15"/>
              <w:rFonts w:hint="eastAsia" w:ascii="宋体" w:hAnsi="宋体"/>
              <w:kern w:val="0"/>
            </w:rPr>
            <w:t>资产负债清算情况</w:t>
          </w:r>
          <w:r>
            <w:tab/>
          </w:r>
          <w:r>
            <w:fldChar w:fldCharType="begin"/>
          </w:r>
          <w:r>
            <w:instrText xml:space="preserve"> PAGEREF _Toc491963088 \h </w:instrText>
          </w:r>
          <w:r>
            <w:fldChar w:fldCharType="separate"/>
          </w:r>
          <w:r>
            <w:t>8</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"_Toc491963089" </w:instrText>
          </w:r>
          <w:r>
            <w:fldChar w:fldCharType="separate"/>
          </w:r>
          <w:r>
            <w:rPr>
              <w:rStyle w:val="15"/>
              <w:rFonts w:ascii="宋体" w:hAnsi="宋体"/>
              <w:kern w:val="0"/>
            </w:rPr>
            <w:t xml:space="preserve">5.2 </w:t>
          </w:r>
          <w:r>
            <w:rPr>
              <w:rStyle w:val="15"/>
              <w:rFonts w:hint="eastAsia" w:ascii="宋体" w:hAnsi="宋体"/>
              <w:kern w:val="0"/>
            </w:rPr>
            <w:t>截至本次清算期结束日的剩余财产情况及剩余财产分配安排</w:t>
          </w:r>
          <w:r>
            <w:tab/>
          </w:r>
          <w:r>
            <w:fldChar w:fldCharType="begin"/>
          </w:r>
          <w:r>
            <w:instrText xml:space="preserve"> PAGEREF _Toc491963089 \h </w:instrText>
          </w:r>
          <w:r>
            <w:fldChar w:fldCharType="separate"/>
          </w:r>
          <w:r>
            <w:t>9</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"_Toc491963090" </w:instrText>
          </w:r>
          <w:r>
            <w:fldChar w:fldCharType="separate"/>
          </w:r>
          <w:r>
            <w:rPr>
              <w:rStyle w:val="15"/>
              <w:rFonts w:ascii="宋体" w:hAnsi="宋体"/>
              <w:b/>
            </w:rPr>
            <w:t>6</w:t>
          </w:r>
          <w:r>
            <w:rPr>
              <w:rStyle w:val="15"/>
              <w:rFonts w:hint="eastAsia" w:ascii="宋体" w:hAnsi="宋体"/>
              <w:b/>
            </w:rPr>
            <w:t>、备查文件目录</w:t>
          </w:r>
          <w:r>
            <w:tab/>
          </w:r>
          <w:r>
            <w:fldChar w:fldCharType="begin"/>
          </w:r>
          <w:r>
            <w:instrText xml:space="preserve"> PAGEREF _Toc491963090 \h </w:instrText>
          </w:r>
          <w:r>
            <w:fldChar w:fldCharType="separate"/>
          </w:r>
          <w:r>
            <w:t>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"_Toc491963091" </w:instrText>
          </w:r>
          <w:r>
            <w:fldChar w:fldCharType="separate"/>
          </w:r>
          <w:r>
            <w:rPr>
              <w:rStyle w:val="15"/>
              <w:rFonts w:ascii="宋体" w:hAnsi="宋体"/>
              <w:kern w:val="0"/>
            </w:rPr>
            <w:t xml:space="preserve">6.1 </w:t>
          </w:r>
          <w:r>
            <w:rPr>
              <w:rStyle w:val="15"/>
              <w:rFonts w:hint="eastAsia" w:ascii="宋体" w:hAnsi="宋体"/>
              <w:kern w:val="0"/>
            </w:rPr>
            <w:t>备查文件目录</w:t>
          </w:r>
          <w:r>
            <w:tab/>
          </w:r>
          <w:r>
            <w:fldChar w:fldCharType="begin"/>
          </w:r>
          <w:r>
            <w:instrText xml:space="preserve"> PAGEREF _Toc491963091 \h </w:instrText>
          </w:r>
          <w:r>
            <w:fldChar w:fldCharType="separate"/>
          </w:r>
          <w:r>
            <w:t>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"_Toc491963092" </w:instrText>
          </w:r>
          <w:r>
            <w:fldChar w:fldCharType="separate"/>
          </w:r>
          <w:r>
            <w:rPr>
              <w:rStyle w:val="15"/>
              <w:rFonts w:ascii="宋体" w:hAnsi="宋体"/>
              <w:kern w:val="0"/>
            </w:rPr>
            <w:t xml:space="preserve">6.2 </w:t>
          </w:r>
          <w:r>
            <w:rPr>
              <w:rStyle w:val="15"/>
              <w:rFonts w:hint="eastAsia" w:ascii="宋体" w:hAnsi="宋体"/>
              <w:kern w:val="0"/>
            </w:rPr>
            <w:t>存放地点</w:t>
          </w:r>
          <w:r>
            <w:tab/>
          </w:r>
          <w:r>
            <w:fldChar w:fldCharType="begin"/>
          </w:r>
          <w:r>
            <w:instrText xml:space="preserve"> PAGEREF _Toc491963092 \h </w:instrText>
          </w:r>
          <w:r>
            <w:fldChar w:fldCharType="separate"/>
          </w:r>
          <w:r>
            <w:t>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"_Toc491963093" </w:instrText>
          </w:r>
          <w:r>
            <w:fldChar w:fldCharType="separate"/>
          </w:r>
          <w:r>
            <w:rPr>
              <w:rStyle w:val="15"/>
              <w:rFonts w:ascii="宋体" w:hAnsi="宋体"/>
              <w:kern w:val="0"/>
            </w:rPr>
            <w:t xml:space="preserve">6.3 </w:t>
          </w:r>
          <w:r>
            <w:rPr>
              <w:rStyle w:val="15"/>
              <w:rFonts w:hint="eastAsia" w:ascii="宋体" w:hAnsi="宋体"/>
              <w:kern w:val="0"/>
            </w:rPr>
            <w:t>查阅方式</w:t>
          </w:r>
          <w:r>
            <w:tab/>
          </w:r>
          <w:r>
            <w:fldChar w:fldCharType="begin"/>
          </w:r>
          <w:r>
            <w:instrText xml:space="preserve"> PAGEREF _Toc491963093 \h </w:instrText>
          </w:r>
          <w:r>
            <w:fldChar w:fldCharType="separate"/>
          </w:r>
          <w:r>
            <w:t>9</w:t>
          </w:r>
          <w:r>
            <w:fldChar w:fldCharType="end"/>
          </w:r>
          <w:r>
            <w:fldChar w:fldCharType="end"/>
          </w:r>
        </w:p>
        <w:p>
          <w:r>
            <w:rPr>
              <w:b/>
              <w:bCs/>
              <w:lang w:val="zh-CN"/>
            </w:rPr>
            <w:fldChar w:fldCharType="end"/>
          </w:r>
        </w:p>
      </w:sdtContent>
    </w:sdt>
    <w:p>
      <w:pPr>
        <w:widowControl/>
        <w:jc w:val="left"/>
        <w:rPr>
          <w:rStyle w:val="20"/>
          <w:rFonts w:ascii="宋体" w:hAnsi="宋体"/>
        </w:rPr>
      </w:pPr>
      <w:bookmarkStart w:id="3" w:name="_Toc491963077"/>
      <w:r>
        <w:rPr>
          <w:rStyle w:val="20"/>
          <w:rFonts w:ascii="宋体" w:hAnsi="宋体"/>
        </w:rPr>
        <w:br w:type="page"/>
      </w:r>
    </w:p>
    <w:p>
      <w:pPr>
        <w:widowControl/>
        <w:jc w:val="center"/>
        <w:rPr>
          <w:rStyle w:val="20"/>
          <w:rFonts w:ascii="宋体" w:hAnsi="宋体"/>
        </w:rPr>
        <w:sectPr>
          <w:headerReference r:id="rId5" w:type="default"/>
          <w:pgSz w:w="11906" w:h="16838"/>
          <w:pgMar w:top="1440" w:right="1800" w:bottom="1440" w:left="1800" w:header="851" w:footer="992" w:gutter="0"/>
          <w:pgNumType w:start="1"/>
          <w:cols w:space="425" w:num="1"/>
          <w:docGrid w:type="lines" w:linePitch="312" w:charSpace="0"/>
        </w:sectPr>
      </w:pPr>
    </w:p>
    <w:p>
      <w:pPr>
        <w:widowControl/>
        <w:jc w:val="center"/>
        <w:rPr>
          <w:rStyle w:val="20"/>
          <w:rFonts w:ascii="宋体" w:hAnsi="宋体"/>
        </w:rPr>
      </w:pPr>
      <w:r>
        <w:rPr>
          <w:rStyle w:val="20"/>
          <w:rFonts w:hint="eastAsia" w:ascii="宋体" w:hAnsi="宋体"/>
        </w:rPr>
        <w:t>1、重要提示</w:t>
      </w:r>
      <w:bookmarkEnd w:id="2"/>
      <w:bookmarkEnd w:id="3"/>
    </w:p>
    <w:p>
      <w:pPr>
        <w:pStyle w:val="3"/>
        <w:spacing w:before="0" w:after="0"/>
        <w:rPr>
          <w:rFonts w:ascii="宋体" w:hAnsi="宋体" w:eastAsia="宋体"/>
          <w:kern w:val="0"/>
          <w:sz w:val="21"/>
          <w:szCs w:val="21"/>
        </w:rPr>
      </w:pPr>
      <w:bookmarkStart w:id="4" w:name="_Toc491963078"/>
      <w:bookmarkStart w:id="5" w:name="_Toc484769795"/>
      <w:bookmarkStart w:id="6" w:name="_Toc484607300"/>
      <w:bookmarkStart w:id="7" w:name="_Toc483396827"/>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 xml:space="preserve"> 重要提示</w:t>
      </w:r>
      <w:bookmarkEnd w:id="4"/>
      <w:bookmarkEnd w:id="5"/>
      <w:bookmarkEnd w:id="6"/>
      <w:bookmarkEnd w:id="7"/>
    </w:p>
    <w:p>
      <w:pPr>
        <w:pStyle w:val="24"/>
        <w:rPr>
          <w:rFonts w:hint="eastAsia" w:ascii="宋体" w:hAnsi="宋体"/>
          <w:color w:val="000000"/>
        </w:rPr>
      </w:pPr>
      <w:r>
        <w:rPr>
          <w:rFonts w:hint="eastAsia" w:ascii="宋体" w:hAnsi="宋体"/>
          <w:color w:val="000000"/>
        </w:rPr>
        <w:t>博时鑫瑞灵活配置混合型证券投资基金(以下简称“本基金”)经中国证券监督管理委员会(以下简称“中国证监会”)证监许可[2015]3101号《关于准予博时鑫瑞灵活配置混合型证券投资基金注册的批复》注册，由博时基金管理有限公司依照《中华人民共和国证券投资基金法》和《博时鑫瑞灵活配置混合型证券投资基金基金合同》（以下简称“《基金合同》”）负责公开募集。经向中国证监会备案，《基金合同》于2016年10月13日正式生效。</w:t>
      </w:r>
    </w:p>
    <w:p>
      <w:pPr>
        <w:pStyle w:val="24"/>
        <w:rPr>
          <w:rFonts w:ascii="Arial" w:hAnsi="Arial" w:cs="Arial"/>
        </w:rPr>
      </w:pPr>
      <w:r>
        <w:rPr>
          <w:rFonts w:hint="eastAsia"/>
        </w:rPr>
        <w:t>根据《基金合同》以及基金管理人博时基金管理有限公司于2023年7月25日发布的《关于博时鑫瑞灵活配置混合型证券投资基金基金合同终止及基金财产清算的公告》，截至2023年7月24日，本基金已出现连续60个工作日基金资产净值低于5000万元的情形，已触发基金合同中约定的基金终止条款。本基金的最后运作日为2023年7月24日，自2023年7月25日起进入清算程序。</w:t>
      </w:r>
    </w:p>
    <w:p>
      <w:pPr>
        <w:spacing w:line="360" w:lineRule="auto"/>
        <w:ind w:firstLine="420" w:firstLineChars="200"/>
        <w:rPr>
          <w:rFonts w:ascii="宋体" w:hAnsi="宋体" w:cs="Arial"/>
          <w:color w:val="000000"/>
          <w:szCs w:val="21"/>
        </w:rPr>
      </w:pPr>
      <w:r>
        <w:rPr>
          <w:rFonts w:ascii="宋体" w:hAnsi="宋体" w:cs="Arial"/>
          <w:color w:val="000000"/>
          <w:szCs w:val="21"/>
        </w:rPr>
        <w:t>2023年8月9日</w:t>
      </w:r>
      <w:r>
        <w:rPr>
          <w:rFonts w:hint="eastAsia" w:ascii="宋体" w:hAnsi="宋体" w:cs="Arial"/>
          <w:color w:val="000000"/>
          <w:szCs w:val="21"/>
        </w:rPr>
        <w:t>为本基金清算的最后一日，由本基金管理人博时基金管理有限公司、基金托管人中国民生银行股份有限公司、普华永道会计师事务所（特殊普通合伙）和上海市通力律师事务所组成基金财产清算小组履行基金财产清算程序，并由普华永道会计师事务所（特殊普通合伙）对本基金进行清算审计，上海市通力律师事务所对清算报告出具法律意见。</w:t>
      </w:r>
    </w:p>
    <w:p>
      <w:pPr>
        <w:pStyle w:val="2"/>
        <w:keepNext/>
        <w:keepLines/>
        <w:widowControl w:val="0"/>
        <w:spacing w:before="312" w:beforeLines="100" w:after="312" w:afterLines="100" w:line="360" w:lineRule="auto"/>
        <w:jc w:val="center"/>
        <w:rPr>
          <w:rStyle w:val="20"/>
          <w:rFonts w:ascii="宋体" w:hAnsi="宋体"/>
        </w:rPr>
      </w:pPr>
      <w:bookmarkStart w:id="8" w:name="_Toc491963079"/>
      <w:bookmarkStart w:id="9" w:name="_Toc484769796"/>
      <w:r>
        <w:rPr>
          <w:rStyle w:val="20"/>
          <w:rFonts w:ascii="宋体" w:hAnsi="宋体"/>
        </w:rPr>
        <w:t>2</w:t>
      </w:r>
      <w:r>
        <w:rPr>
          <w:rStyle w:val="20"/>
          <w:rFonts w:hint="eastAsia" w:ascii="宋体" w:hAnsi="宋体"/>
        </w:rPr>
        <w:t>、</w:t>
      </w:r>
      <w:r>
        <w:rPr>
          <w:rStyle w:val="20"/>
          <w:rFonts w:ascii="宋体" w:hAnsi="宋体"/>
        </w:rPr>
        <w:t>基金</w:t>
      </w:r>
      <w:r>
        <w:rPr>
          <w:rStyle w:val="20"/>
          <w:rFonts w:hint="eastAsia" w:ascii="宋体" w:hAnsi="宋体"/>
        </w:rPr>
        <w:t>概况</w:t>
      </w:r>
      <w:bookmarkEnd w:id="8"/>
      <w:bookmarkEnd w:id="9"/>
    </w:p>
    <w:p>
      <w:pPr>
        <w:pStyle w:val="3"/>
        <w:spacing w:before="0" w:after="0"/>
        <w:rPr>
          <w:rFonts w:ascii="宋体" w:hAnsi="宋体" w:eastAsia="宋体"/>
          <w:kern w:val="0"/>
          <w:sz w:val="21"/>
          <w:szCs w:val="21"/>
        </w:rPr>
      </w:pPr>
      <w:bookmarkStart w:id="10" w:name="_Toc476577246"/>
      <w:bookmarkStart w:id="11" w:name="_Toc491963080"/>
      <w:bookmarkStart w:id="12" w:name="_Toc361324845"/>
      <w:bookmarkStart w:id="13" w:name="_Toc483396829"/>
      <w:bookmarkStart w:id="14" w:name="_Toc409100407"/>
      <w:bookmarkStart w:id="15" w:name="_Toc484607302"/>
      <w:bookmarkStart w:id="16" w:name="_Toc409100044"/>
      <w:bookmarkStart w:id="17" w:name="_Toc484769797"/>
      <w:r>
        <w:rPr>
          <w:rFonts w:ascii="宋体" w:hAnsi="宋体" w:eastAsia="宋体"/>
          <w:kern w:val="0"/>
          <w:sz w:val="21"/>
          <w:szCs w:val="21"/>
        </w:rPr>
        <w:t>2.1</w:t>
      </w:r>
      <w:r>
        <w:rPr>
          <w:rFonts w:hint="eastAsia" w:ascii="宋体" w:hAnsi="宋体" w:eastAsia="宋体"/>
          <w:kern w:val="0"/>
          <w:sz w:val="21"/>
          <w:szCs w:val="21"/>
        </w:rPr>
        <w:t xml:space="preserve"> </w:t>
      </w:r>
      <w:r>
        <w:rPr>
          <w:rFonts w:ascii="宋体" w:hAnsi="宋体" w:eastAsia="宋体"/>
          <w:kern w:val="0"/>
          <w:sz w:val="21"/>
          <w:szCs w:val="21"/>
        </w:rPr>
        <w:t>基金基本情况</w:t>
      </w:r>
      <w:bookmarkEnd w:id="10"/>
      <w:bookmarkEnd w:id="11"/>
      <w:bookmarkEnd w:id="12"/>
      <w:bookmarkEnd w:id="13"/>
      <w:bookmarkEnd w:id="14"/>
      <w:bookmarkEnd w:id="15"/>
      <w:bookmarkEnd w:id="16"/>
      <w:bookmarkEnd w:id="17"/>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2837"/>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基金简称</w:t>
            </w:r>
          </w:p>
        </w:tc>
        <w:tc>
          <w:tcPr>
            <w:tcW w:w="5918" w:type="dxa"/>
            <w:gridSpan w:val="2"/>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博时鑫瑞混合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基金全称</w:t>
            </w:r>
          </w:p>
        </w:tc>
        <w:tc>
          <w:tcPr>
            <w:tcW w:w="5918" w:type="dxa"/>
            <w:gridSpan w:val="2"/>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博时鑫瑞灵活配置混合型证券投资基金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基金主代码</w:t>
            </w:r>
          </w:p>
        </w:tc>
        <w:tc>
          <w:tcPr>
            <w:tcW w:w="5918" w:type="dxa"/>
            <w:gridSpan w:val="2"/>
            <w:tcBorders>
              <w:bottom w:val="single" w:color="auto" w:sz="4" w:space="0"/>
            </w:tcBorders>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002558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基金运作方式</w:t>
            </w:r>
          </w:p>
        </w:tc>
        <w:tc>
          <w:tcPr>
            <w:tcW w:w="5918" w:type="dxa"/>
            <w:gridSpan w:val="2"/>
            <w:tcBorders>
              <w:top w:val="single" w:color="auto" w:sz="4" w:space="0"/>
            </w:tcBorders>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基金合同生效日</w:t>
            </w:r>
          </w:p>
        </w:tc>
        <w:tc>
          <w:tcPr>
            <w:tcW w:w="5918" w:type="dxa"/>
            <w:gridSpan w:val="2"/>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szCs w:val="21"/>
              </w:rPr>
            </w:pPr>
            <w:r>
              <w:rPr>
                <w:rFonts w:hint="eastAsia" w:ascii="宋体" w:hAnsi="宋体" w:cs="宋体"/>
                <w:kern w:val="0"/>
                <w:szCs w:val="21"/>
              </w:rPr>
              <w:t>报告期末（2023年8月9日）基金份额总额</w:t>
            </w:r>
          </w:p>
        </w:tc>
        <w:tc>
          <w:tcPr>
            <w:tcW w:w="5918" w:type="dxa"/>
            <w:gridSpan w:val="2"/>
            <w:shd w:val="clear" w:color="auto" w:fill="auto"/>
            <w:vAlign w:val="center"/>
          </w:tcPr>
          <w:p>
            <w:pPr>
              <w:adjustRightInd w:val="0"/>
              <w:rPr>
                <w:rFonts w:hint="eastAsia" w:ascii="宋体" w:hAnsi="宋体" w:cs="宋体"/>
                <w:szCs w:val="21"/>
              </w:rPr>
            </w:pPr>
            <w:r>
              <w:rPr>
                <w:rFonts w:hint="eastAsia" w:ascii="宋体" w:hAnsi="宋体" w:cs="宋体"/>
                <w:kern w:val="0"/>
                <w:szCs w:val="21"/>
              </w:rPr>
              <w:t>10,007,294.38份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基金管理人</w:t>
            </w:r>
          </w:p>
        </w:tc>
        <w:tc>
          <w:tcPr>
            <w:tcW w:w="5918" w:type="dxa"/>
            <w:gridSpan w:val="2"/>
            <w:shd w:val="clear" w:color="auto" w:fill="auto"/>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基金托管人</w:t>
            </w:r>
          </w:p>
        </w:tc>
        <w:tc>
          <w:tcPr>
            <w:tcW w:w="5918" w:type="dxa"/>
            <w:gridSpan w:val="2"/>
            <w:shd w:val="clear" w:color="auto" w:fill="auto"/>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下属分级基金的基金简称</w:t>
            </w:r>
          </w:p>
        </w:tc>
        <w:tc>
          <w:tcPr>
            <w:tcW w:w="2838" w:type="dxa"/>
            <w:shd w:val="clear" w:color="auto" w:fill="auto"/>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博时鑫瑞混合A</w:t>
            </w:r>
          </w:p>
        </w:tc>
        <w:tc>
          <w:tcPr>
            <w:tcW w:w="3080" w:type="dxa"/>
            <w:shd w:val="clear" w:color="auto" w:fill="auto"/>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博时鑫瑞混合C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rPr>
                <w:rFonts w:hint="eastAsia" w:ascii="宋体" w:hAnsi="宋体" w:cs="宋体"/>
              </w:rPr>
            </w:pPr>
            <w:r>
              <w:rPr>
                <w:rFonts w:hint="eastAsia" w:ascii="宋体" w:hAnsi="宋体" w:cs="宋体"/>
              </w:rPr>
              <w:t>下属分级基金的交易代码</w:t>
            </w:r>
          </w:p>
        </w:tc>
        <w:tc>
          <w:tcPr>
            <w:tcW w:w="2838" w:type="dxa"/>
            <w:shd w:val="clear" w:color="auto" w:fill="auto"/>
            <w:vAlign w:val="center"/>
          </w:tcPr>
          <w:p>
            <w:pPr>
              <w:rPr>
                <w:rFonts w:hint="eastAsia" w:ascii="宋体" w:hAnsi="宋体" w:cs="宋体"/>
              </w:rPr>
            </w:pPr>
            <w:r>
              <w:rPr>
                <w:rFonts w:hint="eastAsia" w:ascii="宋体" w:hAnsi="宋体" w:cs="宋体"/>
              </w:rPr>
              <w:t>002558</w:t>
            </w:r>
          </w:p>
        </w:tc>
        <w:tc>
          <w:tcPr>
            <w:tcW w:w="3080" w:type="dxa"/>
            <w:shd w:val="clear" w:color="auto" w:fill="auto"/>
            <w:vAlign w:val="center"/>
          </w:tcPr>
          <w:p>
            <w:pPr>
              <w:rPr>
                <w:rFonts w:hint="eastAsia" w:ascii="宋体" w:hAnsi="宋体" w:cs="宋体"/>
              </w:rPr>
            </w:pPr>
            <w:r>
              <w:rPr>
                <w:rFonts w:hint="eastAsia" w:ascii="宋体" w:hAnsi="宋体" w:cs="宋体"/>
              </w:rPr>
              <w:t>002559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3" w:type="dxa"/>
            <w:vAlign w:val="center"/>
          </w:tcPr>
          <w:p>
            <w:pPr>
              <w:adjustRightInd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报告期末下属分级基金的份额总额</w:t>
            </w:r>
          </w:p>
        </w:tc>
        <w:tc>
          <w:tcPr>
            <w:tcW w:w="2838" w:type="dxa"/>
            <w:shd w:val="clear" w:color="auto" w:fill="auto"/>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9,144,374.17份</w:t>
            </w:r>
          </w:p>
        </w:tc>
        <w:tc>
          <w:tcPr>
            <w:tcW w:w="3080" w:type="dxa"/>
            <w:shd w:val="clear" w:color="auto" w:fill="auto"/>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862,920.21份</w:t>
            </w:r>
          </w:p>
        </w:tc>
      </w:tr>
    </w:tbl>
    <w:p>
      <w:pPr>
        <w:pStyle w:val="22"/>
        <w:rPr>
          <w:rFonts w:ascii="宋体" w:hAnsi="宋体"/>
          <w:sz w:val="21"/>
          <w:szCs w:val="21"/>
        </w:rPr>
      </w:pPr>
      <w:bookmarkStart w:id="18" w:name="_Toc390421230"/>
      <w:bookmarkStart w:id="19" w:name="_Toc491184118"/>
      <w:bookmarkStart w:id="20" w:name="_Toc491963081"/>
      <w:bookmarkStart w:id="21" w:name="_Toc482092221"/>
      <w:r>
        <w:rPr>
          <w:rFonts w:ascii="宋体" w:hAnsi="宋体"/>
          <w:sz w:val="21"/>
          <w:szCs w:val="21"/>
        </w:rPr>
        <w:t>2.2 基金产品说明</w:t>
      </w:r>
      <w:bookmarkEnd w:id="18"/>
      <w:bookmarkEnd w:id="19"/>
      <w:bookmarkEnd w:id="20"/>
      <w:bookmarkEnd w:id="21"/>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10" w:type="dxa"/>
            <w:vAlign w:val="center"/>
          </w:tcPr>
          <w:p>
            <w:pPr>
              <w:adjustRightInd w:val="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投资目标</w:t>
            </w:r>
          </w:p>
        </w:tc>
        <w:tc>
          <w:tcPr>
            <w:tcW w:w="5986" w:type="dxa"/>
            <w:vAlign w:val="center"/>
          </w:tcPr>
          <w:p>
            <w:pPr>
              <w:adjustRightInd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本基金通过对多种投资策略的有机结合，在有效控制风险的前提下，力争为基金持有人获取长期持续稳定的投资回报。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10" w:type="dxa"/>
            <w:vAlign w:val="center"/>
          </w:tcPr>
          <w:p>
            <w:pPr>
              <w:adjustRightInd w:val="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投资策略</w:t>
            </w:r>
          </w:p>
        </w:tc>
        <w:tc>
          <w:tcPr>
            <w:tcW w:w="5986" w:type="dxa"/>
            <w:vAlign w:val="center"/>
          </w:tcPr>
          <w:p>
            <w:pPr>
              <w:adjustRightInd w:val="0"/>
              <w:rPr>
                <w:szCs w:val="21"/>
              </w:rPr>
            </w:pPr>
            <w:r>
              <w:rPr>
                <w:rFonts w:hint="eastAsia"/>
                <w:szCs w:val="21"/>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本基金采用的投资策略包括：（1）债券投资策略：期限结构策略、信用策略、互换策略、息差策略、可转换债券投资策略、中小企业私募债券投资策略；（2）股票投资策略：风格特征进行评估、基本面分析方法、成长与价值的风格配置和存托凭证投资策略；（3）金融衍生品投资策略：权证投资策略和股指期货投资策略；（4）资产支持证券投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10" w:type="dxa"/>
            <w:vAlign w:val="center"/>
          </w:tcPr>
          <w:p>
            <w:pPr>
              <w:adjustRightInd w:val="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业绩比较基准</w:t>
            </w:r>
          </w:p>
        </w:tc>
        <w:tc>
          <w:tcPr>
            <w:tcW w:w="5986" w:type="dxa"/>
            <w:vAlign w:val="center"/>
          </w:tcPr>
          <w:p>
            <w:pPr>
              <w:adjustRightInd w:val="0"/>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沪深300指数收益率×50% +中证综合债指数收益率×50%。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10" w:type="dxa"/>
            <w:vAlign w:val="center"/>
          </w:tcPr>
          <w:p>
            <w:pPr>
              <w:adjustRightInd w:val="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风险收益特征</w:t>
            </w:r>
          </w:p>
        </w:tc>
        <w:tc>
          <w:tcPr>
            <w:tcW w:w="5986" w:type="dxa"/>
            <w:vAlign w:val="center"/>
          </w:tcPr>
          <w:p>
            <w:pPr>
              <w:adjustRightInd w:val="0"/>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本基金为混合型基金，其预期收益及预期风险水平低于股票型基金，高于债券型基金及货币市场基金，属于中高收益/风险特征的基金。</w:t>
            </w:r>
          </w:p>
        </w:tc>
      </w:tr>
    </w:tbl>
    <w:p>
      <w:pPr>
        <w:pStyle w:val="2"/>
        <w:keepNext/>
        <w:keepLines/>
        <w:widowControl w:val="0"/>
        <w:spacing w:before="312" w:beforeLines="100" w:after="312" w:afterLines="100" w:line="360" w:lineRule="auto"/>
        <w:jc w:val="center"/>
        <w:rPr>
          <w:rStyle w:val="20"/>
          <w:rFonts w:ascii="宋体" w:hAnsi="宋体"/>
          <w:b w:val="0"/>
        </w:rPr>
      </w:pPr>
      <w:bookmarkStart w:id="22" w:name="_Toc409100049"/>
      <w:bookmarkStart w:id="23" w:name="_Toc361324850"/>
      <w:bookmarkStart w:id="24" w:name="_Toc225498250"/>
      <w:bookmarkStart w:id="25" w:name="_Toc409100412"/>
      <w:bookmarkStart w:id="26" w:name="_Toc491963082"/>
      <w:bookmarkStart w:id="27" w:name="_Toc484769799"/>
      <w:r>
        <w:rPr>
          <w:rStyle w:val="20"/>
          <w:rFonts w:ascii="宋体" w:hAnsi="宋体"/>
        </w:rPr>
        <w:t>3</w:t>
      </w:r>
      <w:bookmarkEnd w:id="22"/>
      <w:bookmarkEnd w:id="23"/>
      <w:bookmarkEnd w:id="24"/>
      <w:bookmarkEnd w:id="25"/>
      <w:r>
        <w:rPr>
          <w:rStyle w:val="20"/>
          <w:rFonts w:hint="eastAsia" w:ascii="宋体" w:hAnsi="宋体"/>
        </w:rPr>
        <w:t>、基金运作情况说明</w:t>
      </w:r>
      <w:bookmarkEnd w:id="26"/>
      <w:bookmarkEnd w:id="27"/>
    </w:p>
    <w:p>
      <w:pPr>
        <w:pStyle w:val="24"/>
      </w:pPr>
      <w:r>
        <w:rPr>
          <w:rFonts w:hint="eastAsia"/>
        </w:rPr>
        <w:t>本基金经中国证券监督管理委员会(以下简称“中国证监会”)证监许可[2015]3101号《关于准予博时鑫瑞灵活配置混合型证券投资基金注册的批复》注册，由博时基金管理有限公司依照《中华人民共和国证券投资基金法》和《基金合同》负责公开募集。基金合同于2016年10月13日正式生效，基金合同生效日的基金份额总额为</w:t>
      </w:r>
      <w:r>
        <w:t>201,029,838.67</w:t>
      </w:r>
      <w:r>
        <w:rPr>
          <w:rFonts w:hint="eastAsia"/>
        </w:rPr>
        <w:t>份基金份额（含利息结转的份额）。</w:t>
      </w:r>
    </w:p>
    <w:p>
      <w:pPr>
        <w:pStyle w:val="24"/>
      </w:pPr>
      <w:r>
        <w:rPr>
          <w:rFonts w:hint="eastAsia"/>
        </w:rPr>
        <w:t>自2016年10月13日至2023年7月24日期间，本基金按基金合同正常运作。</w:t>
      </w:r>
    </w:p>
    <w:p>
      <w:pPr>
        <w:pStyle w:val="24"/>
        <w:rPr>
          <w:rFonts w:ascii="Arial" w:hAnsi="Arial" w:cs="Arial"/>
        </w:rPr>
      </w:pPr>
      <w:r>
        <w:rPr>
          <w:rFonts w:hint="eastAsia"/>
        </w:rPr>
        <w:t>根据《基金合同》以及基金管理人博时基金管理有限公司于2023年7月25日发布的《关于博时鑫瑞灵活配置混合型证券投资基金基金合同终止及基金财产清算的公告》，截至2023年7月24日，本基金已出现连续60个工作日基金资产净值低于5000万元的情形，已触发基金合同中约定的基金终止条款。本基金的最后运作日为2023年7月24日，自2023年7月25日起进入清算程序。</w:t>
      </w:r>
    </w:p>
    <w:p>
      <w:pPr>
        <w:pStyle w:val="2"/>
        <w:keepNext/>
        <w:keepLines/>
        <w:widowControl w:val="0"/>
        <w:spacing w:before="312" w:beforeLines="100" w:after="312" w:afterLines="100" w:line="360" w:lineRule="auto"/>
        <w:jc w:val="center"/>
        <w:rPr>
          <w:rStyle w:val="20"/>
          <w:rFonts w:ascii="宋体" w:hAnsi="宋体"/>
        </w:rPr>
      </w:pPr>
      <w:bookmarkStart w:id="28" w:name="_Toc491963083"/>
      <w:bookmarkStart w:id="29" w:name="_Toc484769805"/>
      <w:r>
        <w:rPr>
          <w:rStyle w:val="20"/>
          <w:rFonts w:hint="eastAsia" w:ascii="宋体" w:hAnsi="宋体"/>
        </w:rPr>
        <w:t>4、财务报告</w:t>
      </w:r>
      <w:bookmarkEnd w:id="28"/>
      <w:bookmarkEnd w:id="29"/>
    </w:p>
    <w:p>
      <w:pPr>
        <w:pStyle w:val="3"/>
        <w:spacing w:before="0" w:after="0"/>
        <w:rPr>
          <w:rFonts w:ascii="宋体" w:hAnsi="宋体" w:eastAsia="宋体"/>
          <w:kern w:val="0"/>
          <w:sz w:val="21"/>
          <w:szCs w:val="21"/>
        </w:rPr>
      </w:pPr>
      <w:bookmarkStart w:id="30" w:name="_Toc409100074"/>
      <w:bookmarkStart w:id="31" w:name="_Toc491963084"/>
      <w:bookmarkStart w:id="32" w:name="_Toc483396838"/>
      <w:bookmarkStart w:id="33" w:name="_Toc484769806"/>
      <w:bookmarkStart w:id="34" w:name="_Toc225498268"/>
      <w:bookmarkStart w:id="35" w:name="_Toc484607311"/>
      <w:bookmarkStart w:id="36" w:name="_Toc409100437"/>
      <w:bookmarkStart w:id="37" w:name="_Toc361324873"/>
      <w:bookmarkStart w:id="38" w:name="_Toc476577275"/>
      <w:r>
        <w:rPr>
          <w:rFonts w:hint="eastAsia" w:ascii="宋体" w:hAnsi="宋体" w:eastAsia="宋体"/>
          <w:kern w:val="0"/>
          <w:sz w:val="21"/>
          <w:szCs w:val="21"/>
        </w:rPr>
        <w:t>4</w:t>
      </w:r>
      <w:r>
        <w:rPr>
          <w:rFonts w:ascii="宋体" w:hAnsi="宋体" w:eastAsia="宋体"/>
          <w:kern w:val="0"/>
          <w:sz w:val="21"/>
          <w:szCs w:val="21"/>
        </w:rPr>
        <w:t>.1 资产负债表</w:t>
      </w:r>
      <w:bookmarkEnd w:id="30"/>
      <w:bookmarkEnd w:id="31"/>
      <w:bookmarkEnd w:id="32"/>
      <w:bookmarkEnd w:id="33"/>
      <w:bookmarkEnd w:id="34"/>
      <w:bookmarkEnd w:id="35"/>
      <w:bookmarkEnd w:id="36"/>
      <w:bookmarkEnd w:id="37"/>
      <w:bookmarkEnd w:id="38"/>
      <w:r>
        <w:rPr>
          <w:rFonts w:hint="eastAsia" w:ascii="宋体" w:hAnsi="宋体" w:eastAsia="宋体"/>
          <w:kern w:val="0"/>
          <w:sz w:val="21"/>
          <w:szCs w:val="21"/>
        </w:rPr>
        <w:t>(已经审计)</w:t>
      </w:r>
    </w:p>
    <w:p>
      <w:pPr>
        <w:autoSpaceDE w:val="0"/>
        <w:autoSpaceDN w:val="0"/>
        <w:adjustRightInd w:val="0"/>
        <w:spacing w:before="29" w:line="360" w:lineRule="auto"/>
        <w:ind w:left="15"/>
        <w:jc w:val="right"/>
        <w:rPr>
          <w:rFonts w:ascii="宋体" w:hAnsi="宋体"/>
          <w:color w:val="000000"/>
          <w:kern w:val="0"/>
          <w:szCs w:val="21"/>
        </w:rPr>
      </w:pPr>
      <w:r>
        <w:rPr>
          <w:rFonts w:ascii="宋体" w:hAnsi="宋体"/>
          <w:color w:val="000000"/>
          <w:kern w:val="0"/>
          <w:szCs w:val="21"/>
        </w:rPr>
        <w:t>单位：人民币元</w:t>
      </w:r>
    </w:p>
    <w:tbl>
      <w:tblPr>
        <w:tblStyle w:val="13"/>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jc w:val="center"/>
              <w:rPr>
                <w:rFonts w:ascii="Arial" w:hAnsi="Arial" w:cs="Arial"/>
                <w:b/>
                <w:bCs/>
                <w:sz w:val="24"/>
              </w:rPr>
            </w:pPr>
            <w:r>
              <w:rPr>
                <w:rFonts w:ascii="Arial" w:hAnsi="Arial" w:cs="Arial"/>
                <w:b/>
                <w:bCs/>
                <w:sz w:val="24"/>
              </w:rPr>
              <w:t>资产</w:t>
            </w:r>
          </w:p>
        </w:tc>
        <w:tc>
          <w:tcPr>
            <w:tcW w:w="5584" w:type="dxa"/>
            <w:shd w:val="clear" w:color="auto" w:fill="auto"/>
            <w:vAlign w:val="bottom"/>
          </w:tcPr>
          <w:p>
            <w:pPr>
              <w:ind w:left="-114" w:right="-87"/>
              <w:jc w:val="center"/>
              <w:rPr>
                <w:rFonts w:ascii="Arial" w:hAnsi="Arial" w:cs="Arial"/>
                <w:b/>
                <w:bCs/>
                <w:color w:val="000000"/>
                <w:sz w:val="24"/>
              </w:rPr>
            </w:pPr>
            <w:r>
              <w:rPr>
                <w:rFonts w:ascii="Arial" w:hAnsi="Arial" w:cs="Arial"/>
                <w:b/>
                <w:bCs/>
                <w:color w:val="000000"/>
                <w:sz w:val="24"/>
              </w:rPr>
              <w:t>本期末</w:t>
            </w:r>
          </w:p>
          <w:p>
            <w:pPr>
              <w:ind w:left="-114" w:right="-87"/>
              <w:jc w:val="center"/>
              <w:rPr>
                <w:rFonts w:ascii="Arial" w:hAnsi="Arial" w:cs="Arial"/>
                <w:b/>
                <w:bCs/>
                <w:color w:val="000000"/>
                <w:sz w:val="24"/>
              </w:rPr>
            </w:pPr>
            <w:r>
              <w:rPr>
                <w:rFonts w:ascii="Arial" w:hAnsi="Arial" w:cs="Arial"/>
                <w:b/>
                <w:bCs/>
                <w:color w:val="000000"/>
                <w:sz w:val="24"/>
              </w:rPr>
              <w:t>2023年7月24日</w:t>
            </w:r>
          </w:p>
          <w:p>
            <w:pPr>
              <w:ind w:left="-114" w:right="-87"/>
              <w:jc w:val="center"/>
              <w:rPr>
                <w:rFonts w:ascii="Arial" w:hAnsi="Arial" w:cs="Arial"/>
                <w:b/>
                <w:bCs/>
                <w:color w:val="000000"/>
                <w:sz w:val="24"/>
              </w:rPr>
            </w:pPr>
            <w:r>
              <w:rPr>
                <w:rFonts w:ascii="Arial" w:hAnsi="Arial" w:cs="Arial"/>
                <w:b/>
                <w:bCs/>
                <w:color w:val="000000"/>
                <w:sz w:val="24"/>
              </w:rPr>
              <w:t>(基金</w:t>
            </w:r>
            <w:r>
              <w:rPr>
                <w:rFonts w:hint="eastAsia" w:ascii="Arial" w:hAnsi="Arial" w:cs="Arial"/>
                <w:b/>
                <w:bCs/>
                <w:color w:val="000000"/>
                <w:sz w:val="24"/>
              </w:rPr>
              <w:t>最后运作</w:t>
            </w:r>
            <w:r>
              <w:rPr>
                <w:rFonts w:ascii="Arial" w:hAnsi="Arial" w:cs="Arial"/>
                <w:b/>
                <w:bCs/>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资产：</w:t>
            </w:r>
          </w:p>
        </w:tc>
        <w:tc>
          <w:tcPr>
            <w:tcW w:w="5584" w:type="dxa"/>
            <w:shd w:val="clear" w:color="auto" w:fill="auto"/>
            <w:vAlign w:val="bottom"/>
          </w:tcPr>
          <w:p>
            <w:pPr>
              <w:spacing w:before="100" w:beforeAutospacing="1" w:after="100" w:afterAutospacing="1"/>
              <w:ind w:left="-72"/>
              <w:jc w:val="right"/>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银行存款</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,752,941.20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结算备付金</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2</w:t>
            </w:r>
            <w:r>
              <w:rPr>
                <w:rFonts w:ascii="Arial" w:hAnsi="Arial" w:cs="Arial"/>
                <w:color w:val="000000"/>
                <w:sz w:val="24"/>
              </w:rPr>
              <w:t>57,657.05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hint="eastAsia" w:ascii="Arial" w:hAnsi="Arial" w:cs="Arial"/>
                <w:sz w:val="24"/>
              </w:rPr>
              <w:t>存出保证金</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49,124.61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交易性金融资产</w:t>
            </w:r>
          </w:p>
        </w:tc>
        <w:tc>
          <w:tcPr>
            <w:tcW w:w="5584" w:type="dxa"/>
            <w:shd w:val="clear" w:color="auto" w:fill="auto"/>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8,952,527.00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其中：</w:t>
            </w:r>
            <w:r>
              <w:rPr>
                <w:rFonts w:hint="eastAsia" w:ascii="Arial" w:hAnsi="Arial" w:cs="Arial"/>
                <w:sz w:val="24"/>
              </w:rPr>
              <w:t>股票</w:t>
            </w:r>
            <w:r>
              <w:rPr>
                <w:rFonts w:ascii="Arial" w:hAnsi="Arial" w:cs="Arial"/>
                <w:sz w:val="24"/>
              </w:rPr>
              <w:t>投资</w:t>
            </w:r>
          </w:p>
        </w:tc>
        <w:tc>
          <w:tcPr>
            <w:tcW w:w="5584" w:type="dxa"/>
            <w:shd w:val="clear" w:color="auto" w:fill="auto"/>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8,952,527.00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hint="eastAsia" w:ascii="Arial" w:hAnsi="Arial" w:cs="Arial"/>
                <w:sz w:val="24"/>
              </w:rPr>
              <w:t>应收申购款</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6</w:t>
            </w:r>
            <w:r>
              <w:rPr>
                <w:rFonts w:ascii="Arial" w:hAnsi="Arial" w:cs="Arial"/>
                <w:color w:val="000000"/>
                <w:sz w:val="24"/>
              </w:rPr>
              <w:t>,237.78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hint="eastAsia" w:ascii="Arial" w:hAnsi="Arial" w:cs="Arial"/>
                <w:sz w:val="24"/>
              </w:rPr>
              <w:t>应收清算款</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资产总计</w:t>
            </w:r>
          </w:p>
        </w:tc>
        <w:tc>
          <w:tcPr>
            <w:tcW w:w="5584" w:type="dxa"/>
            <w:shd w:val="clear" w:color="auto" w:fill="auto"/>
            <w:vAlign w:val="bottom"/>
          </w:tcPr>
          <w:p>
            <w:pPr>
              <w:ind w:left="-72"/>
              <w:jc w:val="right"/>
              <w:rPr>
                <w:rFonts w:ascii="Arial" w:hAnsi="Arial" w:cs="Arial"/>
                <w:b/>
                <w:bCs/>
                <w:color w:val="000000"/>
                <w:sz w:val="24"/>
              </w:rPr>
            </w:pPr>
            <w:r>
              <w:rPr>
                <w:rFonts w:hint="eastAsia" w:ascii="Arial" w:hAnsi="Arial" w:cs="Arial"/>
                <w:b/>
                <w:bCs/>
                <w:color w:val="000000"/>
                <w:sz w:val="24"/>
              </w:rPr>
              <w:t>2</w:t>
            </w:r>
            <w:r>
              <w:rPr>
                <w:rFonts w:ascii="Arial" w:hAnsi="Arial" w:cs="Arial"/>
                <w:b/>
                <w:bCs/>
                <w:color w:val="000000"/>
                <w:sz w:val="24"/>
              </w:rPr>
              <w:t>1,118,487.64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负债：</w:t>
            </w:r>
          </w:p>
        </w:tc>
        <w:tc>
          <w:tcPr>
            <w:tcW w:w="5584" w:type="dxa"/>
            <w:shd w:val="clear" w:color="auto" w:fill="auto"/>
            <w:vAlign w:val="bottom"/>
          </w:tcPr>
          <w:p>
            <w:pPr>
              <w:tabs>
                <w:tab w:val="decimal" w:pos="1629"/>
              </w:tabs>
              <w:spacing w:before="100" w:beforeAutospacing="1" w:after="100" w:afterAutospacing="1"/>
              <w:ind w:left="-80"/>
              <w:jc w:val="right"/>
              <w:rPr>
                <w:rFonts w:ascii="Arial" w:hAnsi="Arial"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hint="eastAsia" w:ascii="Arial" w:hAnsi="Arial" w:cs="Arial"/>
                <w:sz w:val="24"/>
              </w:rPr>
              <w:t>应付清算款</w:t>
            </w:r>
          </w:p>
        </w:tc>
        <w:tc>
          <w:tcPr>
            <w:tcW w:w="5584" w:type="dxa"/>
            <w:shd w:val="clear" w:color="auto" w:fill="auto"/>
            <w:vAlign w:val="bottom"/>
          </w:tcPr>
          <w:p>
            <w:pPr>
              <w:tabs>
                <w:tab w:val="decimal" w:pos="1629"/>
              </w:tabs>
              <w:spacing w:before="100" w:beforeAutospacing="1" w:after="100" w:afterAutospacing="1"/>
              <w:ind w:left="-80"/>
              <w:jc w:val="right"/>
              <w:rPr>
                <w:rFonts w:ascii="Arial" w:hAnsi="Arial" w:cs="Arial"/>
                <w:bCs/>
                <w:sz w:val="24"/>
              </w:rPr>
            </w:pPr>
            <w:r>
              <w:rPr>
                <w:rFonts w:hint="eastAsia" w:ascii="Arial" w:hAnsi="Arial" w:cs="Arial"/>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应付赎回款</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,140,291.06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应付管理人报酬</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9</w:t>
            </w:r>
            <w:r>
              <w:rPr>
                <w:rFonts w:ascii="Arial" w:hAnsi="Arial" w:cs="Arial"/>
                <w:color w:val="000000"/>
                <w:sz w:val="24"/>
              </w:rPr>
              <w:t>,251.62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应付托管费</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2</w:t>
            </w:r>
            <w:r>
              <w:rPr>
                <w:rFonts w:ascii="Arial" w:hAnsi="Arial" w:cs="Arial"/>
                <w:color w:val="000000"/>
                <w:sz w:val="24"/>
              </w:rPr>
              <w:t>,312.92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hint="eastAsia" w:ascii="Arial" w:hAnsi="Arial" w:cs="Arial"/>
                <w:sz w:val="24"/>
              </w:rPr>
              <w:t>应付销售服务费</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其他负债</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4</w:t>
            </w:r>
            <w:r>
              <w:rPr>
                <w:rFonts w:ascii="Arial" w:hAnsi="Arial" w:cs="Arial"/>
                <w:color w:val="000000"/>
                <w:sz w:val="24"/>
              </w:rPr>
              <w:t>78,936.42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负债合计</w:t>
            </w:r>
          </w:p>
        </w:tc>
        <w:tc>
          <w:tcPr>
            <w:tcW w:w="5584" w:type="dxa"/>
            <w:shd w:val="clear" w:color="auto" w:fill="auto"/>
            <w:vAlign w:val="bottom"/>
          </w:tcPr>
          <w:p>
            <w:pPr>
              <w:ind w:left="-72"/>
              <w:jc w:val="right"/>
              <w:rPr>
                <w:rFonts w:ascii="Arial" w:hAnsi="Arial" w:cs="Arial"/>
                <w:b/>
                <w:bCs/>
                <w:color w:val="000000"/>
                <w:sz w:val="24"/>
              </w:rPr>
            </w:pPr>
            <w:r>
              <w:rPr>
                <w:rFonts w:ascii="Arial" w:hAnsi="Arial" w:cs="Arial"/>
                <w:b/>
                <w:bCs/>
                <w:color w:val="000000"/>
                <w:sz w:val="24"/>
              </w:rPr>
              <w:t>1,630,902.83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所有者权益：</w:t>
            </w:r>
          </w:p>
        </w:tc>
        <w:tc>
          <w:tcPr>
            <w:tcW w:w="5584" w:type="dxa"/>
            <w:shd w:val="clear" w:color="auto" w:fill="auto"/>
            <w:vAlign w:val="bottom"/>
          </w:tcPr>
          <w:p>
            <w:pPr>
              <w:ind w:left="-72"/>
              <w:jc w:val="right"/>
              <w:rPr>
                <w:rFonts w:ascii="Arial" w:hAnsi="Arial"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sz w:val="24"/>
              </w:rPr>
              <w:t>实收基金</w:t>
            </w:r>
          </w:p>
        </w:tc>
        <w:tc>
          <w:tcPr>
            <w:tcW w:w="5584" w:type="dxa"/>
            <w:shd w:val="clear" w:color="auto" w:fill="auto"/>
            <w:vAlign w:val="bottom"/>
          </w:tcPr>
          <w:p>
            <w:pPr>
              <w:ind w:left="-72"/>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2,440,576.72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sz w:val="24"/>
              </w:rPr>
              <w:t>未分配利润</w:t>
            </w:r>
          </w:p>
        </w:tc>
        <w:tc>
          <w:tcPr>
            <w:tcW w:w="5584" w:type="dxa"/>
            <w:shd w:val="clear" w:color="auto" w:fill="auto"/>
            <w:vAlign w:val="bottom"/>
          </w:tcPr>
          <w:p>
            <w:pPr>
              <w:ind w:left="-72"/>
              <w:jc w:val="right"/>
              <w:rPr>
                <w:rFonts w:ascii="Arial" w:hAnsi="Arial" w:cs="Arial"/>
                <w:color w:val="000000"/>
                <w:sz w:val="24"/>
              </w:rPr>
            </w:pPr>
            <w:r>
              <w:rPr>
                <w:rFonts w:ascii="Arial" w:hAnsi="Arial" w:cs="Arial"/>
                <w:color w:val="000000"/>
                <w:sz w:val="24"/>
              </w:rPr>
              <w:t>7,047,008.09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所有者权益合计</w:t>
            </w:r>
          </w:p>
        </w:tc>
        <w:tc>
          <w:tcPr>
            <w:tcW w:w="5584" w:type="dxa"/>
            <w:shd w:val="clear" w:color="auto" w:fill="auto"/>
            <w:vAlign w:val="bottom"/>
          </w:tcPr>
          <w:p>
            <w:pPr>
              <w:ind w:left="-72"/>
              <w:jc w:val="right"/>
              <w:rPr>
                <w:rFonts w:ascii="Arial" w:hAnsi="Arial" w:cs="Arial"/>
                <w:b/>
                <w:bCs/>
                <w:color w:val="000000"/>
                <w:sz w:val="24"/>
              </w:rPr>
            </w:pPr>
            <w:r>
              <w:rPr>
                <w:rFonts w:hint="eastAsia" w:ascii="Arial" w:hAnsi="Arial" w:cs="Arial"/>
                <w:b/>
                <w:bCs/>
                <w:color w:val="000000"/>
                <w:sz w:val="24"/>
              </w:rPr>
              <w:t>1</w:t>
            </w:r>
            <w:r>
              <w:rPr>
                <w:rFonts w:ascii="Arial" w:hAnsi="Arial" w:cs="Arial"/>
                <w:b/>
                <w:bCs/>
                <w:color w:val="000000"/>
                <w:sz w:val="24"/>
              </w:rPr>
              <w:t>9,487,584.81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2"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负债和所有者权益总计</w:t>
            </w:r>
          </w:p>
        </w:tc>
        <w:tc>
          <w:tcPr>
            <w:tcW w:w="5584" w:type="dxa"/>
            <w:shd w:val="clear" w:color="auto" w:fill="auto"/>
            <w:vAlign w:val="bottom"/>
          </w:tcPr>
          <w:p>
            <w:pPr>
              <w:ind w:left="-72"/>
              <w:jc w:val="right"/>
              <w:rPr>
                <w:rFonts w:ascii="Arial" w:hAnsi="Arial" w:cs="Arial"/>
                <w:b/>
                <w:bCs/>
                <w:color w:val="000000"/>
                <w:sz w:val="24"/>
              </w:rPr>
            </w:pPr>
            <w:r>
              <w:rPr>
                <w:rFonts w:ascii="Arial" w:hAnsi="Arial" w:cs="Arial"/>
                <w:b/>
                <w:bCs/>
                <w:color w:val="000000"/>
                <w:sz w:val="24"/>
              </w:rPr>
              <w:t>21,118,487.64</w:t>
            </w:r>
          </w:p>
        </w:tc>
      </w:tr>
    </w:tbl>
    <w:p>
      <w:pPr>
        <w:pStyle w:val="24"/>
      </w:pPr>
      <w:r>
        <w:rPr>
          <w:rFonts w:hint="eastAsia"/>
        </w:rPr>
        <w:t>注：报告截止日2023年7月24日(基金最后运作日)，基金份额总额</w:t>
      </w:r>
      <w:r>
        <w:t>12,440,576.72</w:t>
      </w:r>
      <w:r>
        <w:rPr>
          <w:rFonts w:hint="eastAsia"/>
        </w:rPr>
        <w:t>份，其中A类基金份额净值</w:t>
      </w:r>
      <w:r>
        <w:t>1.568</w:t>
      </w:r>
      <w:r>
        <w:rPr>
          <w:rFonts w:hint="eastAsia"/>
        </w:rPr>
        <w:t>元，基金份额</w:t>
      </w:r>
      <w:r>
        <w:t>11,543,928.27</w:t>
      </w:r>
      <w:r>
        <w:rPr>
          <w:rFonts w:hint="eastAsia"/>
        </w:rPr>
        <w:t>份；C类基金份额净值</w:t>
      </w:r>
      <w:r>
        <w:t>1.545</w:t>
      </w:r>
      <w:r>
        <w:rPr>
          <w:rFonts w:hint="eastAsia"/>
        </w:rPr>
        <w:t>元，基金份额</w:t>
      </w:r>
      <w:r>
        <w:t>896,648.45</w:t>
      </w:r>
      <w:r>
        <w:rPr>
          <w:rFonts w:hint="eastAsia"/>
        </w:rPr>
        <w:t>份。</w:t>
      </w:r>
    </w:p>
    <w:p>
      <w:pPr>
        <w:pStyle w:val="3"/>
        <w:spacing w:before="0" w:after="0"/>
        <w:rPr>
          <w:rFonts w:ascii="宋体" w:hAnsi="宋体" w:eastAsia="宋体"/>
          <w:kern w:val="0"/>
          <w:sz w:val="21"/>
          <w:szCs w:val="21"/>
        </w:rPr>
      </w:pPr>
      <w:bookmarkStart w:id="39" w:name="_Toc491963085"/>
      <w:bookmarkStart w:id="40" w:name="_Toc484769807"/>
      <w:r>
        <w:rPr>
          <w:rFonts w:hint="eastAsia" w:ascii="宋体" w:hAnsi="宋体" w:eastAsia="宋体"/>
          <w:kern w:val="0"/>
          <w:sz w:val="21"/>
          <w:szCs w:val="21"/>
        </w:rPr>
        <w:t>4</w:t>
      </w:r>
      <w:r>
        <w:rPr>
          <w:rFonts w:ascii="宋体" w:hAnsi="宋体" w:eastAsia="宋体"/>
          <w:kern w:val="0"/>
          <w:sz w:val="21"/>
          <w:szCs w:val="21"/>
        </w:rPr>
        <w:t xml:space="preserve">.2 </w:t>
      </w:r>
      <w:r>
        <w:rPr>
          <w:rFonts w:hint="eastAsia" w:ascii="宋体" w:hAnsi="宋体" w:eastAsia="宋体"/>
          <w:kern w:val="0"/>
          <w:sz w:val="21"/>
          <w:szCs w:val="21"/>
        </w:rPr>
        <w:t>清算损益表</w:t>
      </w:r>
      <w:bookmarkEnd w:id="39"/>
      <w:bookmarkEnd w:id="40"/>
    </w:p>
    <w:tbl>
      <w:tblPr>
        <w:tblStyle w:val="13"/>
        <w:tblW w:w="7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95"/>
        <w:gridCol w:w="4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pStyle w:val="11"/>
              <w:jc w:val="center"/>
              <w:rPr>
                <w:rFonts w:ascii="宋体" w:hAnsi="宋体" w:eastAsia="宋体"/>
                <w:b/>
                <w:color w:val="000000" w:themeColor="text1"/>
                <w:sz w:val="21"/>
                <w:szCs w:val="21"/>
                <w14:textFill>
                  <w14:solidFill>
                    <w14:schemeClr w14:val="tx1"/>
                  </w14:solidFill>
                </w14:textFill>
              </w:rPr>
            </w:pPr>
            <w:r>
              <w:rPr>
                <w:rFonts w:ascii="宋体" w:hAnsi="宋体" w:eastAsia="宋体"/>
                <w:b/>
                <w:color w:val="000000" w:themeColor="text1"/>
                <w:sz w:val="21"/>
                <w:szCs w:val="21"/>
                <w14:textFill>
                  <w14:solidFill>
                    <w14:schemeClr w14:val="tx1"/>
                  </w14:solidFill>
                </w14:textFill>
              </w:rPr>
              <w:t>项目</w:t>
            </w:r>
          </w:p>
        </w:tc>
        <w:tc>
          <w:tcPr>
            <w:tcW w:w="4408" w:type="dxa"/>
            <w:vAlign w:val="center"/>
          </w:tcPr>
          <w:p>
            <w:pPr>
              <w:pStyle w:val="11"/>
              <w:spacing w:before="0" w:beforeAutospacing="0" w:after="0" w:afterAutospacing="0"/>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2023年7月25日</w:t>
            </w:r>
            <w:r>
              <w:rPr>
                <w:rFonts w:ascii="宋体" w:hAnsi="宋体" w:eastAsia="宋体"/>
                <w:b/>
                <w:color w:val="000000" w:themeColor="text1"/>
                <w:sz w:val="21"/>
                <w:szCs w:val="21"/>
                <w:lang w:eastAsia="zh-CN"/>
                <w14:textFill>
                  <w14:solidFill>
                    <w14:schemeClr w14:val="tx1"/>
                  </w14:solidFill>
                </w14:textFill>
              </w:rPr>
              <w:t>至</w:t>
            </w:r>
            <w:r>
              <w:rPr>
                <w:rFonts w:hint="eastAsia" w:ascii="宋体" w:hAnsi="宋体" w:eastAsia="宋体"/>
                <w:b/>
                <w:color w:val="000000" w:themeColor="text1"/>
                <w:sz w:val="21"/>
                <w:szCs w:val="21"/>
                <w:lang w:eastAsia="zh-CN"/>
                <w14:textFill>
                  <w14:solidFill>
                    <w14:schemeClr w14:val="tx1"/>
                  </w14:solidFill>
                </w14:textFill>
              </w:rPr>
              <w:t>2023年8月9日</w:t>
            </w:r>
          </w:p>
          <w:p>
            <w:pPr>
              <w:pStyle w:val="11"/>
              <w:spacing w:before="0" w:beforeAutospacing="0" w:after="0" w:afterAutospacing="0"/>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（清算期间）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b/>
                <w:color w:val="000000" w:themeColor="text1"/>
                <w:szCs w:val="21"/>
                <w14:textFill>
                  <w14:solidFill>
                    <w14:schemeClr w14:val="tx1"/>
                  </w14:solidFill>
                </w14:textFill>
              </w:rPr>
            </w:pPr>
            <w:r>
              <w:rPr>
                <w:rFonts w:hint="eastAsia"/>
                <w:b/>
                <w:bCs/>
                <w:color w:val="000000"/>
                <w:szCs w:val="21"/>
              </w:rPr>
              <w:t>一、清算收益</w:t>
            </w:r>
          </w:p>
        </w:tc>
        <w:tc>
          <w:tcPr>
            <w:tcW w:w="4408" w:type="dxa"/>
          </w:tcPr>
          <w:p>
            <w:pPr>
              <w:ind w:left="-80"/>
              <w:jc w:val="right"/>
              <w:rPr>
                <w:rFonts w:ascii="Arial" w:hAnsi="Arial" w:cs="Arial"/>
                <w:b/>
                <w:bCs/>
                <w:color w:val="000000"/>
                <w:sz w:val="24"/>
                <w:highlight w:val="yellow"/>
              </w:rPr>
            </w:pPr>
            <w:r>
              <w:rPr>
                <w:rFonts w:ascii="Arial" w:hAnsi="Arial" w:cs="Arial"/>
                <w:b/>
                <w:bCs/>
                <w:color w:val="000000"/>
                <w:sz w:val="24"/>
              </w:rPr>
              <w:t>26,148.99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color w:val="000000" w:themeColor="text1"/>
                <w:szCs w:val="21"/>
                <w14:textFill>
                  <w14:solidFill>
                    <w14:schemeClr w14:val="tx1"/>
                  </w14:solidFill>
                </w14:textFill>
              </w:rPr>
            </w:pPr>
            <w:r>
              <w:rPr>
                <w:rFonts w:hint="eastAsia"/>
                <w:color w:val="000000"/>
                <w:szCs w:val="21"/>
              </w:rPr>
              <w:t>1.</w:t>
            </w:r>
            <w:r>
              <w:rPr>
                <w:color w:val="000000"/>
                <w:sz w:val="14"/>
                <w:szCs w:val="14"/>
              </w:rPr>
              <w:t xml:space="preserve"> </w:t>
            </w:r>
            <w:r>
              <w:rPr>
                <w:rFonts w:hint="eastAsia"/>
                <w:color w:val="000000"/>
                <w:szCs w:val="21"/>
              </w:rPr>
              <w:t>利息收入</w:t>
            </w:r>
          </w:p>
        </w:tc>
        <w:tc>
          <w:tcPr>
            <w:tcW w:w="4408" w:type="dxa"/>
            <w:shd w:val="clear" w:color="auto" w:fill="auto"/>
          </w:tcPr>
          <w:p>
            <w:pPr>
              <w:ind w:left="-80"/>
              <w:jc w:val="right"/>
              <w:rPr>
                <w:rFonts w:ascii="Arial" w:hAnsi="Arial" w:cs="Arial"/>
                <w:color w:val="000000"/>
                <w:sz w:val="24"/>
              </w:rPr>
            </w:pPr>
            <w:r>
              <w:rPr>
                <w:rFonts w:hint="eastAsia" w:ascii="Arial" w:hAnsi="Arial" w:cs="Arial"/>
                <w:bCs/>
                <w:color w:val="000000"/>
                <w:sz w:val="24"/>
              </w:rPr>
              <w:t>2,</w:t>
            </w:r>
            <w:r>
              <w:rPr>
                <w:rFonts w:ascii="Arial" w:hAnsi="Arial" w:cs="Arial"/>
                <w:bCs/>
                <w:color w:val="000000"/>
                <w:sz w:val="24"/>
              </w:rPr>
              <w:t>549.68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color w:val="000000"/>
                <w:szCs w:val="21"/>
              </w:rPr>
              <w:t>2</w:t>
            </w:r>
            <w:r>
              <w:rPr>
                <w:rFonts w:hint="eastAsia"/>
                <w:color w:val="000000"/>
                <w:szCs w:val="21"/>
              </w:rPr>
              <w:t>.</w:t>
            </w:r>
            <w:r>
              <w:rPr>
                <w:color w:val="000000"/>
                <w:szCs w:val="21"/>
              </w:rPr>
              <w:t xml:space="preserve"> </w:t>
            </w:r>
            <w:r>
              <w:rPr>
                <w:rFonts w:hint="eastAsia"/>
                <w:color w:val="000000"/>
                <w:szCs w:val="21"/>
              </w:rPr>
              <w:t>投资收益</w:t>
            </w:r>
          </w:p>
        </w:tc>
        <w:tc>
          <w:tcPr>
            <w:tcW w:w="4408" w:type="dxa"/>
          </w:tcPr>
          <w:p>
            <w:pPr>
              <w:ind w:left="-80"/>
              <w:jc w:val="right"/>
              <w:rPr>
                <w:rFonts w:ascii="Arial" w:hAnsi="Arial" w:cs="Arial"/>
                <w:color w:val="000000"/>
                <w:sz w:val="24"/>
              </w:rPr>
            </w:pPr>
            <w:r>
              <w:rPr>
                <w:rFonts w:ascii="Arial" w:hAnsi="Arial" w:cs="Arial"/>
                <w:color w:val="000000"/>
                <w:sz w:val="24"/>
              </w:rPr>
              <w:t>-26,723.63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rFonts w:hint="eastAsia"/>
                <w:color w:val="000000"/>
                <w:szCs w:val="21"/>
              </w:rPr>
              <w:t>3</w:t>
            </w:r>
            <w:r>
              <w:rPr>
                <w:color w:val="000000"/>
                <w:szCs w:val="21"/>
              </w:rPr>
              <w:t xml:space="preserve">. </w:t>
            </w:r>
            <w:r>
              <w:rPr>
                <w:rFonts w:hint="eastAsia"/>
                <w:color w:val="000000"/>
                <w:szCs w:val="21"/>
              </w:rPr>
              <w:t>公允价值变动损益</w:t>
            </w:r>
          </w:p>
        </w:tc>
        <w:tc>
          <w:tcPr>
            <w:tcW w:w="4408" w:type="dxa"/>
          </w:tcPr>
          <w:p>
            <w:pPr>
              <w:ind w:left="-80"/>
              <w:jc w:val="right"/>
              <w:rPr>
                <w:rFonts w:ascii="Arial" w:hAnsi="Arial" w:cs="Arial"/>
                <w:color w:val="000000"/>
                <w:sz w:val="24"/>
              </w:rPr>
            </w:pPr>
            <w:r>
              <w:rPr>
                <w:rFonts w:hint="eastAsia" w:ascii="Arial" w:hAnsi="Arial" w:cs="Arial"/>
                <w:color w:val="000000"/>
                <w:sz w:val="24"/>
              </w:rPr>
              <w:t>5</w:t>
            </w:r>
            <w:r>
              <w:rPr>
                <w:rFonts w:ascii="Arial" w:hAnsi="Arial" w:cs="Arial"/>
                <w:color w:val="000000"/>
                <w:sz w:val="24"/>
              </w:rPr>
              <w:t>0</w:t>
            </w:r>
            <w:r>
              <w:rPr>
                <w:rFonts w:hint="eastAsia" w:ascii="Arial" w:hAnsi="Arial" w:cs="Arial"/>
                <w:color w:val="000000"/>
                <w:sz w:val="24"/>
              </w:rPr>
              <w:t>,</w:t>
            </w:r>
            <w:r>
              <w:rPr>
                <w:rFonts w:ascii="Arial" w:hAnsi="Arial" w:cs="Arial"/>
                <w:color w:val="000000"/>
                <w:sz w:val="24"/>
              </w:rPr>
              <w:t>303.53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rFonts w:hint="eastAsia"/>
                <w:color w:val="000000"/>
                <w:szCs w:val="21"/>
              </w:rPr>
              <w:t>4</w:t>
            </w:r>
            <w:r>
              <w:rPr>
                <w:color w:val="000000"/>
                <w:szCs w:val="21"/>
              </w:rPr>
              <w:t xml:space="preserve">. </w:t>
            </w:r>
            <w:r>
              <w:rPr>
                <w:rFonts w:hint="eastAsia"/>
                <w:color w:val="000000"/>
                <w:szCs w:val="21"/>
              </w:rPr>
              <w:t>其他收入</w:t>
            </w:r>
          </w:p>
        </w:tc>
        <w:tc>
          <w:tcPr>
            <w:tcW w:w="4408" w:type="dxa"/>
          </w:tcPr>
          <w:p>
            <w:pPr>
              <w:ind w:left="-80"/>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color w:val="000000" w:themeColor="text1"/>
                <w:szCs w:val="21"/>
                <w14:textFill>
                  <w14:solidFill>
                    <w14:schemeClr w14:val="tx1"/>
                  </w14:solidFill>
                </w14:textFill>
              </w:rPr>
            </w:pPr>
            <w:r>
              <w:rPr>
                <w:rFonts w:hint="eastAsia"/>
                <w:b/>
                <w:bCs/>
                <w:color w:val="000000"/>
                <w:szCs w:val="21"/>
              </w:rPr>
              <w:t>二、清算费用</w:t>
            </w:r>
          </w:p>
        </w:tc>
        <w:tc>
          <w:tcPr>
            <w:tcW w:w="4408" w:type="dxa"/>
          </w:tcPr>
          <w:p>
            <w:pPr>
              <w:ind w:left="-80"/>
              <w:jc w:val="right"/>
              <w:rPr>
                <w:rFonts w:ascii="Arial" w:hAnsi="Arial" w:cs="Arial"/>
                <w:b/>
                <w:color w:val="000000"/>
                <w:sz w:val="24"/>
              </w:rPr>
            </w:pPr>
            <w:r>
              <w:rPr>
                <w:rFonts w:ascii="Arial" w:hAnsi="Arial" w:cs="Arial"/>
                <w:b/>
                <w:color w:val="000000"/>
                <w:sz w:val="24"/>
              </w:rPr>
              <w:t>-1,428.56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rFonts w:hint="eastAsia"/>
                <w:color w:val="000000"/>
                <w:szCs w:val="21"/>
              </w:rPr>
              <w:t>汇划费</w:t>
            </w:r>
          </w:p>
        </w:tc>
        <w:tc>
          <w:tcPr>
            <w:tcW w:w="4408" w:type="dxa"/>
          </w:tcPr>
          <w:p>
            <w:pPr>
              <w:ind w:left="-80"/>
              <w:jc w:val="right"/>
              <w:rPr>
                <w:rFonts w:ascii="Arial" w:hAnsi="Arial" w:cs="Arial"/>
                <w:color w:val="000000"/>
                <w:sz w:val="24"/>
              </w:rPr>
            </w:pPr>
            <w:r>
              <w:rPr>
                <w:rFonts w:hint="eastAsia" w:ascii="Arial" w:hAnsi="Arial" w:cs="Arial"/>
                <w:color w:val="000000"/>
                <w:sz w:val="24"/>
              </w:rPr>
              <w:t>1</w:t>
            </w:r>
            <w:r>
              <w:rPr>
                <w:rFonts w:ascii="Arial" w:hAnsi="Arial" w:cs="Arial"/>
                <w:color w:val="000000"/>
                <w:sz w:val="24"/>
              </w:rPr>
              <w:t>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rFonts w:hint="eastAsia"/>
                <w:color w:val="000000"/>
                <w:szCs w:val="21"/>
              </w:rPr>
              <w:t>上清所账户维护费</w:t>
            </w:r>
          </w:p>
        </w:tc>
        <w:tc>
          <w:tcPr>
            <w:tcW w:w="4408" w:type="dxa"/>
          </w:tcPr>
          <w:p>
            <w:pPr>
              <w:ind w:left="-80"/>
              <w:jc w:val="right"/>
              <w:rPr>
                <w:rFonts w:ascii="Arial" w:hAnsi="Arial" w:cs="Arial"/>
                <w:color w:val="000000"/>
                <w:sz w:val="24"/>
              </w:rPr>
            </w:pPr>
            <w:r>
              <w:rPr>
                <w:rFonts w:hint="eastAsia" w:ascii="Arial" w:hAnsi="Arial" w:cs="Arial"/>
                <w:color w:val="000000"/>
                <w:sz w:val="24"/>
              </w:rPr>
              <w:t>-</w:t>
            </w:r>
            <w:r>
              <w:rPr>
                <w:rFonts w:ascii="Arial" w:hAnsi="Arial" w:cs="Arial"/>
                <w:color w:val="000000"/>
                <w:sz w:val="24"/>
              </w:rPr>
              <w:t>1,600.00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rFonts w:hint="eastAsia"/>
                <w:color w:val="000000"/>
                <w:szCs w:val="21"/>
              </w:rPr>
              <w:t>税金及附加</w:t>
            </w:r>
          </w:p>
        </w:tc>
        <w:tc>
          <w:tcPr>
            <w:tcW w:w="4408" w:type="dxa"/>
          </w:tcPr>
          <w:p>
            <w:pPr>
              <w:ind w:left="-80"/>
              <w:jc w:val="right"/>
              <w:rPr>
                <w:rFonts w:ascii="Arial" w:hAnsi="Arial" w:cs="Arial"/>
                <w:color w:val="000000"/>
                <w:sz w:val="24"/>
              </w:rPr>
            </w:pPr>
            <w:r>
              <w:rPr>
                <w:rFonts w:hint="eastAsia" w:ascii="Arial" w:hAnsi="Arial" w:cs="Arial"/>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rFonts w:hint="eastAsia"/>
                <w:b/>
                <w:bCs/>
                <w:color w:val="000000"/>
                <w:szCs w:val="21"/>
              </w:rPr>
              <w:t>三、清算收益（损失）总额</w:t>
            </w:r>
          </w:p>
        </w:tc>
        <w:tc>
          <w:tcPr>
            <w:tcW w:w="4408" w:type="dxa"/>
            <w:vAlign w:val="center"/>
          </w:tcPr>
          <w:p>
            <w:pPr>
              <w:ind w:left="-80"/>
              <w:jc w:val="right"/>
              <w:rPr>
                <w:rFonts w:ascii="Arial" w:hAnsi="Arial" w:cs="Arial"/>
                <w:b/>
                <w:color w:val="000000"/>
                <w:sz w:val="24"/>
              </w:rPr>
            </w:pPr>
            <w:r>
              <w:rPr>
                <w:rFonts w:ascii="Arial" w:hAnsi="Arial" w:cs="Arial"/>
                <w:b/>
                <w:color w:val="000000"/>
                <w:sz w:val="24"/>
              </w:rPr>
              <w:t>27,577.55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shd w:val="clear" w:color="auto" w:fill="auto"/>
            <w:vAlign w:val="center"/>
          </w:tcPr>
          <w:p>
            <w:pPr>
              <w:rPr>
                <w:rFonts w:ascii="宋体" w:hAnsi="宋体"/>
                <w:color w:val="000000" w:themeColor="text1"/>
                <w:szCs w:val="21"/>
                <w14:textFill>
                  <w14:solidFill>
                    <w14:schemeClr w14:val="tx1"/>
                  </w14:solidFill>
                </w14:textFill>
              </w:rPr>
            </w:pPr>
            <w:r>
              <w:rPr>
                <w:rFonts w:hint="eastAsia"/>
                <w:color w:val="000000"/>
                <w:szCs w:val="21"/>
              </w:rPr>
              <w:t>减：所得税费用</w:t>
            </w:r>
          </w:p>
        </w:tc>
        <w:tc>
          <w:tcPr>
            <w:tcW w:w="4408" w:type="dxa"/>
            <w:shd w:val="clear" w:color="auto" w:fill="auto"/>
            <w:vAlign w:val="center"/>
          </w:tcPr>
          <w:p>
            <w:pPr>
              <w:ind w:left="-80"/>
              <w:jc w:val="right"/>
              <w:rPr>
                <w:rFonts w:ascii="Arial" w:hAnsi="Arial" w:cs="Arial"/>
                <w:bCs/>
                <w:color w:val="000000"/>
                <w:sz w:val="24"/>
              </w:rPr>
            </w:pPr>
            <w:r>
              <w:rPr>
                <w:rFonts w:hint="eastAsia" w:ascii="Arial" w:hAnsi="Arial" w:cs="Arial"/>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shd w:val="clear" w:color="auto" w:fill="auto"/>
            <w:vAlign w:val="center"/>
          </w:tcPr>
          <w:p>
            <w:pPr>
              <w:rPr>
                <w:rFonts w:ascii="宋体" w:hAnsi="宋体"/>
                <w:color w:val="000000" w:themeColor="text1"/>
                <w:szCs w:val="21"/>
                <w14:textFill>
                  <w14:solidFill>
                    <w14:schemeClr w14:val="tx1"/>
                  </w14:solidFill>
                </w14:textFill>
              </w:rPr>
            </w:pPr>
            <w:r>
              <w:rPr>
                <w:rFonts w:hint="eastAsia"/>
                <w:b/>
                <w:bCs/>
                <w:color w:val="000000"/>
                <w:szCs w:val="21"/>
              </w:rPr>
              <w:t>四、清算净收益（损失）</w:t>
            </w:r>
          </w:p>
        </w:tc>
        <w:tc>
          <w:tcPr>
            <w:tcW w:w="4408" w:type="dxa"/>
            <w:shd w:val="clear" w:color="auto" w:fill="auto"/>
            <w:vAlign w:val="center"/>
          </w:tcPr>
          <w:p>
            <w:pPr>
              <w:ind w:left="-80"/>
              <w:jc w:val="right"/>
              <w:rPr>
                <w:rFonts w:ascii="Arial" w:hAnsi="Arial" w:cs="Arial"/>
                <w:b/>
                <w:color w:val="000000"/>
                <w:sz w:val="24"/>
              </w:rPr>
            </w:pPr>
            <w:r>
              <w:rPr>
                <w:rFonts w:ascii="Arial" w:hAnsi="Arial" w:cs="Arial"/>
                <w:b/>
                <w:color w:val="000000"/>
                <w:sz w:val="24"/>
              </w:rPr>
              <w:t>27,577.55</w:t>
            </w:r>
          </w:p>
        </w:tc>
      </w:tr>
    </w:tbl>
    <w:p>
      <w:pPr>
        <w:pStyle w:val="24"/>
      </w:pPr>
      <w:bookmarkStart w:id="41" w:name="_Toc484607313"/>
      <w:bookmarkStart w:id="42" w:name="_Toc483396840"/>
      <w:bookmarkStart w:id="43" w:name="_Toc484769808"/>
      <w:r>
        <w:rPr>
          <w:rFonts w:hint="eastAsia"/>
        </w:rPr>
        <w:t>注：1、利息收入系以当前适用的利率预估计提的自2023年7月25日至2023年8月9日止清算期间的活期存款利息、结算备付金利息和存出保证金利息。</w:t>
      </w:r>
    </w:p>
    <w:p>
      <w:pPr>
        <w:pStyle w:val="24"/>
        <w:rPr>
          <w:b/>
        </w:rPr>
      </w:pPr>
      <w:r>
        <w:t>2</w:t>
      </w:r>
      <w:r>
        <w:rPr>
          <w:rFonts w:hint="eastAsia"/>
        </w:rPr>
        <w:t>、本基金运作终止日预提上清所账户维护费3</w:t>
      </w:r>
      <w:r>
        <w:t>,200.00</w:t>
      </w:r>
      <w:r>
        <w:rPr>
          <w:rFonts w:hint="eastAsia"/>
        </w:rPr>
        <w:t>元，清算期间实际支付</w:t>
      </w:r>
      <w:r>
        <w:t>1,600.00</w:t>
      </w:r>
      <w:r>
        <w:rPr>
          <w:rFonts w:hint="eastAsia"/>
        </w:rPr>
        <w:t>元，导致-</w:t>
      </w:r>
      <w:r>
        <w:t>1,600.00</w:t>
      </w:r>
      <w:r>
        <w:rPr>
          <w:rFonts w:hint="eastAsia"/>
        </w:rPr>
        <w:t>元的清算费用。</w:t>
      </w:r>
    </w:p>
    <w:p>
      <w:pPr>
        <w:pStyle w:val="3"/>
        <w:spacing w:before="0" w:after="0"/>
        <w:rPr>
          <w:rFonts w:ascii="宋体" w:hAnsi="宋体" w:eastAsia="宋体"/>
          <w:kern w:val="0"/>
          <w:sz w:val="21"/>
          <w:szCs w:val="21"/>
        </w:rPr>
      </w:pPr>
      <w:bookmarkStart w:id="44" w:name="_Toc491963086"/>
      <w:r>
        <w:rPr>
          <w:rFonts w:hint="eastAsia" w:ascii="宋体" w:hAnsi="宋体" w:eastAsia="宋体"/>
          <w:kern w:val="0"/>
          <w:sz w:val="21"/>
          <w:szCs w:val="21"/>
        </w:rPr>
        <w:t>4.3</w:t>
      </w:r>
      <w:r>
        <w:rPr>
          <w:rFonts w:ascii="宋体" w:hAnsi="宋体" w:eastAsia="宋体"/>
          <w:kern w:val="0"/>
          <w:sz w:val="21"/>
          <w:szCs w:val="21"/>
        </w:rPr>
        <w:t xml:space="preserve"> </w:t>
      </w:r>
      <w:r>
        <w:rPr>
          <w:rFonts w:hint="eastAsia" w:ascii="宋体" w:hAnsi="宋体" w:eastAsia="宋体"/>
          <w:kern w:val="0"/>
          <w:sz w:val="21"/>
          <w:szCs w:val="21"/>
        </w:rPr>
        <w:t>报表附注</w:t>
      </w:r>
      <w:bookmarkEnd w:id="41"/>
      <w:bookmarkEnd w:id="42"/>
      <w:bookmarkEnd w:id="43"/>
      <w:bookmarkEnd w:id="44"/>
    </w:p>
    <w:p>
      <w:pPr>
        <w:spacing w:line="360" w:lineRule="auto"/>
        <w:rPr>
          <w:rFonts w:ascii="宋体" w:hAnsi="宋体"/>
          <w:b/>
          <w:szCs w:val="21"/>
        </w:rPr>
      </w:pPr>
      <w:r>
        <w:rPr>
          <w:rFonts w:ascii="宋体" w:hAnsi="宋体"/>
          <w:b/>
          <w:szCs w:val="21"/>
        </w:rPr>
        <w:t>4.3.</w:t>
      </w:r>
      <w:r>
        <w:rPr>
          <w:rFonts w:hint="eastAsia" w:ascii="宋体" w:hAnsi="宋体"/>
          <w:b/>
          <w:szCs w:val="21"/>
        </w:rPr>
        <w:t>1基金基本情况</w:t>
      </w:r>
    </w:p>
    <w:p>
      <w:pPr>
        <w:pStyle w:val="24"/>
      </w:pPr>
      <w:r>
        <w:rPr>
          <w:rFonts w:hint="eastAsia"/>
        </w:rPr>
        <w:t>本基金经中国证券监督管理委员会(以下简称“中国证监会”)证监许可[2015]3101号《关于准予博时鑫瑞灵活配置混合型证券投资基金注册的批复》注册，由博时基金管理有限公司依照《中华人民共和国证券投资基金法》和《基金合同》负责公开募集。本基金为契约型、开放式，存续期限不定，首次设立募集不包括认购资金利息共募集人民币</w:t>
      </w:r>
      <w:r>
        <w:t>201,029,838.67</w:t>
      </w:r>
      <w:r>
        <w:rPr>
          <w:rFonts w:hint="eastAsia"/>
        </w:rPr>
        <w:t>元，业经普华永道会计师事务所(特殊普通合伙) 普华永道验字(20</w:t>
      </w:r>
      <w:r>
        <w:t>16</w:t>
      </w:r>
      <w:r>
        <w:rPr>
          <w:rFonts w:hint="eastAsia"/>
        </w:rPr>
        <w:t>)第</w:t>
      </w:r>
      <w:r>
        <w:t>1307</w:t>
      </w:r>
      <w:r>
        <w:rPr>
          <w:rFonts w:hint="eastAsia"/>
        </w:rPr>
        <w:t>号验资报告予以验证。经向中国证监会备案，《基金合同》于2016年10月13日正式生效，基金合同生效日的基金份额总额为201,029,838.67份基金份额（含利息结转的份额）。本基金的基金管理人为博时基金管理有限公司，基金托管人为中国民生银行股份有限公司。</w:t>
      </w:r>
    </w:p>
    <w:p>
      <w:pPr>
        <w:pStyle w:val="24"/>
      </w:pPr>
      <w:r>
        <w:rPr>
          <w:rFonts w:hint="eastAsia"/>
        </w:rPr>
        <w:t>根据《基金合同》，本基金根据认购/申购费用与销售服务费收取方式的不同，将基金份额分为不同的类别。在投资者认购/申购时收取认购/申购费用，不从本类别基金资产中计提销售服务费的基金份额，称为A类基金份额；从本类别基金资产中计提销售服务费、不收取认购/申购费用的基金份额，称为C类基金份额。本基金A类、C类基金份额分别设置代码。由于基金费用的不同，本基金A类基金份额和C类基金份额将分别计算基金份额净值，计算公式为计算日各类别基金资产净值除以计算日发售在外的该类别基金份额总数。</w:t>
      </w:r>
    </w:p>
    <w:p>
      <w:pPr>
        <w:pStyle w:val="24"/>
      </w:pPr>
      <w:r>
        <w:rPr>
          <w:rFonts w:hint="eastAsia"/>
        </w:rPr>
        <w:t>本基金的投资对象是具有良好流动性的金融工具，包括国内依法发行上市的股票（包括中小板、创业板及其他经中国证监会核准上市的股票、存托凭证）、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次级债、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w:t>
      </w:r>
    </w:p>
    <w:p>
      <w:pPr>
        <w:pStyle w:val="24"/>
      </w:pPr>
      <w:r>
        <w:rPr>
          <w:rFonts w:hint="eastAsia"/>
        </w:rPr>
        <w:t xml:space="preserve">基金的投资组合比例为：股票（含存托凭证）资产占基金资产的0%-95%；每个交易日日终在扣除股指期货合约需缴纳的保证金以后，本基金保留的现金或到期日在一年以内的政府债券不低于基金资产净值的5%，其中，现金不包括结算备付金、存出保证金、应收申购款等；权证投资占基金资产净值的0-3%。   </w:t>
      </w:r>
    </w:p>
    <w:p>
      <w:pPr>
        <w:pStyle w:val="24"/>
      </w:pPr>
      <w:r>
        <w:rPr>
          <w:rFonts w:hint="eastAsia"/>
        </w:rPr>
        <w:t>如果法律法规或中国证监会变更投资品种的投资比例限制，基金管理人在履行适当程序后，可以调整上述投资品种的投资比例。</w:t>
      </w:r>
    </w:p>
    <w:p>
      <w:pPr>
        <w:pStyle w:val="24"/>
      </w:pPr>
      <w:r>
        <w:rPr>
          <w:rFonts w:hint="eastAsia"/>
        </w:rPr>
        <w:t>本基金的业绩比较基准为：沪深300指数收益率×50% +中证综合债指数收益率×50%。</w:t>
      </w:r>
    </w:p>
    <w:p>
      <w:pPr>
        <w:pStyle w:val="24"/>
      </w:pPr>
      <w:r>
        <w:rPr>
          <w:rFonts w:hint="eastAsia"/>
        </w:rPr>
        <w:t>根据《基金合同》以及基金管理人博时基金管理有限公司于2023年7月25日发布的《关于博时鑫瑞灵活配置混合型证券投资基金基金合同终止及基金财产清算的公告》，截至2023年7月24日，本基金已出现连续60个工作日基金资产净值低于5000万元的情形，已触发基金合同中约定的基金终止条款。本基金的最后运作日为2023年7月24日，自2023年7月25日起进入清算程序。</w:t>
      </w:r>
    </w:p>
    <w:p>
      <w:pPr>
        <w:spacing w:line="360" w:lineRule="auto"/>
        <w:rPr>
          <w:rFonts w:ascii="宋体" w:hAnsi="宋体"/>
          <w:b/>
          <w:szCs w:val="21"/>
        </w:rPr>
      </w:pPr>
      <w:r>
        <w:rPr>
          <w:rFonts w:ascii="宋体" w:hAnsi="宋体"/>
          <w:b/>
          <w:szCs w:val="21"/>
        </w:rPr>
        <w:t>4.3.</w:t>
      </w:r>
      <w:r>
        <w:rPr>
          <w:rFonts w:hint="eastAsia" w:ascii="宋体" w:hAnsi="宋体"/>
          <w:b/>
          <w:szCs w:val="21"/>
        </w:rPr>
        <w:t>2清算原因</w:t>
      </w:r>
    </w:p>
    <w:p>
      <w:pPr>
        <w:spacing w:line="360" w:lineRule="auto"/>
        <w:ind w:firstLine="420" w:firstLineChars="200"/>
        <w:rPr>
          <w:rFonts w:ascii="宋体" w:hAnsi="宋体"/>
          <w:color w:val="000000"/>
          <w:szCs w:val="21"/>
        </w:rPr>
      </w:pPr>
      <w:r>
        <w:rPr>
          <w:rFonts w:hint="eastAsia" w:ascii="宋体" w:hAnsi="宋体"/>
          <w:color w:val="000000"/>
          <w:szCs w:val="21"/>
        </w:rPr>
        <w:t>根据《基金合同》“第五部分 基金备案”中“三、基金存续期内的基金份额持有人数量和资产规模”的约定：</w:t>
      </w:r>
    </w:p>
    <w:p>
      <w:pPr>
        <w:spacing w:line="360" w:lineRule="auto"/>
        <w:ind w:firstLine="420" w:firstLineChars="200"/>
        <w:rPr>
          <w:rFonts w:ascii="Arial" w:hAnsi="Arial" w:cs="Arial"/>
          <w:color w:val="000000"/>
          <w:szCs w:val="21"/>
        </w:rPr>
      </w:pPr>
      <w:r>
        <w:rPr>
          <w:rFonts w:hint="eastAsia" w:ascii="宋体" w:hAnsi="宋体"/>
          <w:color w:val="000000"/>
          <w:szCs w:val="21"/>
        </w:rPr>
        <w:t>“</w:t>
      </w:r>
      <w:r>
        <w:rPr>
          <w:rFonts w:hint="eastAsia" w:ascii="Arial" w:hAnsi="Arial" w:cs="Arial"/>
          <w:color w:val="000000"/>
          <w:szCs w:val="21"/>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本基金将根据《基金合同》约定进入清算程序并终止，无需召开基金份额持有人大会进行表决。</w:t>
      </w:r>
    </w:p>
    <w:p>
      <w:pPr>
        <w:spacing w:line="360" w:lineRule="auto"/>
        <w:ind w:firstLine="420" w:firstLineChars="200"/>
        <w:rPr>
          <w:rFonts w:ascii="宋体" w:hAnsi="宋体"/>
          <w:color w:val="000000"/>
          <w:szCs w:val="21"/>
        </w:rPr>
      </w:pPr>
      <w:r>
        <w:rPr>
          <w:rFonts w:hint="eastAsia" w:ascii="Arial" w:hAnsi="Arial" w:cs="Arial"/>
          <w:color w:val="000000"/>
          <w:szCs w:val="21"/>
        </w:rPr>
        <w:t>法律法规另有规定时，从其规定。</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截至2023年7月24日，本基金已出现连续60个工作日基金资产净值低于5000万元的情形，已触发基金合同中约定的基金终止条款。根据《基金合同》有关约定，博时基金管理有限公司应终止本基金并依据基金财产清算程序对本基金进行财产清算，且无需召开基金份额持有人大会。</w:t>
      </w:r>
    </w:p>
    <w:p>
      <w:pPr>
        <w:spacing w:line="360" w:lineRule="auto"/>
        <w:rPr>
          <w:rFonts w:ascii="宋体" w:hAnsi="宋体"/>
          <w:b/>
          <w:szCs w:val="21"/>
        </w:rPr>
      </w:pPr>
      <w:r>
        <w:rPr>
          <w:rFonts w:ascii="宋体" w:hAnsi="宋体"/>
          <w:b/>
          <w:szCs w:val="21"/>
        </w:rPr>
        <w:t>4.3.</w:t>
      </w:r>
      <w:r>
        <w:rPr>
          <w:rFonts w:hint="eastAsia" w:ascii="宋体" w:hAnsi="宋体"/>
          <w:b/>
          <w:szCs w:val="21"/>
        </w:rPr>
        <w:t>3清算起始日</w:t>
      </w:r>
    </w:p>
    <w:p>
      <w:pPr>
        <w:pStyle w:val="24"/>
      </w:pPr>
      <w:r>
        <w:rPr>
          <w:rFonts w:hint="eastAsia"/>
        </w:rPr>
        <w:t>根据博时基金管理有限公司于2023年7月25日发布的《关于博时鑫瑞灵活配置混合型证券投资基金基金合同终止及基金财产清算的公告》，本基金的清算起始日为2023年7月25日。</w:t>
      </w:r>
    </w:p>
    <w:p>
      <w:pPr>
        <w:spacing w:line="360" w:lineRule="auto"/>
        <w:rPr>
          <w:rFonts w:ascii="宋体" w:hAnsi="宋体"/>
          <w:b/>
          <w:szCs w:val="21"/>
        </w:rPr>
      </w:pPr>
      <w:r>
        <w:rPr>
          <w:rFonts w:ascii="宋体" w:hAnsi="宋体"/>
          <w:b/>
          <w:szCs w:val="21"/>
        </w:rPr>
        <w:t>4.3.</w:t>
      </w:r>
      <w:r>
        <w:rPr>
          <w:rFonts w:hint="eastAsia" w:ascii="宋体" w:hAnsi="宋体"/>
          <w:b/>
          <w:szCs w:val="21"/>
        </w:rPr>
        <w:t>4清算财务报表的编制基础</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如财务报表附注</w:t>
      </w:r>
      <w:r>
        <w:rPr>
          <w:rFonts w:asciiTheme="minorEastAsia" w:hAnsiTheme="minorEastAsia" w:eastAsiaTheme="minorEastAsia"/>
          <w:color w:val="000000"/>
          <w:szCs w:val="21"/>
        </w:rPr>
        <w:t>4.3.3</w:t>
      </w:r>
      <w:r>
        <w:rPr>
          <w:rFonts w:hint="eastAsia" w:asciiTheme="minorEastAsia" w:hAnsiTheme="minorEastAsia" w:eastAsiaTheme="minorEastAsia"/>
          <w:color w:val="000000"/>
          <w:szCs w:val="21"/>
        </w:rPr>
        <w:t>所述，自2023年7月25日起，本基金进入清算程序，因此本财务报表以清算基础编制。</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本基金财务报表按附注</w:t>
      </w:r>
      <w:r>
        <w:rPr>
          <w:rFonts w:hint="eastAsia" w:asciiTheme="minorEastAsia" w:hAnsiTheme="minorEastAsia" w:eastAsiaTheme="minorEastAsia"/>
          <w:color w:val="000000"/>
          <w:szCs w:val="21"/>
        </w:rPr>
        <w:t>4.3.5</w:t>
      </w:r>
      <w:r>
        <w:rPr>
          <w:rFonts w:asciiTheme="minorEastAsia" w:hAnsiTheme="minorEastAsia" w:eastAsiaTheme="minorEastAsia"/>
          <w:color w:val="000000"/>
          <w:szCs w:val="21"/>
        </w:rPr>
        <w:t>中所述的</w:t>
      </w:r>
      <w:r>
        <w:rPr>
          <w:rFonts w:hint="eastAsia" w:asciiTheme="minorEastAsia" w:hAnsiTheme="minorEastAsia" w:eastAsiaTheme="minorEastAsia"/>
          <w:color w:val="000000"/>
          <w:szCs w:val="21"/>
        </w:rPr>
        <w:t>重要</w:t>
      </w:r>
      <w:r>
        <w:rPr>
          <w:rFonts w:asciiTheme="minorEastAsia" w:hAnsiTheme="minorEastAsia" w:eastAsiaTheme="minorEastAsia"/>
          <w:color w:val="000000"/>
          <w:szCs w:val="21"/>
        </w:rPr>
        <w:t>会计政策和会计估计以清算基础编制。于2023年7月24日(</w:t>
      </w:r>
      <w:r>
        <w:rPr>
          <w:rFonts w:hint="eastAsia" w:asciiTheme="minorEastAsia" w:hAnsiTheme="minorEastAsia" w:eastAsiaTheme="minorEastAsia"/>
          <w:color w:val="000000"/>
          <w:szCs w:val="21"/>
        </w:rPr>
        <w:t>基金最后运作日</w:t>
      </w:r>
      <w:r>
        <w:rPr>
          <w:rFonts w:asciiTheme="minorEastAsia" w:hAnsiTheme="minorEastAsia" w:eastAsiaTheme="minorEastAsia"/>
          <w:color w:val="000000"/>
          <w:szCs w:val="21"/>
        </w:rPr>
        <w:t>)，所有资产以可收回金额与原账面价值孰低计量，负债以预计需要清偿的金额计量。</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此外，本基金财务报表按照中国证券投资基金业协会(以下简称“中国基金业协会”)颁布的《资产管理产品相关会计处理规定》、《基金合同》约定的资产估值和会计核算方法及在财务报表附注4</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3所列示的中国证监会、中国基金业协会发布的有关规定及允许的基金行业实务操作编制。</w:t>
      </w:r>
    </w:p>
    <w:p>
      <w:pPr>
        <w:spacing w:line="360" w:lineRule="auto"/>
        <w:rPr>
          <w:rFonts w:ascii="宋体" w:hAnsi="宋体"/>
          <w:b/>
          <w:szCs w:val="21"/>
        </w:rPr>
      </w:pPr>
      <w:r>
        <w:rPr>
          <w:rFonts w:ascii="宋体" w:hAnsi="宋体"/>
          <w:b/>
          <w:szCs w:val="21"/>
        </w:rPr>
        <w:t>4.3.</w:t>
      </w:r>
      <w:r>
        <w:rPr>
          <w:rFonts w:hint="eastAsia" w:ascii="宋体" w:hAnsi="宋体"/>
          <w:b/>
          <w:szCs w:val="21"/>
        </w:rPr>
        <w:t>5 重要会计政策和会计估计</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1清算期间</w:t>
      </w:r>
    </w:p>
    <w:p>
      <w:pPr>
        <w:spacing w:line="360" w:lineRule="auto"/>
        <w:ind w:firstLine="420" w:firstLineChars="200"/>
        <w:rPr>
          <w:rFonts w:ascii="宋体" w:hAnsi="宋体"/>
          <w:color w:val="000000"/>
          <w:szCs w:val="21"/>
        </w:rPr>
      </w:pPr>
      <w:r>
        <w:rPr>
          <w:rFonts w:hint="eastAsia" w:ascii="宋体" w:hAnsi="宋体"/>
          <w:color w:val="000000"/>
          <w:szCs w:val="21"/>
        </w:rPr>
        <w:t>本清算期间为2023年7月25日至2023年8月9日。</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.2 记账本位币</w:t>
      </w:r>
    </w:p>
    <w:p>
      <w:pPr>
        <w:spacing w:line="360" w:lineRule="auto"/>
        <w:ind w:firstLine="420" w:firstLineChars="200"/>
        <w:rPr>
          <w:rFonts w:ascii="宋体" w:hAnsi="宋体"/>
          <w:color w:val="000000"/>
          <w:szCs w:val="21"/>
        </w:rPr>
      </w:pPr>
      <w:r>
        <w:rPr>
          <w:rFonts w:hint="eastAsia" w:ascii="宋体" w:hAnsi="宋体"/>
          <w:color w:val="000000"/>
          <w:szCs w:val="21"/>
        </w:rPr>
        <w:t>本清算财务报表以人民币为记账本位币。</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3</w:t>
      </w:r>
      <w:r>
        <w:rPr>
          <w:rFonts w:ascii="宋体" w:hAnsi="宋体"/>
          <w:b/>
          <w:szCs w:val="21"/>
        </w:rPr>
        <w:t xml:space="preserve"> </w:t>
      </w:r>
      <w:r>
        <w:rPr>
          <w:rFonts w:hint="eastAsia" w:ascii="宋体" w:hAnsi="宋体"/>
          <w:b/>
          <w:szCs w:val="21"/>
        </w:rPr>
        <w:t xml:space="preserve">应收利息的确认和计量 </w:t>
      </w:r>
    </w:p>
    <w:p>
      <w:pPr>
        <w:spacing w:line="360" w:lineRule="auto"/>
        <w:ind w:firstLine="420" w:firstLineChars="200"/>
        <w:rPr>
          <w:rFonts w:ascii="宋体" w:hAnsi="宋体"/>
          <w:color w:val="000000"/>
          <w:szCs w:val="21"/>
        </w:rPr>
      </w:pPr>
      <w:r>
        <w:rPr>
          <w:rFonts w:ascii="宋体" w:hAnsi="宋体"/>
          <w:color w:val="000000"/>
          <w:szCs w:val="21"/>
        </w:rPr>
        <w:t>应收款项按照未来应收取的款项金额计量。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4</w:t>
      </w:r>
      <w:r>
        <w:rPr>
          <w:rFonts w:ascii="宋体" w:hAnsi="宋体"/>
          <w:b/>
          <w:szCs w:val="21"/>
        </w:rPr>
        <w:t xml:space="preserve"> </w:t>
      </w:r>
      <w:r>
        <w:rPr>
          <w:rFonts w:hint="eastAsia" w:ascii="宋体" w:hAnsi="宋体"/>
          <w:b/>
          <w:szCs w:val="21"/>
        </w:rPr>
        <w:t xml:space="preserve">应付款项的确认和计量 </w:t>
      </w:r>
    </w:p>
    <w:p>
      <w:pPr>
        <w:spacing w:line="360" w:lineRule="auto"/>
        <w:ind w:firstLine="420" w:firstLineChars="200"/>
        <w:rPr>
          <w:rFonts w:ascii="宋体" w:hAnsi="宋体"/>
          <w:color w:val="000000"/>
          <w:szCs w:val="21"/>
        </w:rPr>
      </w:pPr>
      <w:r>
        <w:rPr>
          <w:rFonts w:ascii="宋体" w:hAnsi="宋体"/>
          <w:color w:val="000000"/>
          <w:szCs w:val="21"/>
        </w:rPr>
        <w:t>应付款项按照未来应支付的款项金额计量。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5</w:t>
      </w:r>
      <w:r>
        <w:rPr>
          <w:rFonts w:ascii="宋体" w:hAnsi="宋体"/>
          <w:b/>
          <w:szCs w:val="21"/>
        </w:rPr>
        <w:t xml:space="preserve"> </w:t>
      </w:r>
      <w:r>
        <w:rPr>
          <w:rFonts w:hint="eastAsia" w:ascii="宋体" w:hAnsi="宋体"/>
          <w:b/>
          <w:szCs w:val="21"/>
        </w:rPr>
        <w:t xml:space="preserve">清算收益的确认和计量 </w:t>
      </w:r>
    </w:p>
    <w:p>
      <w:pPr>
        <w:spacing w:line="360" w:lineRule="auto"/>
        <w:ind w:firstLine="420" w:firstLineChars="200"/>
        <w:rPr>
          <w:rFonts w:ascii="宋体" w:hAnsi="宋体"/>
          <w:color w:val="000000"/>
          <w:szCs w:val="21"/>
        </w:rPr>
      </w:pPr>
      <w:r>
        <w:rPr>
          <w:rFonts w:ascii="宋体" w:hAnsi="宋体"/>
          <w:color w:val="000000"/>
          <w:szCs w:val="21"/>
        </w:rPr>
        <w:t>清算收益按照实际发生的收益金额或未来应收取的款项金额计量。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.6</w:t>
      </w:r>
      <w:r>
        <w:rPr>
          <w:rFonts w:hint="eastAsia" w:ascii="宋体" w:hAnsi="宋体"/>
          <w:b/>
          <w:szCs w:val="21"/>
        </w:rPr>
        <w:t xml:space="preserve">清算费用的确认和计量 </w:t>
      </w:r>
    </w:p>
    <w:p>
      <w:pPr>
        <w:spacing w:line="360" w:lineRule="auto"/>
        <w:ind w:firstLine="420" w:firstLineChars="200"/>
        <w:rPr>
          <w:rFonts w:ascii="宋体" w:hAnsi="宋体"/>
          <w:color w:val="000000"/>
          <w:szCs w:val="21"/>
        </w:rPr>
      </w:pPr>
      <w:r>
        <w:rPr>
          <w:rFonts w:ascii="宋体" w:hAnsi="宋体"/>
          <w:color w:val="000000"/>
          <w:szCs w:val="21"/>
        </w:rPr>
        <w:t>清算费用按照实际发生的费用金额或未来应支付的款项金额计量。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6 税项</w:t>
      </w:r>
    </w:p>
    <w:p>
      <w:pPr>
        <w:spacing w:line="360" w:lineRule="auto"/>
        <w:ind w:firstLine="420" w:firstLineChars="200"/>
        <w:rPr>
          <w:rFonts w:ascii="宋体" w:hAnsi="宋体"/>
          <w:color w:val="000000"/>
          <w:szCs w:val="21"/>
        </w:rPr>
      </w:pPr>
      <w:bookmarkStart w:id="45" w:name="_Toc491963087"/>
      <w:bookmarkStart w:id="46" w:name="_Toc484769809"/>
      <w:r>
        <w:rPr>
          <w:rFonts w:hint="eastAsia" w:ascii="宋体" w:hAnsi="宋体"/>
          <w:color w:val="000000"/>
          <w:szCs w:val="21"/>
        </w:rPr>
        <w:t>根据财政部、国家税务总局财税[2002]128号《关于开放式证券投资基金有关税收问题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line="360" w:lineRule="auto"/>
        <w:ind w:firstLine="420" w:firstLineChars="200"/>
        <w:rPr>
          <w:rFonts w:ascii="宋体" w:hAnsi="宋体"/>
          <w:color w:val="000000"/>
          <w:szCs w:val="21"/>
        </w:rPr>
      </w:pPr>
      <w:r>
        <w:rPr>
          <w:rFonts w:hint="eastAsia" w:ascii="宋体" w:hAnsi="宋体"/>
          <w:color w:val="000000"/>
          <w:szCs w:val="21"/>
        </w:rPr>
        <w:t>(1)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pPr>
        <w:spacing w:line="360" w:lineRule="auto"/>
        <w:ind w:firstLine="420" w:firstLineChars="200"/>
        <w:rPr>
          <w:rFonts w:ascii="宋体" w:hAnsi="宋体"/>
          <w:color w:val="000000"/>
          <w:szCs w:val="21"/>
        </w:rPr>
      </w:pPr>
      <w:r>
        <w:rPr>
          <w:rFonts w:hint="eastAsia" w:ascii="宋体" w:hAnsi="宋体"/>
          <w:color w:val="000000"/>
          <w:szCs w:val="21"/>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基金、非货物期货，可以选择按照实际买入价计算销售额，或者以2017年最后一个交易日的基金份额净值、非货物期货结算价格作为买入价计算销售额。</w:t>
      </w:r>
    </w:p>
    <w:p>
      <w:pPr>
        <w:spacing w:line="360" w:lineRule="auto"/>
        <w:ind w:firstLine="420" w:firstLineChars="200"/>
        <w:rPr>
          <w:rFonts w:ascii="宋体" w:hAnsi="宋体"/>
          <w:color w:val="000000"/>
          <w:szCs w:val="21"/>
        </w:rPr>
      </w:pPr>
      <w:r>
        <w:rPr>
          <w:rFonts w:hint="eastAsia" w:ascii="宋体" w:hAnsi="宋体"/>
          <w:color w:val="000000"/>
          <w:szCs w:val="21"/>
        </w:rPr>
        <w:t>(2)对基金从证券市场中取得的收入，包括买卖股票、债券的差价收入，股票的股息、红利收入，债券的利息收入及其他收入，暂不征收企业所得税。</w:t>
      </w:r>
    </w:p>
    <w:p>
      <w:pPr>
        <w:spacing w:line="360" w:lineRule="auto"/>
        <w:ind w:firstLine="420" w:firstLineChars="200"/>
        <w:rPr>
          <w:rFonts w:ascii="宋体" w:hAnsi="宋体"/>
          <w:color w:val="000000"/>
          <w:szCs w:val="21"/>
        </w:rPr>
      </w:pPr>
      <w:r>
        <w:rPr>
          <w:rFonts w:hint="eastAsia" w:ascii="宋体" w:hAnsi="宋体"/>
          <w:color w:val="000000"/>
          <w:szCs w:val="21"/>
        </w:rPr>
        <w:t>(3)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line="360" w:lineRule="auto"/>
        <w:ind w:firstLine="420" w:firstLineChars="200"/>
        <w:rPr>
          <w:rFonts w:ascii="宋体" w:hAnsi="宋体"/>
          <w:color w:val="000000"/>
          <w:szCs w:val="21"/>
        </w:rPr>
      </w:pPr>
      <w:r>
        <w:rPr>
          <w:rFonts w:hint="eastAsia" w:ascii="宋体" w:hAnsi="宋体"/>
          <w:color w:val="000000"/>
          <w:szCs w:val="21"/>
        </w:rPr>
        <w:t>(4)基金卖出股票按0.1%的税率缴纳股票交易印花税，买入股票不征收股票交易印花税。</w:t>
      </w:r>
    </w:p>
    <w:p>
      <w:pPr>
        <w:spacing w:line="360" w:lineRule="auto"/>
        <w:ind w:firstLine="420" w:firstLineChars="200"/>
        <w:rPr>
          <w:rFonts w:ascii="宋体" w:hAnsi="宋体"/>
          <w:color w:val="000000"/>
          <w:szCs w:val="21"/>
        </w:rPr>
      </w:pPr>
      <w:r>
        <w:rPr>
          <w:rFonts w:hint="eastAsia" w:ascii="宋体" w:hAnsi="宋体"/>
          <w:color w:val="000000"/>
          <w:szCs w:val="21"/>
        </w:rPr>
        <w:t>(5)本基金的城市维护建设税、教育费附加和地方教育附加等税费按照实际缴纳增值税额的适用比例计算缴纳。</w:t>
      </w:r>
    </w:p>
    <w:p>
      <w:pPr>
        <w:spacing w:line="360" w:lineRule="auto"/>
        <w:jc w:val="center"/>
        <w:rPr>
          <w:rStyle w:val="20"/>
          <w:rFonts w:ascii="宋体" w:hAnsi="宋体"/>
        </w:rPr>
      </w:pPr>
      <w:r>
        <w:rPr>
          <w:rStyle w:val="20"/>
          <w:rFonts w:hint="eastAsia" w:ascii="宋体" w:hAnsi="宋体"/>
        </w:rPr>
        <w:t>5、清算情况</w:t>
      </w:r>
      <w:bookmarkEnd w:id="45"/>
    </w:p>
    <w:p>
      <w:pPr>
        <w:pStyle w:val="3"/>
        <w:spacing w:before="0" w:after="0"/>
        <w:rPr>
          <w:rFonts w:ascii="宋体" w:hAnsi="宋体" w:eastAsia="宋体"/>
          <w:kern w:val="0"/>
          <w:sz w:val="21"/>
          <w:szCs w:val="21"/>
        </w:rPr>
      </w:pPr>
      <w:bookmarkStart w:id="47" w:name="_Toc491963088"/>
      <w:r>
        <w:rPr>
          <w:rFonts w:hint="eastAsia" w:ascii="宋体" w:hAnsi="宋体" w:eastAsia="宋体"/>
          <w:kern w:val="0"/>
          <w:sz w:val="21"/>
          <w:szCs w:val="21"/>
        </w:rPr>
        <w:t>5.1 资产负债清算情况</w:t>
      </w:r>
      <w:bookmarkEnd w:id="47"/>
    </w:p>
    <w:p>
      <w:pPr>
        <w:pStyle w:val="24"/>
      </w:pPr>
      <w:r>
        <w:rPr>
          <w:rFonts w:hint="eastAsia"/>
        </w:rPr>
        <w:t>自2023年7月25日至2023年8月9日止为本次清算期间，基金财产清算小组对本基金的基金财产进行清算，全部清算工作按清算原则和清算手续进行。具体清算情况如下：</w:t>
      </w:r>
    </w:p>
    <w:p>
      <w:pPr>
        <w:pStyle w:val="24"/>
      </w:pPr>
      <w:r>
        <w:rPr>
          <w:rFonts w:hint="eastAsia"/>
        </w:rPr>
        <w:t>截至本次清算期结束日（2023年8月9日），各项资产负债清算情况如下：</w:t>
      </w:r>
    </w:p>
    <w:p>
      <w:pPr>
        <w:pStyle w:val="24"/>
        <w:numPr>
          <w:ilvl w:val="0"/>
          <w:numId w:val="1"/>
        </w:numPr>
        <w:ind w:firstLineChars="0"/>
      </w:pPr>
      <w:r>
        <w:rPr>
          <w:rFonts w:hint="eastAsia"/>
        </w:rPr>
        <w:t>本基金最后运作日银行存款为</w:t>
      </w:r>
      <w:r>
        <w:t>1,752,941.20</w:t>
      </w:r>
      <w:r>
        <w:rPr>
          <w:rFonts w:hint="eastAsia"/>
        </w:rPr>
        <w:t>元（含应计利息</w:t>
      </w:r>
      <w:r>
        <w:t>1,190.52</w:t>
      </w:r>
      <w:r>
        <w:rPr>
          <w:rFonts w:hint="eastAsia"/>
        </w:rPr>
        <w:t>元），在清算期间产生银行存款应计利息</w:t>
      </w:r>
      <w:r>
        <w:t>2,315.80</w:t>
      </w:r>
      <w:r>
        <w:rPr>
          <w:rFonts w:hint="eastAsia"/>
        </w:rPr>
        <w:t>元，银行存款应计利息预计将于2023年9月21日收到。</w:t>
      </w:r>
    </w:p>
    <w:p>
      <w:pPr>
        <w:pStyle w:val="24"/>
        <w:numPr>
          <w:ilvl w:val="0"/>
          <w:numId w:val="1"/>
        </w:numPr>
        <w:ind w:firstLineChars="0"/>
      </w:pPr>
      <w:r>
        <w:rPr>
          <w:rFonts w:hint="eastAsia"/>
        </w:rPr>
        <w:t>本基金最后运作日上交所最低备付金余额为</w:t>
      </w:r>
      <w:r>
        <w:t>139,954.03</w:t>
      </w:r>
      <w:r>
        <w:rPr>
          <w:rFonts w:hint="eastAsia"/>
        </w:rPr>
        <w:t>元（含应计利息</w:t>
      </w:r>
      <w:r>
        <w:t>334.17</w:t>
      </w:r>
      <w:r>
        <w:rPr>
          <w:rFonts w:hint="eastAsia"/>
        </w:rPr>
        <w:t>元），在清算期内上述款项产生应计利息</w:t>
      </w:r>
      <w:r>
        <w:t>101.38</w:t>
      </w:r>
      <w:r>
        <w:rPr>
          <w:rFonts w:hint="eastAsia"/>
        </w:rPr>
        <w:t>元，上交所最低备付金应计利息预计将于2023年9月21日收到。</w:t>
      </w:r>
    </w:p>
    <w:p>
      <w:pPr>
        <w:pStyle w:val="24"/>
        <w:numPr>
          <w:ilvl w:val="0"/>
          <w:numId w:val="1"/>
        </w:numPr>
        <w:ind w:firstLineChars="0"/>
      </w:pPr>
      <w:r>
        <w:rPr>
          <w:rFonts w:hint="eastAsia"/>
        </w:rPr>
        <w:t>本基金最后运作日深交所最低备付金余额为</w:t>
      </w:r>
      <w:r>
        <w:t>116,673.52</w:t>
      </w:r>
      <w:r>
        <w:rPr>
          <w:rFonts w:hint="eastAsia"/>
        </w:rPr>
        <w:t>元（含应计利息</w:t>
      </w:r>
      <w:r>
        <w:t>135.03</w:t>
      </w:r>
      <w:r>
        <w:rPr>
          <w:rFonts w:hint="eastAsia"/>
        </w:rPr>
        <w:t>元），在清算期内上述款项产生应计利息7</w:t>
      </w:r>
      <w:r>
        <w:t>8.90</w:t>
      </w:r>
      <w:r>
        <w:rPr>
          <w:rFonts w:hint="eastAsia"/>
        </w:rPr>
        <w:t>元，深交所最低备付金应计利息预计将于2023年9月21日收到。</w:t>
      </w:r>
    </w:p>
    <w:p>
      <w:pPr>
        <w:pStyle w:val="24"/>
        <w:numPr>
          <w:ilvl w:val="0"/>
          <w:numId w:val="1"/>
        </w:numPr>
        <w:ind w:firstLineChars="0"/>
      </w:pPr>
      <w:r>
        <w:rPr>
          <w:rFonts w:hint="eastAsia"/>
        </w:rPr>
        <w:t>本基金最后运作日上交所结算保证金余额为</w:t>
      </w:r>
      <w:r>
        <w:t>83,939.82</w:t>
      </w:r>
      <w:r>
        <w:rPr>
          <w:rFonts w:hint="eastAsia"/>
        </w:rPr>
        <w:t>元（含应计利息</w:t>
      </w:r>
      <w:r>
        <w:t>132.08</w:t>
      </w:r>
      <w:r>
        <w:rPr>
          <w:rFonts w:hint="eastAsia"/>
        </w:rPr>
        <w:t>元），在清算期内上述款项产生应计利息3</w:t>
      </w:r>
      <w:r>
        <w:t>0.16</w:t>
      </w:r>
      <w:r>
        <w:rPr>
          <w:rFonts w:hint="eastAsia"/>
        </w:rPr>
        <w:t>元，上交所结算保证金应计利息预计将于2023年9月21日收到。</w:t>
      </w:r>
    </w:p>
    <w:p>
      <w:pPr>
        <w:pStyle w:val="24"/>
        <w:numPr>
          <w:ilvl w:val="0"/>
          <w:numId w:val="1"/>
        </w:numPr>
        <w:ind w:firstLineChars="0"/>
      </w:pPr>
      <w:r>
        <w:rPr>
          <w:rFonts w:hint="eastAsia"/>
        </w:rPr>
        <w:t>本基金最后运作日深交所结算保证金余额为</w:t>
      </w:r>
      <w:r>
        <w:t>65,184.79</w:t>
      </w:r>
      <w:r>
        <w:rPr>
          <w:rFonts w:hint="eastAsia"/>
        </w:rPr>
        <w:t>元（含应计利息</w:t>
      </w:r>
      <w:r>
        <w:t>99.23</w:t>
      </w:r>
      <w:r>
        <w:rPr>
          <w:rFonts w:hint="eastAsia"/>
        </w:rPr>
        <w:t>元），在清算期内上述款项产生应计利息2</w:t>
      </w:r>
      <w:r>
        <w:t>3.44</w:t>
      </w:r>
      <w:r>
        <w:rPr>
          <w:rFonts w:hint="eastAsia"/>
        </w:rPr>
        <w:t>元，深交所结算保证金应计利息预计将于2023年9月21日收到日。</w:t>
      </w:r>
    </w:p>
    <w:p>
      <w:pPr>
        <w:pStyle w:val="24"/>
        <w:numPr>
          <w:ilvl w:val="0"/>
          <w:numId w:val="1"/>
        </w:numPr>
        <w:ind w:firstLineChars="0"/>
      </w:pPr>
      <w:r>
        <w:rPr>
          <w:rFonts w:hint="eastAsia"/>
        </w:rPr>
        <w:t>本基金最后运作日期货备付金余额为</w:t>
      </w:r>
      <w:r>
        <w:t>1,029.50</w:t>
      </w:r>
      <w:r>
        <w:rPr>
          <w:rFonts w:hint="eastAsia"/>
        </w:rPr>
        <w:t>元（含应计利息</w:t>
      </w:r>
      <w:r>
        <w:t>1.70</w:t>
      </w:r>
      <w:r>
        <w:rPr>
          <w:rFonts w:hint="eastAsia"/>
        </w:rPr>
        <w:t>元），截止</w:t>
      </w:r>
      <w:r>
        <w:t>2023年8月9日</w:t>
      </w:r>
      <w:r>
        <w:rPr>
          <w:rFonts w:hint="eastAsia"/>
        </w:rPr>
        <w:t>，上述款项已全部收到。</w:t>
      </w:r>
    </w:p>
    <w:p>
      <w:pPr>
        <w:pStyle w:val="24"/>
        <w:numPr>
          <w:ilvl w:val="0"/>
          <w:numId w:val="1"/>
        </w:numPr>
        <w:ind w:firstLineChars="0"/>
      </w:pPr>
      <w:r>
        <w:rPr>
          <w:rFonts w:hint="eastAsia"/>
        </w:rPr>
        <w:t>本基金最后运作日股票投资余额为</w:t>
      </w:r>
      <w:r>
        <w:t>18,952,527.00</w:t>
      </w:r>
      <w:r>
        <w:rPr>
          <w:rFonts w:hint="eastAsia"/>
        </w:rPr>
        <w:t>元，截止</w:t>
      </w:r>
      <w:r>
        <w:t>2023年8月9日</w:t>
      </w:r>
      <w:r>
        <w:rPr>
          <w:rFonts w:hint="eastAsia"/>
        </w:rPr>
        <w:t>已全部卖出变现。</w:t>
      </w:r>
    </w:p>
    <w:p>
      <w:pPr>
        <w:pStyle w:val="24"/>
        <w:numPr>
          <w:ilvl w:val="0"/>
          <w:numId w:val="1"/>
        </w:numPr>
        <w:ind w:firstLineChars="0"/>
      </w:pPr>
      <w:r>
        <w:rPr>
          <w:rFonts w:hint="eastAsia"/>
        </w:rPr>
        <w:t>本基金最后运作日应收申购款为</w:t>
      </w:r>
      <w:r>
        <w:t>6,237.78</w:t>
      </w:r>
      <w:r>
        <w:rPr>
          <w:rFonts w:hint="eastAsia"/>
        </w:rPr>
        <w:t>元，截止202</w:t>
      </w:r>
      <w:r>
        <w:t>3</w:t>
      </w:r>
      <w:r>
        <w:rPr>
          <w:rFonts w:hint="eastAsia"/>
        </w:rPr>
        <w:t>年</w:t>
      </w:r>
      <w:r>
        <w:t>7月26日</w:t>
      </w:r>
      <w:r>
        <w:rPr>
          <w:rFonts w:hint="eastAsia"/>
        </w:rPr>
        <w:t>该款项已全部收到。</w:t>
      </w:r>
    </w:p>
    <w:p>
      <w:pPr>
        <w:pStyle w:val="24"/>
        <w:numPr>
          <w:ilvl w:val="0"/>
          <w:numId w:val="1"/>
        </w:numPr>
        <w:ind w:firstLineChars="0"/>
      </w:pPr>
      <w:r>
        <w:rPr>
          <w:rFonts w:hint="eastAsia"/>
        </w:rPr>
        <w:t>本基金最后运作日应付赎回款、应付转出款合计为</w:t>
      </w:r>
      <w:r>
        <w:t>1,140,291.06</w:t>
      </w:r>
      <w:r>
        <w:rPr>
          <w:rFonts w:hint="eastAsia"/>
        </w:rPr>
        <w:t>元，截止202</w:t>
      </w:r>
      <w:r>
        <w:t>3</w:t>
      </w:r>
      <w:r>
        <w:rPr>
          <w:rFonts w:hint="eastAsia"/>
        </w:rPr>
        <w:t>年</w:t>
      </w:r>
      <w:r>
        <w:t>7月27日</w:t>
      </w:r>
      <w:r>
        <w:rPr>
          <w:rFonts w:hint="eastAsia"/>
        </w:rPr>
        <w:t>该款项已全部划出。</w:t>
      </w:r>
    </w:p>
    <w:p>
      <w:pPr>
        <w:pStyle w:val="24"/>
        <w:numPr>
          <w:ilvl w:val="0"/>
          <w:numId w:val="1"/>
        </w:numPr>
        <w:ind w:firstLineChars="0"/>
      </w:pPr>
      <w:r>
        <w:rPr>
          <w:rFonts w:hint="eastAsia"/>
        </w:rPr>
        <w:t>本基金最后运作日应付管理人报酬为</w:t>
      </w:r>
      <w:r>
        <w:t>9,251.62</w:t>
      </w:r>
      <w:r>
        <w:rPr>
          <w:rFonts w:hint="eastAsia"/>
        </w:rPr>
        <w:t>元，该款项截止</w:t>
      </w:r>
      <w:r>
        <w:t>2023年8月9日</w:t>
      </w:r>
      <w:r>
        <w:rPr>
          <w:rFonts w:hint="eastAsia"/>
        </w:rPr>
        <w:t>已全部划出。</w:t>
      </w:r>
    </w:p>
    <w:p>
      <w:pPr>
        <w:pStyle w:val="24"/>
        <w:numPr>
          <w:ilvl w:val="0"/>
          <w:numId w:val="1"/>
        </w:numPr>
        <w:ind w:firstLineChars="0"/>
      </w:pPr>
      <w:r>
        <w:rPr>
          <w:rFonts w:hint="eastAsia"/>
        </w:rPr>
        <w:t>本基金最后运作日应付托管费为</w:t>
      </w:r>
      <w:r>
        <w:t>2,312.92</w:t>
      </w:r>
      <w:r>
        <w:rPr>
          <w:rFonts w:hint="eastAsia"/>
        </w:rPr>
        <w:t>元，该款项截止</w:t>
      </w:r>
      <w:r>
        <w:t>2023年8月9日</w:t>
      </w:r>
      <w:r>
        <w:rPr>
          <w:rFonts w:hint="eastAsia"/>
        </w:rPr>
        <w:t>已全部划出。</w:t>
      </w:r>
    </w:p>
    <w:p>
      <w:pPr>
        <w:pStyle w:val="24"/>
        <w:numPr>
          <w:ilvl w:val="0"/>
          <w:numId w:val="1"/>
        </w:numPr>
        <w:ind w:firstLineChars="0"/>
      </w:pPr>
      <w:r>
        <w:rPr>
          <w:rFonts w:hint="eastAsia"/>
        </w:rPr>
        <w:t>本基金最后运作日应付销售服务费为</w:t>
      </w:r>
      <w:r>
        <w:t>110.81</w:t>
      </w:r>
      <w:r>
        <w:rPr>
          <w:rFonts w:hint="eastAsia"/>
        </w:rPr>
        <w:t>元，该款项截止</w:t>
      </w:r>
      <w:r>
        <w:t>2023年8月9日</w:t>
      </w:r>
      <w:r>
        <w:rPr>
          <w:rFonts w:hint="eastAsia"/>
        </w:rPr>
        <w:t>已全部划出。</w:t>
      </w:r>
    </w:p>
    <w:p>
      <w:pPr>
        <w:pStyle w:val="24"/>
        <w:numPr>
          <w:ilvl w:val="0"/>
          <w:numId w:val="1"/>
        </w:numPr>
        <w:ind w:firstLineChars="0"/>
      </w:pPr>
      <w:r>
        <w:rPr>
          <w:rFonts w:hint="eastAsia"/>
        </w:rPr>
        <w:t>本基金最后运作日其他负债为</w:t>
      </w:r>
      <w:r>
        <w:t>478</w:t>
      </w:r>
      <w:r>
        <w:rPr>
          <w:rFonts w:hint="eastAsia"/>
        </w:rPr>
        <w:t>,9</w:t>
      </w:r>
      <w:r>
        <w:t>36.42</w:t>
      </w:r>
      <w:r>
        <w:rPr>
          <w:rFonts w:hint="eastAsia"/>
        </w:rPr>
        <w:t>元，包括应付赎回费、应付交易费用、预提清算律师费、预提审计费、预提信息披露费、预提中债登账户维护费和预提上清所账户维护费。其中：</w:t>
      </w:r>
    </w:p>
    <w:p>
      <w:pPr>
        <w:pStyle w:val="24"/>
        <w:ind w:left="420" w:firstLine="0" w:firstLineChars="0"/>
      </w:pPr>
      <w:r>
        <w:rPr>
          <w:rFonts w:hint="eastAsia"/>
        </w:rPr>
        <w:t>1）应付赎回费为</w:t>
      </w:r>
      <w:r>
        <w:t>23.63</w:t>
      </w:r>
      <w:r>
        <w:rPr>
          <w:rFonts w:hint="eastAsia"/>
        </w:rPr>
        <w:t>元，截止202</w:t>
      </w:r>
      <w:r>
        <w:t>3</w:t>
      </w:r>
      <w:r>
        <w:rPr>
          <w:rFonts w:hint="eastAsia"/>
        </w:rPr>
        <w:t>年</w:t>
      </w:r>
      <w:r>
        <w:t>7月27日</w:t>
      </w:r>
      <w:r>
        <w:rPr>
          <w:rFonts w:hint="eastAsia"/>
        </w:rPr>
        <w:t>该款项已全部划出。</w:t>
      </w:r>
    </w:p>
    <w:p>
      <w:pPr>
        <w:pStyle w:val="24"/>
      </w:pPr>
      <w:r>
        <w:rPr>
          <w:rFonts w:hint="eastAsia"/>
        </w:rPr>
        <w:t>2）应付交易费用为</w:t>
      </w:r>
      <w:r>
        <w:t>363,643.71</w:t>
      </w:r>
      <w:r>
        <w:rPr>
          <w:rFonts w:hint="eastAsia"/>
        </w:rPr>
        <w:t>元，其中应付佣金</w:t>
      </w:r>
      <w:r>
        <w:t>363,643.71</w:t>
      </w:r>
      <w:r>
        <w:rPr>
          <w:rFonts w:hint="eastAsia"/>
        </w:rPr>
        <w:t>元，清算期间产生应付佣金1</w:t>
      </w:r>
      <w:r>
        <w:t>3,903.29</w:t>
      </w:r>
      <w:r>
        <w:rPr>
          <w:rFonts w:hint="eastAsia"/>
        </w:rPr>
        <w:t>元，已于2</w:t>
      </w:r>
      <w:r>
        <w:t>023</w:t>
      </w:r>
      <w:r>
        <w:rPr>
          <w:rFonts w:hint="eastAsia"/>
        </w:rPr>
        <w:t>年7月2</w:t>
      </w:r>
      <w:r>
        <w:t>6</w:t>
      </w:r>
      <w:r>
        <w:rPr>
          <w:rFonts w:hint="eastAsia"/>
        </w:rPr>
        <w:t>日支付3</w:t>
      </w:r>
      <w:r>
        <w:t>43</w:t>
      </w:r>
      <w:r>
        <w:rPr>
          <w:rFonts w:hint="eastAsia"/>
        </w:rPr>
        <w:t>,</w:t>
      </w:r>
      <w:r>
        <w:t>041.44</w:t>
      </w:r>
      <w:r>
        <w:rPr>
          <w:rFonts w:hint="eastAsia"/>
        </w:rPr>
        <w:t>元，剩余款项预计将于2</w:t>
      </w:r>
      <w:r>
        <w:t>023</w:t>
      </w:r>
      <w:r>
        <w:rPr>
          <w:rFonts w:hint="eastAsia"/>
        </w:rPr>
        <w:t>年三季度支付；</w:t>
      </w:r>
    </w:p>
    <w:p>
      <w:pPr>
        <w:pStyle w:val="24"/>
      </w:pPr>
      <w:r>
        <w:t>3</w:t>
      </w:r>
      <w:r>
        <w:rPr>
          <w:rFonts w:hint="eastAsia"/>
        </w:rPr>
        <w:t>）应付清算律师费10</w:t>
      </w:r>
      <w:r>
        <w:t>,000.00</w:t>
      </w:r>
      <w:r>
        <w:rPr>
          <w:rFonts w:hint="eastAsia"/>
        </w:rPr>
        <w:t>元，该款项将于取得律师费发票后支付；</w:t>
      </w:r>
    </w:p>
    <w:p>
      <w:pPr>
        <w:pStyle w:val="24"/>
      </w:pPr>
      <w:r>
        <w:t>4</w:t>
      </w:r>
      <w:r>
        <w:rPr>
          <w:rFonts w:hint="eastAsia"/>
        </w:rPr>
        <w:t>）预提审计费</w:t>
      </w:r>
      <w:r>
        <w:t>33,500.00</w:t>
      </w:r>
      <w:r>
        <w:rPr>
          <w:rFonts w:hint="eastAsia"/>
        </w:rPr>
        <w:t>元，该款项将于取得审计费发票后支付；</w:t>
      </w:r>
    </w:p>
    <w:p>
      <w:pPr>
        <w:pStyle w:val="24"/>
      </w:pPr>
      <w:r>
        <w:t>5</w:t>
      </w:r>
      <w:r>
        <w:rPr>
          <w:rFonts w:hint="eastAsia"/>
        </w:rPr>
        <w:t>）预提信息披露费</w:t>
      </w:r>
      <w:r>
        <w:t>67,069.08</w:t>
      </w:r>
      <w:r>
        <w:rPr>
          <w:rFonts w:hint="eastAsia"/>
        </w:rPr>
        <w:t>元，该款项将于取得信息披露费发票后支付；</w:t>
      </w:r>
    </w:p>
    <w:p>
      <w:pPr>
        <w:pStyle w:val="24"/>
      </w:pPr>
      <w:r>
        <w:t>6</w:t>
      </w:r>
      <w:r>
        <w:rPr>
          <w:rFonts w:hint="eastAsia"/>
        </w:rPr>
        <w:t>）预提中债登账户维护费</w:t>
      </w:r>
      <w:r>
        <w:t>1,500.00</w:t>
      </w:r>
      <w:r>
        <w:rPr>
          <w:rFonts w:hint="eastAsia"/>
        </w:rPr>
        <w:t>元，该款项已于</w:t>
      </w:r>
      <w:r>
        <w:t>2023年8月4日</w:t>
      </w:r>
      <w:r>
        <w:rPr>
          <w:rFonts w:hint="eastAsia"/>
        </w:rPr>
        <w:t>支付；</w:t>
      </w:r>
    </w:p>
    <w:p>
      <w:pPr>
        <w:pStyle w:val="24"/>
      </w:pPr>
      <w:r>
        <w:t>7</w:t>
      </w:r>
      <w:r>
        <w:rPr>
          <w:rFonts w:hint="eastAsia"/>
        </w:rPr>
        <w:t>）预提上清所账户维护费</w:t>
      </w:r>
      <w:r>
        <w:t>3</w:t>
      </w:r>
      <w:r>
        <w:rPr>
          <w:rFonts w:hint="eastAsia"/>
        </w:rPr>
        <w:t>,</w:t>
      </w:r>
      <w:r>
        <w:t>200.00</w:t>
      </w:r>
      <w:r>
        <w:rPr>
          <w:rFonts w:hint="eastAsia"/>
        </w:rPr>
        <w:t>元，实际支付1,6</w:t>
      </w:r>
      <w:r>
        <w:t>00.00</w:t>
      </w:r>
      <w:r>
        <w:rPr>
          <w:rFonts w:hint="eastAsia"/>
        </w:rPr>
        <w:t>元，该款项已于</w:t>
      </w:r>
      <w:r>
        <w:t>2023年8月4日</w:t>
      </w:r>
      <w:r>
        <w:rPr>
          <w:rFonts w:hint="eastAsia"/>
        </w:rPr>
        <w:t>支付。</w:t>
      </w:r>
    </w:p>
    <w:bookmarkEnd w:id="46"/>
    <w:p>
      <w:pPr>
        <w:pStyle w:val="3"/>
        <w:spacing w:before="0" w:after="0"/>
        <w:rPr>
          <w:rFonts w:ascii="宋体" w:hAnsi="宋体" w:eastAsia="宋体"/>
          <w:kern w:val="0"/>
          <w:sz w:val="21"/>
          <w:szCs w:val="21"/>
        </w:rPr>
      </w:pPr>
      <w:bookmarkStart w:id="48" w:name="_Toc491963089"/>
      <w:r>
        <w:rPr>
          <w:rFonts w:hint="eastAsia" w:ascii="宋体" w:hAnsi="宋体" w:eastAsia="宋体"/>
          <w:kern w:val="0"/>
          <w:sz w:val="21"/>
          <w:szCs w:val="21"/>
        </w:rPr>
        <w:t>5.2 截至本次清算期结束日的剩余财产情况及剩余财产分配安排</w:t>
      </w:r>
      <w:bookmarkEnd w:id="48"/>
    </w:p>
    <w:tbl>
      <w:tblPr>
        <w:tblStyle w:val="13"/>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57"/>
        <w:gridCol w:w="4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7" w:type="dxa"/>
            <w:vAlign w:val="center"/>
          </w:tcPr>
          <w:p>
            <w:pPr>
              <w:pStyle w:val="11"/>
              <w:jc w:val="center"/>
              <w:rPr>
                <w:rFonts w:ascii="宋体" w:hAnsi="宋体" w:eastAsia="宋体"/>
                <w:b/>
                <w:color w:val="000000" w:themeColor="text1"/>
                <w:sz w:val="21"/>
                <w:szCs w:val="21"/>
                <w14:textFill>
                  <w14:solidFill>
                    <w14:schemeClr w14:val="tx1"/>
                  </w14:solidFill>
                </w14:textFill>
              </w:rPr>
            </w:pPr>
            <w:r>
              <w:rPr>
                <w:rFonts w:ascii="宋体" w:hAnsi="宋体" w:eastAsia="宋体"/>
                <w:b/>
                <w:color w:val="000000" w:themeColor="text1"/>
                <w:sz w:val="21"/>
                <w:szCs w:val="21"/>
                <w14:textFill>
                  <w14:solidFill>
                    <w14:schemeClr w14:val="tx1"/>
                  </w14:solidFill>
                </w14:textFill>
              </w:rPr>
              <w:t>项目</w:t>
            </w:r>
          </w:p>
        </w:tc>
        <w:tc>
          <w:tcPr>
            <w:tcW w:w="4115" w:type="dxa"/>
            <w:vAlign w:val="center"/>
          </w:tcPr>
          <w:p>
            <w:pPr>
              <w:pStyle w:val="11"/>
              <w:spacing w:before="0" w:beforeAutospacing="0" w:after="0" w:afterAutospacing="0"/>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7" w:type="dxa"/>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最后运作日2023年7月24日基金净资产</w:t>
            </w:r>
          </w:p>
        </w:tc>
        <w:tc>
          <w:tcPr>
            <w:tcW w:w="4115" w:type="dxa"/>
            <w:vAlign w:val="center"/>
          </w:tcPr>
          <w:p>
            <w:pPr>
              <w:ind w:left="-80"/>
              <w:jc w:val="right"/>
              <w:rPr>
                <w:rFonts w:ascii="Arial" w:hAnsi="Arial" w:cs="Arial"/>
                <w:b/>
                <w:color w:val="000000"/>
                <w:sz w:val="24"/>
                <w:highlight w:val="yellow"/>
              </w:rPr>
            </w:pPr>
            <w:r>
              <w:rPr>
                <w:rFonts w:ascii="Arial" w:hAnsi="Arial" w:cs="Arial"/>
                <w:b/>
                <w:color w:val="000000"/>
                <w:sz w:val="24"/>
              </w:rPr>
              <w:t>19,487,584.81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加：2023年7月25日确认申购对价</w:t>
            </w:r>
          </w:p>
        </w:tc>
        <w:tc>
          <w:tcPr>
            <w:tcW w:w="4115" w:type="dxa"/>
            <w:vAlign w:val="center"/>
          </w:tcPr>
          <w:p>
            <w:pPr>
              <w:ind w:left="-80"/>
              <w:jc w:val="right"/>
              <w:rPr>
                <w:rFonts w:ascii="Arial" w:hAnsi="Arial" w:cs="Arial"/>
                <w:bCs/>
                <w:color w:val="000000"/>
                <w:sz w:val="24"/>
              </w:rPr>
            </w:pPr>
            <w:r>
              <w:rPr>
                <w:rFonts w:hint="eastAsia" w:ascii="Arial" w:hAnsi="Arial" w:cs="Arial"/>
                <w:bCs/>
                <w:color w:val="000000"/>
                <w:sz w:val="24"/>
              </w:rPr>
              <w:t>7</w:t>
            </w:r>
            <w:r>
              <w:rPr>
                <w:rFonts w:ascii="Arial" w:hAnsi="Arial" w:cs="Arial"/>
                <w:bCs/>
                <w:color w:val="000000"/>
                <w:sz w:val="24"/>
              </w:rPr>
              <w:t>,338.33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减：2023年7月25日确认赎回对价</w:t>
            </w:r>
          </w:p>
        </w:tc>
        <w:tc>
          <w:tcPr>
            <w:tcW w:w="4115" w:type="dxa"/>
            <w:vAlign w:val="center"/>
          </w:tcPr>
          <w:p>
            <w:pPr>
              <w:ind w:left="-80"/>
              <w:jc w:val="right"/>
              <w:rPr>
                <w:rFonts w:ascii="Arial" w:hAnsi="Arial" w:cs="Arial"/>
                <w:bCs/>
                <w:color w:val="000000"/>
                <w:sz w:val="24"/>
              </w:rPr>
            </w:pPr>
            <w:r>
              <w:rPr>
                <w:rFonts w:hint="eastAsia" w:ascii="Arial" w:hAnsi="Arial" w:cs="Arial"/>
                <w:bCs/>
                <w:color w:val="000000"/>
                <w:sz w:val="24"/>
              </w:rPr>
              <w:t>3</w:t>
            </w:r>
            <w:r>
              <w:rPr>
                <w:rFonts w:ascii="Arial" w:hAnsi="Arial" w:cs="Arial"/>
                <w:bCs/>
                <w:color w:val="000000"/>
                <w:sz w:val="24"/>
              </w:rPr>
              <w:t>,821,949.26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加：清算期间净收益</w:t>
            </w:r>
          </w:p>
        </w:tc>
        <w:tc>
          <w:tcPr>
            <w:tcW w:w="4115" w:type="dxa"/>
            <w:shd w:val="clear" w:color="auto" w:fill="auto"/>
            <w:vAlign w:val="center"/>
          </w:tcPr>
          <w:p>
            <w:pPr>
              <w:ind w:left="-80"/>
              <w:jc w:val="right"/>
              <w:rPr>
                <w:rFonts w:ascii="Arial" w:hAnsi="Arial" w:cs="Arial"/>
                <w:color w:val="000000"/>
                <w:sz w:val="24"/>
              </w:rPr>
            </w:pPr>
            <w:r>
              <w:rPr>
                <w:rFonts w:ascii="Arial" w:hAnsi="Arial" w:cs="Arial"/>
                <w:color w:val="000000"/>
                <w:sz w:val="24"/>
              </w:rPr>
              <w:t>27,577.55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57" w:type="dxa"/>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二、2023年8月9日基金净资产</w:t>
            </w:r>
          </w:p>
        </w:tc>
        <w:tc>
          <w:tcPr>
            <w:tcW w:w="4115" w:type="dxa"/>
            <w:vAlign w:val="center"/>
          </w:tcPr>
          <w:p>
            <w:pPr>
              <w:ind w:left="-80"/>
              <w:jc w:val="right"/>
              <w:rPr>
                <w:rFonts w:ascii="Arial" w:hAnsi="Arial" w:cs="Arial"/>
                <w:b/>
                <w:color w:val="000000"/>
                <w:sz w:val="24"/>
                <w:highlight w:val="yellow"/>
              </w:rPr>
            </w:pPr>
            <w:r>
              <w:rPr>
                <w:rFonts w:ascii="Arial" w:hAnsi="Arial" w:cs="Arial"/>
                <w:b/>
                <w:color w:val="000000"/>
                <w:sz w:val="24"/>
              </w:rPr>
              <w:t>15,700,551.43</w:t>
            </w:r>
          </w:p>
        </w:tc>
      </w:tr>
    </w:tbl>
    <w:p>
      <w:pPr>
        <w:pStyle w:val="24"/>
      </w:pPr>
      <w:r>
        <w:rPr>
          <w:rFonts w:hint="eastAsia"/>
        </w:rPr>
        <w:t>截至本次清算期结束日2023年8月9日，本基金剩余财产为人民币</w:t>
      </w:r>
      <w:r>
        <w:t>15,700,551.43</w:t>
      </w:r>
      <w:r>
        <w:rPr>
          <w:rFonts w:hint="eastAsia"/>
        </w:rPr>
        <w:t>元。自本次清算期结束日次日202</w:t>
      </w:r>
      <w:r>
        <w:t>3</w:t>
      </w:r>
      <w:r>
        <w:rPr>
          <w:rFonts w:hint="eastAsia"/>
        </w:rPr>
        <w:t>年</w:t>
      </w:r>
      <w:r>
        <w:t>8</w:t>
      </w:r>
      <w:r>
        <w:rPr>
          <w:rFonts w:hint="eastAsia"/>
        </w:rPr>
        <w:t>月</w:t>
      </w:r>
      <w:r>
        <w:t>10</w:t>
      </w:r>
      <w:r>
        <w:rPr>
          <w:rFonts w:hint="eastAsia"/>
        </w:rPr>
        <w:t>日至清算款划出前一日的收益和费用由基金份额持有人享有和承担。</w:t>
      </w:r>
    </w:p>
    <w:p>
      <w:pPr>
        <w:spacing w:line="360" w:lineRule="auto"/>
        <w:ind w:firstLine="420" w:firstLineChars="200"/>
        <w:rPr>
          <w:rFonts w:ascii="宋体" w:hAnsi="宋体"/>
          <w:szCs w:val="21"/>
        </w:rPr>
      </w:pPr>
      <w:r>
        <w:rPr>
          <w:rFonts w:hint="eastAsia" w:ascii="宋体" w:hAnsi="宋体"/>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pPr>
        <w:pStyle w:val="2"/>
        <w:keepNext/>
        <w:keepLines/>
        <w:widowControl w:val="0"/>
        <w:spacing w:before="312" w:beforeLines="100" w:after="312" w:afterLines="100" w:line="360" w:lineRule="auto"/>
        <w:jc w:val="center"/>
        <w:rPr>
          <w:rStyle w:val="20"/>
          <w:rFonts w:ascii="宋体" w:hAnsi="宋体"/>
        </w:rPr>
      </w:pPr>
      <w:bookmarkStart w:id="49" w:name="_Toc225500055"/>
      <w:bookmarkStart w:id="50" w:name="_Toc361324903"/>
      <w:bookmarkStart w:id="51" w:name="_Toc476577307"/>
      <w:bookmarkStart w:id="52" w:name="_Toc409100108"/>
      <w:bookmarkStart w:id="53" w:name="_Toc484769810"/>
      <w:bookmarkStart w:id="54" w:name="_Toc409100471"/>
      <w:bookmarkStart w:id="55" w:name="_Toc491963090"/>
      <w:r>
        <w:rPr>
          <w:rStyle w:val="20"/>
          <w:rFonts w:hint="eastAsia" w:ascii="宋体" w:hAnsi="宋体"/>
        </w:rPr>
        <w:t>6、</w:t>
      </w:r>
      <w:r>
        <w:rPr>
          <w:rStyle w:val="20"/>
          <w:rFonts w:ascii="宋体" w:hAnsi="宋体"/>
        </w:rPr>
        <w:t>备查文件目录</w:t>
      </w:r>
      <w:bookmarkEnd w:id="49"/>
      <w:bookmarkEnd w:id="50"/>
      <w:bookmarkEnd w:id="51"/>
      <w:bookmarkEnd w:id="52"/>
      <w:bookmarkEnd w:id="53"/>
      <w:bookmarkEnd w:id="54"/>
      <w:bookmarkEnd w:id="55"/>
    </w:p>
    <w:p>
      <w:pPr>
        <w:pStyle w:val="3"/>
        <w:spacing w:before="0" w:after="0"/>
        <w:rPr>
          <w:rFonts w:ascii="宋体" w:hAnsi="宋体" w:eastAsia="宋体"/>
          <w:kern w:val="0"/>
          <w:sz w:val="21"/>
          <w:szCs w:val="21"/>
        </w:rPr>
      </w:pPr>
      <w:bookmarkStart w:id="56" w:name="_Toc491963091"/>
      <w:bookmarkStart w:id="57" w:name="_Toc409100472"/>
      <w:bookmarkStart w:id="58" w:name="_Toc484769811"/>
      <w:bookmarkStart w:id="59" w:name="_Toc484607315"/>
      <w:bookmarkStart w:id="60" w:name="_Toc361324904"/>
      <w:bookmarkStart w:id="61" w:name="_Toc409100109"/>
      <w:bookmarkStart w:id="62" w:name="_Toc476577308"/>
      <w:bookmarkStart w:id="63" w:name="_Toc483396843"/>
      <w:r>
        <w:rPr>
          <w:rFonts w:hint="eastAsia" w:ascii="宋体" w:hAnsi="宋体" w:eastAsia="宋体"/>
          <w:kern w:val="0"/>
          <w:sz w:val="21"/>
          <w:szCs w:val="21"/>
        </w:rPr>
        <w:t>6</w:t>
      </w:r>
      <w:r>
        <w:rPr>
          <w:rFonts w:ascii="宋体" w:hAnsi="宋体" w:eastAsia="宋体"/>
          <w:kern w:val="0"/>
          <w:sz w:val="21"/>
          <w:szCs w:val="21"/>
        </w:rPr>
        <w:t>.1 备查文件目录</w:t>
      </w:r>
      <w:bookmarkEnd w:id="56"/>
      <w:bookmarkEnd w:id="57"/>
      <w:bookmarkEnd w:id="58"/>
      <w:bookmarkEnd w:id="59"/>
      <w:bookmarkEnd w:id="60"/>
      <w:bookmarkEnd w:id="61"/>
      <w:bookmarkEnd w:id="62"/>
      <w:bookmarkEnd w:id="63"/>
    </w:p>
    <w:p>
      <w:pPr>
        <w:spacing w:line="360" w:lineRule="auto"/>
        <w:ind w:firstLine="420" w:firstLineChars="200"/>
        <w:rPr>
          <w:rFonts w:ascii="宋体" w:hAnsi="宋体"/>
          <w:szCs w:val="21"/>
        </w:rPr>
      </w:pPr>
      <w:r>
        <w:rPr>
          <w:rFonts w:hint="eastAsia" w:ascii="宋体" w:hAnsi="宋体"/>
          <w:color w:val="000000"/>
          <w:szCs w:val="21"/>
        </w:rPr>
        <w:t>6.</w:t>
      </w:r>
      <w:r>
        <w:rPr>
          <w:rFonts w:ascii="宋体" w:hAnsi="宋体"/>
          <w:color w:val="000000"/>
          <w:szCs w:val="21"/>
        </w:rPr>
        <w:t>1.1</w:t>
      </w:r>
      <w:r>
        <w:rPr>
          <w:rFonts w:hint="eastAsia"/>
        </w:rPr>
        <w:t>博时鑫瑞灵活配置混合型证券投资基金</w:t>
      </w:r>
      <w:r>
        <w:rPr>
          <w:rFonts w:ascii="宋体" w:hAnsi="宋体"/>
          <w:color w:val="000000"/>
          <w:szCs w:val="21"/>
        </w:rPr>
        <w:t>清算财务报表及审计报告</w:t>
      </w:r>
    </w:p>
    <w:p>
      <w:pPr>
        <w:spacing w:line="360" w:lineRule="auto"/>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.1.2</w:t>
      </w:r>
      <w:r>
        <w:rPr>
          <w:rFonts w:hint="eastAsia" w:ascii="宋体" w:hAnsi="宋体"/>
          <w:color w:val="000000"/>
          <w:szCs w:val="21"/>
        </w:rPr>
        <w:t>博时鑫瑞灵活配置混合型证券投资基金清算报告</w:t>
      </w:r>
      <w:r>
        <w:rPr>
          <w:rFonts w:ascii="宋体" w:hAnsi="宋体"/>
          <w:color w:val="000000"/>
          <w:szCs w:val="21"/>
        </w:rPr>
        <w:t>的法律意见书</w:t>
      </w:r>
    </w:p>
    <w:p>
      <w:pPr>
        <w:pStyle w:val="3"/>
        <w:spacing w:before="0" w:after="0"/>
        <w:rPr>
          <w:rFonts w:ascii="宋体" w:hAnsi="宋体" w:eastAsia="宋体"/>
          <w:kern w:val="0"/>
          <w:sz w:val="21"/>
          <w:szCs w:val="21"/>
        </w:rPr>
      </w:pPr>
      <w:bookmarkStart w:id="64" w:name="_Toc409100473"/>
      <w:bookmarkStart w:id="65" w:name="_Toc361324905"/>
      <w:bookmarkStart w:id="66" w:name="_Toc409100110"/>
      <w:bookmarkStart w:id="67" w:name="_Toc483396844"/>
      <w:bookmarkStart w:id="68" w:name="_Toc476577309"/>
      <w:bookmarkStart w:id="69" w:name="_Toc484769812"/>
      <w:bookmarkStart w:id="70" w:name="_Toc484607316"/>
      <w:bookmarkStart w:id="71" w:name="_Toc491963092"/>
      <w:r>
        <w:rPr>
          <w:rFonts w:hint="eastAsia" w:ascii="宋体" w:hAnsi="宋体" w:eastAsia="宋体"/>
          <w:kern w:val="0"/>
          <w:sz w:val="21"/>
          <w:szCs w:val="21"/>
        </w:rPr>
        <w:t>6</w:t>
      </w:r>
      <w:r>
        <w:rPr>
          <w:rFonts w:ascii="宋体" w:hAnsi="宋体" w:eastAsia="宋体"/>
          <w:kern w:val="0"/>
          <w:sz w:val="21"/>
          <w:szCs w:val="21"/>
        </w:rPr>
        <w:t>.2 存放地点</w:t>
      </w:r>
      <w:bookmarkEnd w:id="64"/>
      <w:bookmarkEnd w:id="65"/>
      <w:bookmarkEnd w:id="66"/>
      <w:bookmarkEnd w:id="67"/>
      <w:bookmarkEnd w:id="68"/>
      <w:bookmarkEnd w:id="69"/>
      <w:bookmarkEnd w:id="70"/>
      <w:bookmarkEnd w:id="71"/>
    </w:p>
    <w:p>
      <w:pPr>
        <w:spacing w:line="360" w:lineRule="auto"/>
        <w:ind w:firstLine="420" w:firstLineChars="200"/>
        <w:rPr>
          <w:rFonts w:ascii="宋体" w:hAnsi="宋体"/>
          <w:color w:val="000000"/>
          <w:szCs w:val="21"/>
        </w:rPr>
      </w:pPr>
      <w:r>
        <w:rPr>
          <w:rFonts w:ascii="宋体" w:hAnsi="宋体"/>
          <w:color w:val="000000"/>
          <w:szCs w:val="21"/>
        </w:rPr>
        <w:t>基金管理人、基金托管人处</w:t>
      </w:r>
    </w:p>
    <w:p>
      <w:pPr>
        <w:pStyle w:val="3"/>
        <w:spacing w:before="0" w:after="0"/>
        <w:rPr>
          <w:rFonts w:ascii="宋体" w:hAnsi="宋体" w:eastAsia="宋体"/>
          <w:kern w:val="0"/>
          <w:sz w:val="21"/>
          <w:szCs w:val="21"/>
        </w:rPr>
      </w:pPr>
      <w:bookmarkStart w:id="72" w:name="_Toc409100474"/>
      <w:bookmarkStart w:id="73" w:name="_Toc491963093"/>
      <w:bookmarkStart w:id="74" w:name="_Toc409100111"/>
      <w:bookmarkStart w:id="75" w:name="_Toc361324906"/>
      <w:bookmarkStart w:id="76" w:name="_Toc483396845"/>
      <w:bookmarkStart w:id="77" w:name="_Toc476577310"/>
      <w:bookmarkStart w:id="78" w:name="_Toc484607317"/>
      <w:bookmarkStart w:id="79" w:name="_Toc484769813"/>
      <w:r>
        <w:rPr>
          <w:rFonts w:hint="eastAsia" w:ascii="宋体" w:hAnsi="宋体" w:eastAsia="宋体"/>
          <w:kern w:val="0"/>
          <w:sz w:val="21"/>
          <w:szCs w:val="21"/>
        </w:rPr>
        <w:t>6</w:t>
      </w:r>
      <w:r>
        <w:rPr>
          <w:rFonts w:ascii="宋体" w:hAnsi="宋体" w:eastAsia="宋体"/>
          <w:kern w:val="0"/>
          <w:sz w:val="21"/>
          <w:szCs w:val="21"/>
        </w:rPr>
        <w:t>.3 查阅方式</w:t>
      </w:r>
      <w:bookmarkEnd w:id="72"/>
      <w:bookmarkEnd w:id="73"/>
      <w:bookmarkEnd w:id="74"/>
      <w:bookmarkEnd w:id="75"/>
      <w:bookmarkEnd w:id="76"/>
      <w:bookmarkEnd w:id="77"/>
      <w:bookmarkEnd w:id="78"/>
      <w:bookmarkEnd w:id="79"/>
    </w:p>
    <w:p>
      <w:pPr>
        <w:spacing w:line="360" w:lineRule="auto"/>
        <w:ind w:firstLine="420" w:firstLineChars="200"/>
        <w:rPr>
          <w:rFonts w:ascii="宋体" w:hAnsi="宋体"/>
          <w:color w:val="000000"/>
          <w:szCs w:val="21"/>
        </w:rPr>
      </w:pPr>
      <w:r>
        <w:rPr>
          <w:rFonts w:ascii="宋体" w:hAnsi="宋体"/>
          <w:color w:val="000000"/>
          <w:szCs w:val="21"/>
        </w:rPr>
        <w:t>投资者可在营业时间免费查阅，也可按工本费购买复印件</w:t>
      </w:r>
    </w:p>
    <w:p>
      <w:pPr>
        <w:spacing w:line="360" w:lineRule="auto"/>
        <w:ind w:firstLine="420" w:firstLineChars="200"/>
        <w:rPr>
          <w:rFonts w:ascii="宋体" w:hAnsi="宋体"/>
          <w:color w:val="000000"/>
          <w:szCs w:val="21"/>
        </w:rPr>
      </w:pPr>
      <w:r>
        <w:rPr>
          <w:rFonts w:ascii="宋体" w:hAnsi="宋体"/>
          <w:color w:val="000000"/>
          <w:szCs w:val="21"/>
        </w:rPr>
        <w:t>投资者对本报告书如有疑问，可咨询本基金管理人博时基金管理有限公司</w:t>
      </w:r>
    </w:p>
    <w:p>
      <w:pPr>
        <w:spacing w:line="360" w:lineRule="auto"/>
        <w:ind w:firstLine="420" w:firstLineChars="200"/>
        <w:rPr>
          <w:rFonts w:ascii="宋体" w:hAnsi="宋体"/>
          <w:color w:val="000000"/>
          <w:szCs w:val="21"/>
        </w:rPr>
      </w:pPr>
      <w:r>
        <w:rPr>
          <w:rFonts w:ascii="宋体" w:hAnsi="宋体"/>
          <w:color w:val="000000"/>
          <w:szCs w:val="21"/>
        </w:rPr>
        <w:t>博时一线通：95105568（免长途话费）</w:t>
      </w:r>
    </w:p>
    <w:p>
      <w:pPr>
        <w:spacing w:line="360" w:lineRule="auto"/>
        <w:ind w:firstLine="315" w:firstLineChars="150"/>
        <w:rPr>
          <w:rFonts w:ascii="宋体" w:hAnsi="宋体"/>
          <w:bCs/>
          <w:color w:val="000000" w:themeColor="text1"/>
          <w:szCs w:val="21"/>
          <w14:textFill>
            <w14:solidFill>
              <w14:schemeClr w14:val="tx1"/>
            </w14:solidFill>
          </w14:textFill>
        </w:rPr>
      </w:pPr>
    </w:p>
    <w:p>
      <w:pPr>
        <w:spacing w:line="360" w:lineRule="auto"/>
        <w:ind w:firstLine="315" w:firstLineChars="150"/>
        <w:rPr>
          <w:rFonts w:ascii="宋体" w:hAnsi="宋体"/>
          <w:bCs/>
          <w:color w:val="000000" w:themeColor="text1"/>
          <w:szCs w:val="21"/>
          <w14:textFill>
            <w14:solidFill>
              <w14:schemeClr w14:val="tx1"/>
            </w14:solidFill>
          </w14:textFill>
        </w:rPr>
      </w:pPr>
    </w:p>
    <w:p>
      <w:pPr>
        <w:spacing w:line="360" w:lineRule="auto"/>
        <w:ind w:firstLine="315" w:firstLineChars="150"/>
        <w:rPr>
          <w:rFonts w:ascii="宋体" w:hAnsi="宋体"/>
          <w:bCs/>
          <w:color w:val="000000" w:themeColor="text1"/>
          <w:szCs w:val="21"/>
          <w14:textFill>
            <w14:solidFill>
              <w14:schemeClr w14:val="tx1"/>
            </w14:solidFill>
          </w14:textFill>
        </w:rPr>
      </w:pPr>
    </w:p>
    <w:p>
      <w:pPr>
        <w:spacing w:line="360" w:lineRule="auto"/>
        <w:ind w:left="840"/>
        <w:jc w:val="right"/>
        <w:rPr>
          <w:rFonts w:ascii="宋体" w:hAnsi="宋体"/>
          <w:bCs/>
          <w:szCs w:val="21"/>
        </w:rPr>
      </w:pPr>
      <w:r>
        <w:rPr>
          <w:rFonts w:hint="eastAsia"/>
        </w:rPr>
        <w:t>博时鑫瑞灵活配置混合型证券投资基金</w:t>
      </w:r>
      <w:r>
        <w:rPr>
          <w:rFonts w:hint="eastAsia" w:ascii="宋体" w:hAnsi="宋体"/>
          <w:bCs/>
          <w:szCs w:val="21"/>
        </w:rPr>
        <w:t>基金财产清算小组</w:t>
      </w:r>
    </w:p>
    <w:p>
      <w:pPr>
        <w:wordWrap w:val="0"/>
        <w:spacing w:line="360" w:lineRule="auto"/>
        <w:ind w:left="840" w:right="420" w:firstLine="3885" w:firstLineChars="1850"/>
        <w:jc w:val="right"/>
      </w:pPr>
      <w:r>
        <w:rPr>
          <w:rFonts w:hint="eastAsia" w:ascii="宋体" w:hAnsi="宋体"/>
          <w:bCs/>
          <w:szCs w:val="21"/>
        </w:rPr>
        <w:t>二〇二三年八月</w:t>
      </w:r>
      <w:r>
        <w:rPr>
          <w:rFonts w:hint="eastAsia" w:ascii="宋体" w:hAnsi="宋体"/>
          <w:bCs/>
          <w:szCs w:val="21"/>
          <w:lang w:val="en-US" w:eastAsia="zh-CN"/>
        </w:rPr>
        <w:t>十九</w:t>
      </w:r>
      <w:r>
        <w:rPr>
          <w:rFonts w:hint="eastAsia" w:ascii="宋体" w:hAnsi="宋体"/>
          <w:bCs/>
          <w:szCs w:val="21"/>
        </w:rPr>
        <w:t>日</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宋体棬　僬　.">
    <w:altName w:val="宋体"/>
    <w:panose1 w:val="00000000000000000000"/>
    <w:charset w:val="86"/>
    <w:family w:val="roman"/>
    <w:pitch w:val="default"/>
    <w:sig w:usb0="00000000" w:usb1="00000000" w:usb2="00000010" w:usb3="00000000" w:csb0="00040000" w:csb1="00000000"/>
  </w:font>
  <w:font w:name="Sitka Display">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446840"/>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tabs>
        <w:tab w:val="left" w:pos="3105"/>
        <w:tab w:val="right" w:pos="9090"/>
      </w:tabs>
      <w:jc w:val="left"/>
    </w:pPr>
    <w:r>
      <w:rPr>
        <w:sz w:val="21"/>
        <w:szCs w:val="21"/>
      </w:rPr>
      <w:tab/>
    </w:r>
    <w:r>
      <w:rPr>
        <w:sz w:val="21"/>
        <w:szCs w:val="21"/>
      </w:rPr>
      <w:tab/>
    </w:r>
    <w:r>
      <w:drawing>
        <wp:anchor distT="0" distB="0" distL="114300" distR="114300" simplePos="0" relativeHeight="251660288"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tabs>
        <w:tab w:val="left" w:pos="3105"/>
        <w:tab w:val="right" w:pos="9090"/>
      </w:tabs>
      <w:jc w:val="left"/>
    </w:pPr>
    <w:r>
      <w:rPr>
        <w:sz w:val="21"/>
        <w:szCs w:val="21"/>
      </w:rPr>
      <w:tab/>
    </w:r>
    <w:r>
      <w:rPr>
        <w:sz w:val="21"/>
        <w:szCs w:val="21"/>
      </w:rPr>
      <w:tab/>
    </w:r>
    <w: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2B6DB"/>
    <w:multiLevelType w:val="singleLevel"/>
    <w:tmpl w:val="2C12B6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6A"/>
    <w:rsid w:val="0000095F"/>
    <w:rsid w:val="00002E59"/>
    <w:rsid w:val="00010372"/>
    <w:rsid w:val="000137FB"/>
    <w:rsid w:val="000155F8"/>
    <w:rsid w:val="00046922"/>
    <w:rsid w:val="0004747A"/>
    <w:rsid w:val="00047E84"/>
    <w:rsid w:val="00050AB3"/>
    <w:rsid w:val="00051D70"/>
    <w:rsid w:val="000539E5"/>
    <w:rsid w:val="00066462"/>
    <w:rsid w:val="000843E5"/>
    <w:rsid w:val="00090702"/>
    <w:rsid w:val="0009708C"/>
    <w:rsid w:val="000A67AD"/>
    <w:rsid w:val="000C1A89"/>
    <w:rsid w:val="000C581F"/>
    <w:rsid w:val="000D0010"/>
    <w:rsid w:val="000D2477"/>
    <w:rsid w:val="000E06DB"/>
    <w:rsid w:val="000E7625"/>
    <w:rsid w:val="000E7AF8"/>
    <w:rsid w:val="000F0DB6"/>
    <w:rsid w:val="000F2AF4"/>
    <w:rsid w:val="000F38A7"/>
    <w:rsid w:val="00106078"/>
    <w:rsid w:val="00107B92"/>
    <w:rsid w:val="001102C9"/>
    <w:rsid w:val="00114B50"/>
    <w:rsid w:val="0012239E"/>
    <w:rsid w:val="00125BA9"/>
    <w:rsid w:val="001344F0"/>
    <w:rsid w:val="001461B5"/>
    <w:rsid w:val="001469B6"/>
    <w:rsid w:val="00155FBE"/>
    <w:rsid w:val="00167779"/>
    <w:rsid w:val="0017203A"/>
    <w:rsid w:val="001837B1"/>
    <w:rsid w:val="00192433"/>
    <w:rsid w:val="001943DA"/>
    <w:rsid w:val="001A25D5"/>
    <w:rsid w:val="001A6186"/>
    <w:rsid w:val="001A64D9"/>
    <w:rsid w:val="001A7F35"/>
    <w:rsid w:val="001B142B"/>
    <w:rsid w:val="001B307F"/>
    <w:rsid w:val="001B6418"/>
    <w:rsid w:val="001C3A12"/>
    <w:rsid w:val="001C5110"/>
    <w:rsid w:val="001C5F1E"/>
    <w:rsid w:val="001C66F4"/>
    <w:rsid w:val="001C70C9"/>
    <w:rsid w:val="001E1155"/>
    <w:rsid w:val="001E7569"/>
    <w:rsid w:val="001F5482"/>
    <w:rsid w:val="0020164A"/>
    <w:rsid w:val="002025EA"/>
    <w:rsid w:val="002055DE"/>
    <w:rsid w:val="00214EB4"/>
    <w:rsid w:val="00234000"/>
    <w:rsid w:val="0023623C"/>
    <w:rsid w:val="0025064B"/>
    <w:rsid w:val="00256EF7"/>
    <w:rsid w:val="002653B2"/>
    <w:rsid w:val="00265EEB"/>
    <w:rsid w:val="002661A0"/>
    <w:rsid w:val="00270F6F"/>
    <w:rsid w:val="0027500E"/>
    <w:rsid w:val="002873D1"/>
    <w:rsid w:val="0029193B"/>
    <w:rsid w:val="00293C58"/>
    <w:rsid w:val="002A1D5C"/>
    <w:rsid w:val="002B081E"/>
    <w:rsid w:val="002B3940"/>
    <w:rsid w:val="002B3A7F"/>
    <w:rsid w:val="002B64F0"/>
    <w:rsid w:val="002C206A"/>
    <w:rsid w:val="002C4039"/>
    <w:rsid w:val="002C59B8"/>
    <w:rsid w:val="002D012A"/>
    <w:rsid w:val="002D04D0"/>
    <w:rsid w:val="002D2D31"/>
    <w:rsid w:val="002E63F9"/>
    <w:rsid w:val="002F02F0"/>
    <w:rsid w:val="00300434"/>
    <w:rsid w:val="003018B1"/>
    <w:rsid w:val="00301ED8"/>
    <w:rsid w:val="00302213"/>
    <w:rsid w:val="003027CE"/>
    <w:rsid w:val="00302C6F"/>
    <w:rsid w:val="003163C8"/>
    <w:rsid w:val="0031782A"/>
    <w:rsid w:val="0033087F"/>
    <w:rsid w:val="0033114F"/>
    <w:rsid w:val="00352159"/>
    <w:rsid w:val="00352E52"/>
    <w:rsid w:val="0035409D"/>
    <w:rsid w:val="00355AF9"/>
    <w:rsid w:val="00355DCE"/>
    <w:rsid w:val="003835CB"/>
    <w:rsid w:val="00385C7D"/>
    <w:rsid w:val="00386448"/>
    <w:rsid w:val="00394BF4"/>
    <w:rsid w:val="003A1F80"/>
    <w:rsid w:val="003A6373"/>
    <w:rsid w:val="003B1FF9"/>
    <w:rsid w:val="003C5425"/>
    <w:rsid w:val="003C62D7"/>
    <w:rsid w:val="003E2B75"/>
    <w:rsid w:val="003E4B0D"/>
    <w:rsid w:val="003E5A9A"/>
    <w:rsid w:val="004043E4"/>
    <w:rsid w:val="0040561C"/>
    <w:rsid w:val="00417206"/>
    <w:rsid w:val="00434B13"/>
    <w:rsid w:val="004361C8"/>
    <w:rsid w:val="00436D7F"/>
    <w:rsid w:val="0043770C"/>
    <w:rsid w:val="00440D43"/>
    <w:rsid w:val="0044360C"/>
    <w:rsid w:val="0044397B"/>
    <w:rsid w:val="004454E6"/>
    <w:rsid w:val="00453128"/>
    <w:rsid w:val="00455ED0"/>
    <w:rsid w:val="00456810"/>
    <w:rsid w:val="004850AB"/>
    <w:rsid w:val="00492EFF"/>
    <w:rsid w:val="00497D10"/>
    <w:rsid w:val="004A1313"/>
    <w:rsid w:val="004A4000"/>
    <w:rsid w:val="004A4328"/>
    <w:rsid w:val="004C1BAD"/>
    <w:rsid w:val="004C29F5"/>
    <w:rsid w:val="004C5243"/>
    <w:rsid w:val="004C733E"/>
    <w:rsid w:val="004D1FD9"/>
    <w:rsid w:val="004D6178"/>
    <w:rsid w:val="004D72DD"/>
    <w:rsid w:val="004E0519"/>
    <w:rsid w:val="004F7FB1"/>
    <w:rsid w:val="00502816"/>
    <w:rsid w:val="00506722"/>
    <w:rsid w:val="00516AB2"/>
    <w:rsid w:val="00521F84"/>
    <w:rsid w:val="00523B76"/>
    <w:rsid w:val="0053119E"/>
    <w:rsid w:val="00534804"/>
    <w:rsid w:val="005454AF"/>
    <w:rsid w:val="00545C1B"/>
    <w:rsid w:val="00553DD3"/>
    <w:rsid w:val="00564FC0"/>
    <w:rsid w:val="005660DC"/>
    <w:rsid w:val="005666E0"/>
    <w:rsid w:val="00570EEB"/>
    <w:rsid w:val="00573CCA"/>
    <w:rsid w:val="00586C11"/>
    <w:rsid w:val="00587EB1"/>
    <w:rsid w:val="00591E34"/>
    <w:rsid w:val="005A5F19"/>
    <w:rsid w:val="005B00B8"/>
    <w:rsid w:val="005B1DA8"/>
    <w:rsid w:val="005B3525"/>
    <w:rsid w:val="005B7865"/>
    <w:rsid w:val="005B7910"/>
    <w:rsid w:val="005C2636"/>
    <w:rsid w:val="005D0017"/>
    <w:rsid w:val="005D2BBF"/>
    <w:rsid w:val="005D2EBB"/>
    <w:rsid w:val="005D3C26"/>
    <w:rsid w:val="005E066D"/>
    <w:rsid w:val="005E18FD"/>
    <w:rsid w:val="005E5097"/>
    <w:rsid w:val="005F07CE"/>
    <w:rsid w:val="00602945"/>
    <w:rsid w:val="00606624"/>
    <w:rsid w:val="00612741"/>
    <w:rsid w:val="00633374"/>
    <w:rsid w:val="0063424C"/>
    <w:rsid w:val="00635B20"/>
    <w:rsid w:val="00636096"/>
    <w:rsid w:val="00640A36"/>
    <w:rsid w:val="006458AE"/>
    <w:rsid w:val="00652E32"/>
    <w:rsid w:val="006560FD"/>
    <w:rsid w:val="00656396"/>
    <w:rsid w:val="00661C81"/>
    <w:rsid w:val="00662751"/>
    <w:rsid w:val="006631AD"/>
    <w:rsid w:val="00665EC2"/>
    <w:rsid w:val="00677478"/>
    <w:rsid w:val="00680A32"/>
    <w:rsid w:val="006812F9"/>
    <w:rsid w:val="0068199C"/>
    <w:rsid w:val="006845C6"/>
    <w:rsid w:val="0069179C"/>
    <w:rsid w:val="00695712"/>
    <w:rsid w:val="006A0CA9"/>
    <w:rsid w:val="006A3832"/>
    <w:rsid w:val="006A3E46"/>
    <w:rsid w:val="006C0166"/>
    <w:rsid w:val="006C1070"/>
    <w:rsid w:val="006C1BF7"/>
    <w:rsid w:val="006C4287"/>
    <w:rsid w:val="006C4780"/>
    <w:rsid w:val="006D14C9"/>
    <w:rsid w:val="006D3ABB"/>
    <w:rsid w:val="006D76DC"/>
    <w:rsid w:val="006E1D19"/>
    <w:rsid w:val="006E6E99"/>
    <w:rsid w:val="006F57A7"/>
    <w:rsid w:val="006F661D"/>
    <w:rsid w:val="006F6EDE"/>
    <w:rsid w:val="007047E3"/>
    <w:rsid w:val="00711C49"/>
    <w:rsid w:val="00714FE5"/>
    <w:rsid w:val="00716C2D"/>
    <w:rsid w:val="007249F8"/>
    <w:rsid w:val="007302D4"/>
    <w:rsid w:val="00733FD6"/>
    <w:rsid w:val="007521DF"/>
    <w:rsid w:val="007654B6"/>
    <w:rsid w:val="00765C51"/>
    <w:rsid w:val="00772D62"/>
    <w:rsid w:val="00772F4C"/>
    <w:rsid w:val="00784118"/>
    <w:rsid w:val="007A111F"/>
    <w:rsid w:val="007A1382"/>
    <w:rsid w:val="007A40C3"/>
    <w:rsid w:val="007A4276"/>
    <w:rsid w:val="007B4520"/>
    <w:rsid w:val="007B4D24"/>
    <w:rsid w:val="007C073F"/>
    <w:rsid w:val="007C1E66"/>
    <w:rsid w:val="007C224B"/>
    <w:rsid w:val="007C390F"/>
    <w:rsid w:val="007C7E15"/>
    <w:rsid w:val="007D01A7"/>
    <w:rsid w:val="007D2C21"/>
    <w:rsid w:val="007D368E"/>
    <w:rsid w:val="007D4AE3"/>
    <w:rsid w:val="00800E5D"/>
    <w:rsid w:val="00801C52"/>
    <w:rsid w:val="008061B0"/>
    <w:rsid w:val="00815886"/>
    <w:rsid w:val="00815FC5"/>
    <w:rsid w:val="00831568"/>
    <w:rsid w:val="0083244F"/>
    <w:rsid w:val="0083288E"/>
    <w:rsid w:val="00834CE7"/>
    <w:rsid w:val="00834E30"/>
    <w:rsid w:val="0083794F"/>
    <w:rsid w:val="00845FBE"/>
    <w:rsid w:val="00846CD0"/>
    <w:rsid w:val="00862C4E"/>
    <w:rsid w:val="00872860"/>
    <w:rsid w:val="00873ADD"/>
    <w:rsid w:val="00876515"/>
    <w:rsid w:val="00880993"/>
    <w:rsid w:val="00881D41"/>
    <w:rsid w:val="00883771"/>
    <w:rsid w:val="008900EC"/>
    <w:rsid w:val="00893D5F"/>
    <w:rsid w:val="00895AEC"/>
    <w:rsid w:val="008A2534"/>
    <w:rsid w:val="008A2AC1"/>
    <w:rsid w:val="008A2CED"/>
    <w:rsid w:val="008A3541"/>
    <w:rsid w:val="008A37AA"/>
    <w:rsid w:val="008A3F14"/>
    <w:rsid w:val="008B2371"/>
    <w:rsid w:val="008B50E8"/>
    <w:rsid w:val="008B712C"/>
    <w:rsid w:val="008D28CA"/>
    <w:rsid w:val="008E72AB"/>
    <w:rsid w:val="008F313A"/>
    <w:rsid w:val="00912B1F"/>
    <w:rsid w:val="0091569A"/>
    <w:rsid w:val="009164BB"/>
    <w:rsid w:val="00916F0F"/>
    <w:rsid w:val="00924654"/>
    <w:rsid w:val="00925214"/>
    <w:rsid w:val="00933482"/>
    <w:rsid w:val="00933D33"/>
    <w:rsid w:val="00943B2B"/>
    <w:rsid w:val="00944AC0"/>
    <w:rsid w:val="009565F7"/>
    <w:rsid w:val="00971989"/>
    <w:rsid w:val="00980526"/>
    <w:rsid w:val="00981824"/>
    <w:rsid w:val="009837FE"/>
    <w:rsid w:val="00987D82"/>
    <w:rsid w:val="00993E2D"/>
    <w:rsid w:val="0099607C"/>
    <w:rsid w:val="00997E04"/>
    <w:rsid w:val="009A237A"/>
    <w:rsid w:val="009A2FA6"/>
    <w:rsid w:val="009A499E"/>
    <w:rsid w:val="009B6EC1"/>
    <w:rsid w:val="009C3DA7"/>
    <w:rsid w:val="009D2820"/>
    <w:rsid w:val="009D2D6F"/>
    <w:rsid w:val="009D4DD9"/>
    <w:rsid w:val="009D5A9F"/>
    <w:rsid w:val="009E6708"/>
    <w:rsid w:val="009E6B28"/>
    <w:rsid w:val="009F2C95"/>
    <w:rsid w:val="009F6E54"/>
    <w:rsid w:val="00A01676"/>
    <w:rsid w:val="00A10A3B"/>
    <w:rsid w:val="00A10D1C"/>
    <w:rsid w:val="00A1145E"/>
    <w:rsid w:val="00A127C9"/>
    <w:rsid w:val="00A13B45"/>
    <w:rsid w:val="00A14A60"/>
    <w:rsid w:val="00A206FC"/>
    <w:rsid w:val="00A23D46"/>
    <w:rsid w:val="00A41815"/>
    <w:rsid w:val="00A42F5D"/>
    <w:rsid w:val="00A44F0D"/>
    <w:rsid w:val="00A46614"/>
    <w:rsid w:val="00A466EF"/>
    <w:rsid w:val="00A46D24"/>
    <w:rsid w:val="00A50F44"/>
    <w:rsid w:val="00A53B22"/>
    <w:rsid w:val="00A5445B"/>
    <w:rsid w:val="00A61272"/>
    <w:rsid w:val="00A7090F"/>
    <w:rsid w:val="00A716AE"/>
    <w:rsid w:val="00A728B4"/>
    <w:rsid w:val="00A738AB"/>
    <w:rsid w:val="00A74683"/>
    <w:rsid w:val="00A7603B"/>
    <w:rsid w:val="00A80DC2"/>
    <w:rsid w:val="00A83207"/>
    <w:rsid w:val="00A85B96"/>
    <w:rsid w:val="00A862A8"/>
    <w:rsid w:val="00A91EE9"/>
    <w:rsid w:val="00A92C7B"/>
    <w:rsid w:val="00A93929"/>
    <w:rsid w:val="00A96447"/>
    <w:rsid w:val="00AA2704"/>
    <w:rsid w:val="00AA33F7"/>
    <w:rsid w:val="00AA39EC"/>
    <w:rsid w:val="00AA6506"/>
    <w:rsid w:val="00AA6C39"/>
    <w:rsid w:val="00AB4223"/>
    <w:rsid w:val="00AB579F"/>
    <w:rsid w:val="00AC75BE"/>
    <w:rsid w:val="00AD127D"/>
    <w:rsid w:val="00AD1682"/>
    <w:rsid w:val="00AE14B8"/>
    <w:rsid w:val="00AE43CE"/>
    <w:rsid w:val="00AE5F6A"/>
    <w:rsid w:val="00AE7A23"/>
    <w:rsid w:val="00AF06A4"/>
    <w:rsid w:val="00B01D1F"/>
    <w:rsid w:val="00B01E39"/>
    <w:rsid w:val="00B04DF8"/>
    <w:rsid w:val="00B062E1"/>
    <w:rsid w:val="00B12304"/>
    <w:rsid w:val="00B12398"/>
    <w:rsid w:val="00B12E00"/>
    <w:rsid w:val="00B16F0F"/>
    <w:rsid w:val="00B233AC"/>
    <w:rsid w:val="00B23421"/>
    <w:rsid w:val="00B262DD"/>
    <w:rsid w:val="00B326DE"/>
    <w:rsid w:val="00B339F1"/>
    <w:rsid w:val="00B43A95"/>
    <w:rsid w:val="00B47AF7"/>
    <w:rsid w:val="00B52FB8"/>
    <w:rsid w:val="00B63FC4"/>
    <w:rsid w:val="00B65F7A"/>
    <w:rsid w:val="00B76BFB"/>
    <w:rsid w:val="00B92205"/>
    <w:rsid w:val="00BB4559"/>
    <w:rsid w:val="00BB63F5"/>
    <w:rsid w:val="00BB738A"/>
    <w:rsid w:val="00BD1E5B"/>
    <w:rsid w:val="00BD3551"/>
    <w:rsid w:val="00BD659F"/>
    <w:rsid w:val="00BE252F"/>
    <w:rsid w:val="00BE3F6E"/>
    <w:rsid w:val="00BE4A70"/>
    <w:rsid w:val="00BE63B2"/>
    <w:rsid w:val="00BF1AD8"/>
    <w:rsid w:val="00BF5EF2"/>
    <w:rsid w:val="00BF72CC"/>
    <w:rsid w:val="00C04232"/>
    <w:rsid w:val="00C04BC2"/>
    <w:rsid w:val="00C11810"/>
    <w:rsid w:val="00C129EC"/>
    <w:rsid w:val="00C135C6"/>
    <w:rsid w:val="00C14A9A"/>
    <w:rsid w:val="00C16E1D"/>
    <w:rsid w:val="00C210B3"/>
    <w:rsid w:val="00C34DAD"/>
    <w:rsid w:val="00C403BF"/>
    <w:rsid w:val="00C4132F"/>
    <w:rsid w:val="00C435E3"/>
    <w:rsid w:val="00C525B7"/>
    <w:rsid w:val="00C53EB7"/>
    <w:rsid w:val="00C54720"/>
    <w:rsid w:val="00C63121"/>
    <w:rsid w:val="00C645B3"/>
    <w:rsid w:val="00C70690"/>
    <w:rsid w:val="00C80BA7"/>
    <w:rsid w:val="00C80C26"/>
    <w:rsid w:val="00C81D4D"/>
    <w:rsid w:val="00C8237F"/>
    <w:rsid w:val="00C8253B"/>
    <w:rsid w:val="00C94884"/>
    <w:rsid w:val="00CA06AD"/>
    <w:rsid w:val="00CA1F33"/>
    <w:rsid w:val="00CA5C95"/>
    <w:rsid w:val="00CA6D80"/>
    <w:rsid w:val="00CC654C"/>
    <w:rsid w:val="00CC6E89"/>
    <w:rsid w:val="00CD5F8A"/>
    <w:rsid w:val="00CD7E4B"/>
    <w:rsid w:val="00CE0D88"/>
    <w:rsid w:val="00CE52AA"/>
    <w:rsid w:val="00CE593E"/>
    <w:rsid w:val="00CE79D7"/>
    <w:rsid w:val="00CF22FE"/>
    <w:rsid w:val="00D00B39"/>
    <w:rsid w:val="00D03B3C"/>
    <w:rsid w:val="00D05B80"/>
    <w:rsid w:val="00D14280"/>
    <w:rsid w:val="00D2112B"/>
    <w:rsid w:val="00D2538B"/>
    <w:rsid w:val="00D271CC"/>
    <w:rsid w:val="00D276EE"/>
    <w:rsid w:val="00D454FE"/>
    <w:rsid w:val="00D54D70"/>
    <w:rsid w:val="00D55E3E"/>
    <w:rsid w:val="00D77529"/>
    <w:rsid w:val="00D87A90"/>
    <w:rsid w:val="00D908BA"/>
    <w:rsid w:val="00D9606B"/>
    <w:rsid w:val="00DA1A04"/>
    <w:rsid w:val="00DA44CC"/>
    <w:rsid w:val="00DA69B2"/>
    <w:rsid w:val="00DA6F9B"/>
    <w:rsid w:val="00DB3DDE"/>
    <w:rsid w:val="00DB41A3"/>
    <w:rsid w:val="00DD0701"/>
    <w:rsid w:val="00DD2101"/>
    <w:rsid w:val="00DE27CD"/>
    <w:rsid w:val="00DF0830"/>
    <w:rsid w:val="00DF0A36"/>
    <w:rsid w:val="00DF286B"/>
    <w:rsid w:val="00E036D0"/>
    <w:rsid w:val="00E03B99"/>
    <w:rsid w:val="00E04E1A"/>
    <w:rsid w:val="00E120A8"/>
    <w:rsid w:val="00E15DD1"/>
    <w:rsid w:val="00E21B3B"/>
    <w:rsid w:val="00E32073"/>
    <w:rsid w:val="00E3710A"/>
    <w:rsid w:val="00E40C23"/>
    <w:rsid w:val="00E42A7D"/>
    <w:rsid w:val="00E444C3"/>
    <w:rsid w:val="00E457A2"/>
    <w:rsid w:val="00E6420A"/>
    <w:rsid w:val="00E6428E"/>
    <w:rsid w:val="00E667C5"/>
    <w:rsid w:val="00E7448F"/>
    <w:rsid w:val="00E83CB9"/>
    <w:rsid w:val="00E85B5E"/>
    <w:rsid w:val="00E875CB"/>
    <w:rsid w:val="00E91065"/>
    <w:rsid w:val="00E91443"/>
    <w:rsid w:val="00E94390"/>
    <w:rsid w:val="00EA308B"/>
    <w:rsid w:val="00EB17F4"/>
    <w:rsid w:val="00EC7D1C"/>
    <w:rsid w:val="00F00548"/>
    <w:rsid w:val="00F01202"/>
    <w:rsid w:val="00F03A4C"/>
    <w:rsid w:val="00F12507"/>
    <w:rsid w:val="00F17F4A"/>
    <w:rsid w:val="00F25510"/>
    <w:rsid w:val="00F31C2E"/>
    <w:rsid w:val="00F349E5"/>
    <w:rsid w:val="00F361C0"/>
    <w:rsid w:val="00F374DD"/>
    <w:rsid w:val="00F4536A"/>
    <w:rsid w:val="00F45604"/>
    <w:rsid w:val="00F52468"/>
    <w:rsid w:val="00F52622"/>
    <w:rsid w:val="00F869AE"/>
    <w:rsid w:val="00F94A1D"/>
    <w:rsid w:val="00FA203B"/>
    <w:rsid w:val="00FB4D56"/>
    <w:rsid w:val="00FB67B2"/>
    <w:rsid w:val="00FB68D0"/>
    <w:rsid w:val="00FC2B87"/>
    <w:rsid w:val="00FC4865"/>
    <w:rsid w:val="00FC7F9D"/>
    <w:rsid w:val="00FD4D5C"/>
    <w:rsid w:val="00FE3491"/>
    <w:rsid w:val="00FE7CDD"/>
    <w:rsid w:val="00FF0230"/>
    <w:rsid w:val="00FF0869"/>
    <w:rsid w:val="00FF26D8"/>
    <w:rsid w:val="00FF7E80"/>
    <w:rsid w:val="047977D2"/>
    <w:rsid w:val="04F7265D"/>
    <w:rsid w:val="07943078"/>
    <w:rsid w:val="091D63A4"/>
    <w:rsid w:val="0E5C4E09"/>
    <w:rsid w:val="10831DE4"/>
    <w:rsid w:val="12361C54"/>
    <w:rsid w:val="15964042"/>
    <w:rsid w:val="1FAB1BAE"/>
    <w:rsid w:val="222B67FB"/>
    <w:rsid w:val="233E198A"/>
    <w:rsid w:val="3DD178DA"/>
    <w:rsid w:val="437D2DDC"/>
    <w:rsid w:val="4D2475F0"/>
    <w:rsid w:val="67D567FE"/>
    <w:rsid w:val="6A6212EC"/>
    <w:rsid w:val="752944B8"/>
    <w:rsid w:val="774E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widowControl/>
      <w:jc w:val="left"/>
      <w:outlineLvl w:val="0"/>
    </w:pPr>
    <w:rPr>
      <w:kern w:val="0"/>
      <w:sz w:val="24"/>
      <w:szCs w:val="20"/>
      <w:lang w:val="en-GB"/>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semiHidden/>
    <w:unhideWhenUsed/>
    <w:qFormat/>
    <w:uiPriority w:val="99"/>
    <w:pPr>
      <w:jc w:val="left"/>
    </w:pPr>
  </w:style>
  <w:style w:type="paragraph" w:styleId="5">
    <w:name w:val="Body Text Indent 2"/>
    <w:basedOn w:val="1"/>
    <w:link w:val="27"/>
    <w:qFormat/>
    <w:uiPriority w:val="0"/>
    <w:pPr>
      <w:spacing w:line="560" w:lineRule="exact"/>
      <w:ind w:firstLine="480" w:firstLineChars="200"/>
    </w:pPr>
    <w:rPr>
      <w:rFonts w:ascii="宋体" w:hAnsi="宋体"/>
      <w:color w:val="FF0000"/>
      <w:sz w:val="24"/>
    </w:rPr>
  </w:style>
  <w:style w:type="paragraph" w:styleId="6">
    <w:name w:val="Balloon Text"/>
    <w:basedOn w:val="1"/>
    <w:link w:val="3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lang w:val="en-GB" w:eastAsia="en-US"/>
    </w:rPr>
  </w:style>
  <w:style w:type="paragraph" w:styleId="12">
    <w:name w:val="annotation subject"/>
    <w:basedOn w:val="4"/>
    <w:next w:val="4"/>
    <w:link w:val="30"/>
    <w:semiHidden/>
    <w:unhideWhenUsed/>
    <w:qFormat/>
    <w:uiPriority w:val="99"/>
    <w:rPr>
      <w:b/>
      <w:bCs/>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8"/>
    <w:qFormat/>
    <w:uiPriority w:val="0"/>
    <w:rPr>
      <w:sz w:val="18"/>
      <w:szCs w:val="18"/>
    </w:rPr>
  </w:style>
  <w:style w:type="character" w:customStyle="1" w:styleId="18">
    <w:name w:val="页脚 字符"/>
    <w:basedOn w:val="14"/>
    <w:link w:val="7"/>
    <w:qFormat/>
    <w:uiPriority w:val="99"/>
    <w:rPr>
      <w:sz w:val="18"/>
      <w:szCs w:val="18"/>
    </w:rPr>
  </w:style>
  <w:style w:type="character" w:customStyle="1" w:styleId="19">
    <w:name w:val="标题 1 字符"/>
    <w:basedOn w:val="14"/>
    <w:link w:val="2"/>
    <w:qFormat/>
    <w:uiPriority w:val="99"/>
    <w:rPr>
      <w:rFonts w:ascii="Times New Roman" w:hAnsi="Times New Roman" w:eastAsia="宋体" w:cs="Times New Roman"/>
      <w:kern w:val="0"/>
      <w:sz w:val="24"/>
      <w:szCs w:val="20"/>
      <w:lang w:val="en-GB"/>
    </w:rPr>
  </w:style>
  <w:style w:type="character" w:customStyle="1" w:styleId="20">
    <w:name w:val="标题 2 Char Char Char"/>
    <w:qFormat/>
    <w:uiPriority w:val="0"/>
    <w:rPr>
      <w:rFonts w:ascii="Arial" w:hAnsi="Arial" w:eastAsia="宋体"/>
      <w:b/>
      <w:kern w:val="2"/>
      <w:sz w:val="28"/>
      <w:szCs w:val="28"/>
      <w:lang w:val="en-US" w:eastAsia="zh-CN" w:bidi="ar-SA"/>
    </w:rPr>
  </w:style>
  <w:style w:type="character" w:customStyle="1" w:styleId="21">
    <w:name w:val="标题 2 字符"/>
    <w:basedOn w:val="14"/>
    <w:link w:val="3"/>
    <w:semiHidden/>
    <w:qFormat/>
    <w:uiPriority w:val="9"/>
    <w:rPr>
      <w:rFonts w:asciiTheme="majorHAnsi" w:hAnsiTheme="majorHAnsi" w:eastAsiaTheme="majorEastAsia" w:cstheme="majorBidi"/>
      <w:b/>
      <w:bCs/>
      <w:sz w:val="32"/>
      <w:szCs w:val="32"/>
    </w:rPr>
  </w:style>
  <w:style w:type="paragraph" w:customStyle="1" w:styleId="22">
    <w:name w:val="2级"/>
    <w:basedOn w:val="1"/>
    <w:link w:val="23"/>
    <w:qFormat/>
    <w:uiPriority w:val="0"/>
    <w:pPr>
      <w:keepNext/>
      <w:keepLines/>
      <w:widowControl/>
      <w:spacing w:before="260" w:after="260"/>
      <w:jc w:val="left"/>
      <w:outlineLvl w:val="1"/>
    </w:pPr>
    <w:rPr>
      <w:rFonts w:asciiTheme="minorEastAsia" w:hAnsiTheme="minorEastAsia" w:cstheme="minorBidi"/>
      <w:b/>
      <w:bCs/>
      <w:sz w:val="24"/>
    </w:rPr>
  </w:style>
  <w:style w:type="character" w:customStyle="1" w:styleId="23">
    <w:name w:val="2级 Char"/>
    <w:basedOn w:val="14"/>
    <w:link w:val="22"/>
    <w:qFormat/>
    <w:uiPriority w:val="0"/>
    <w:rPr>
      <w:rFonts w:eastAsia="宋体" w:asciiTheme="minorEastAsia" w:hAnsiTheme="minorEastAsia"/>
      <w:b/>
      <w:bCs/>
      <w:sz w:val="24"/>
      <w:szCs w:val="24"/>
    </w:rPr>
  </w:style>
  <w:style w:type="paragraph" w:customStyle="1" w:styleId="24">
    <w:name w:val="正文XB"/>
    <w:basedOn w:val="1"/>
    <w:link w:val="25"/>
    <w:qFormat/>
    <w:uiPriority w:val="0"/>
    <w:pPr>
      <w:spacing w:line="360" w:lineRule="auto"/>
      <w:ind w:firstLine="420" w:firstLineChars="200"/>
    </w:pPr>
    <w:rPr>
      <w:rFonts w:ascii="宋体" w:hAnsi="宋体"/>
      <w:color w:val="000000"/>
      <w:szCs w:val="21"/>
    </w:rPr>
  </w:style>
  <w:style w:type="character" w:customStyle="1" w:styleId="25">
    <w:name w:val="正文XB Char"/>
    <w:basedOn w:val="14"/>
    <w:link w:val="24"/>
    <w:qFormat/>
    <w:uiPriority w:val="0"/>
    <w:rPr>
      <w:rFonts w:ascii="宋体" w:hAnsi="宋体" w:eastAsia="宋体" w:cs="Times New Roman"/>
      <w:color w:val="000000"/>
      <w:szCs w:val="21"/>
    </w:rPr>
  </w:style>
  <w:style w:type="paragraph" w:styleId="26">
    <w:name w:val="List Paragraph"/>
    <w:basedOn w:val="1"/>
    <w:unhideWhenUsed/>
    <w:qFormat/>
    <w:uiPriority w:val="99"/>
    <w:pPr>
      <w:ind w:firstLine="420" w:firstLineChars="200"/>
    </w:pPr>
  </w:style>
  <w:style w:type="character" w:customStyle="1" w:styleId="27">
    <w:name w:val="正文文本缩进 2 字符"/>
    <w:basedOn w:val="14"/>
    <w:link w:val="5"/>
    <w:qFormat/>
    <w:uiPriority w:val="0"/>
    <w:rPr>
      <w:rFonts w:ascii="宋体" w:hAnsi="宋体" w:eastAsia="宋体" w:cs="Times New Roman"/>
      <w:color w:val="FF0000"/>
      <w:sz w:val="24"/>
      <w:szCs w:val="24"/>
    </w:rPr>
  </w:style>
  <w:style w:type="paragraph" w:customStyle="1" w:styleId="28">
    <w:name w:val="Default"/>
    <w:qFormat/>
    <w:uiPriority w:val="0"/>
    <w:pPr>
      <w:widowControl w:val="0"/>
      <w:autoSpaceDE w:val="0"/>
      <w:autoSpaceDN w:val="0"/>
      <w:adjustRightInd w:val="0"/>
    </w:pPr>
    <w:rPr>
      <w:rFonts w:ascii="宋体棬　僬　." w:eastAsia="宋体棬　僬　." w:cs="宋体棬　僬　." w:hAnsiTheme="minorHAnsi"/>
      <w:color w:val="000000"/>
      <w:sz w:val="24"/>
      <w:szCs w:val="24"/>
      <w:lang w:val="en-US" w:eastAsia="zh-CN" w:bidi="ar-SA"/>
    </w:rPr>
  </w:style>
  <w:style w:type="character" w:customStyle="1" w:styleId="29">
    <w:name w:val="批注文字 字符"/>
    <w:basedOn w:val="14"/>
    <w:link w:val="4"/>
    <w:semiHidden/>
    <w:qFormat/>
    <w:uiPriority w:val="99"/>
    <w:rPr>
      <w:rFonts w:ascii="Times New Roman" w:hAnsi="Times New Roman" w:eastAsia="宋体" w:cs="Times New Roman"/>
      <w:szCs w:val="24"/>
    </w:rPr>
  </w:style>
  <w:style w:type="character" w:customStyle="1" w:styleId="30">
    <w:name w:val="批注主题 字符"/>
    <w:basedOn w:val="29"/>
    <w:link w:val="12"/>
    <w:semiHidden/>
    <w:qFormat/>
    <w:uiPriority w:val="99"/>
    <w:rPr>
      <w:rFonts w:ascii="Times New Roman" w:hAnsi="Times New Roman" w:eastAsia="宋体" w:cs="Times New Roman"/>
      <w:b/>
      <w:bCs/>
      <w:szCs w:val="24"/>
    </w:rPr>
  </w:style>
  <w:style w:type="character" w:customStyle="1" w:styleId="31">
    <w:name w:val="批注框文本 字符"/>
    <w:basedOn w:val="14"/>
    <w:link w:val="6"/>
    <w:semiHidden/>
    <w:qFormat/>
    <w:uiPriority w:val="99"/>
    <w:rPr>
      <w:rFonts w:ascii="Times New Roman" w:hAnsi="Times New Roman" w:eastAsia="宋体" w:cs="Times New Roman"/>
      <w:sz w:val="18"/>
      <w:szCs w:val="18"/>
    </w:rPr>
  </w:style>
  <w:style w:type="paragraph" w:customStyle="1" w:styleId="32">
    <w:name w:val="TOC 标题1"/>
    <w:basedOn w:val="2"/>
    <w:next w:val="1"/>
    <w:semiHidden/>
    <w:unhideWhenUsed/>
    <w:qFormat/>
    <w:uiPriority w:val="39"/>
    <w:pPr>
      <w:keepNext/>
      <w:keepLines/>
      <w:spacing w:before="480" w:line="276" w:lineRule="auto"/>
      <w:outlineLvl w:val="9"/>
    </w:pPr>
    <w:rPr>
      <w:rFonts w:asciiTheme="majorHAnsi" w:hAnsiTheme="majorHAnsi" w:eastAsiaTheme="majorEastAsia" w:cstheme="majorBidi"/>
      <w:b/>
      <w:bCs/>
      <w:color w:val="376092" w:themeColor="accent1" w:themeShade="BF"/>
      <w:sz w:val="28"/>
      <w:szCs w:val="28"/>
      <w:lang w:val="en-US"/>
    </w:rPr>
  </w:style>
  <w:style w:type="paragraph" w:styleId="33">
    <w:name w:val="No Spacing"/>
    <w:basedOn w:val="1"/>
    <w:link w:val="34"/>
    <w:qFormat/>
    <w:uiPriority w:val="1"/>
    <w:pPr>
      <w:widowControl/>
      <w:jc w:val="left"/>
    </w:pPr>
    <w:rPr>
      <w:rFonts w:asciiTheme="minorHAnsi" w:hAnsiTheme="minorHAnsi" w:eastAsiaTheme="minorEastAsia" w:cstheme="minorBidi"/>
      <w:szCs w:val="21"/>
    </w:rPr>
  </w:style>
  <w:style w:type="character" w:customStyle="1" w:styleId="34">
    <w:name w:val="无间隔 字符"/>
    <w:basedOn w:val="14"/>
    <w:link w:val="33"/>
    <w:qFormat/>
    <w:locked/>
    <w:uiPriority w:val="1"/>
    <w:rPr>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无缩进备注"/>
    <w:basedOn w:val="1"/>
    <w:link w:val="37"/>
    <w:qFormat/>
    <w:uiPriority w:val="0"/>
    <w:pPr>
      <w:tabs>
        <w:tab w:val="left" w:pos="426"/>
      </w:tabs>
      <w:jc w:val="left"/>
    </w:pPr>
    <w:rPr>
      <w:rFonts w:ascii="宋体" w:hAnsi="宋体"/>
      <w:kern w:val="0"/>
      <w:szCs w:val="21"/>
    </w:rPr>
  </w:style>
  <w:style w:type="character" w:customStyle="1" w:styleId="37">
    <w:name w:val="无缩进备注 Char"/>
    <w:basedOn w:val="14"/>
    <w:link w:val="36"/>
    <w:qFormat/>
    <w:uiPriority w:val="0"/>
    <w:rPr>
      <w:rFonts w:ascii="宋体" w:hAnsi="宋体" w:eastAsia="宋体" w:cs="Times New Roman"/>
      <w:kern w:val="0"/>
      <w:szCs w:val="21"/>
    </w:rPr>
  </w:style>
  <w:style w:type="character" w:customStyle="1" w:styleId="38">
    <w:name w:val="read1"/>
    <w:basedOn w:val="14"/>
    <w:qFormat/>
    <w:uiPriority w:val="0"/>
    <w:rPr>
      <w:rFonts w:hint="default"/>
      <w:color w:val="000000"/>
      <w:spacing w:val="45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48AF-A6B6-4A51-A517-F94654C8B0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1450</Words>
  <Characters>8270</Characters>
  <Lines>68</Lines>
  <Paragraphs>19</Paragraphs>
  <TotalTime>8985</TotalTime>
  <ScaleCrop>false</ScaleCrop>
  <LinksUpToDate>false</LinksUpToDate>
  <CharactersWithSpaces>9701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2023-05-24T07:18:00Z</dcterms:created>
  <dc:creator>段宏竹</dc:creator>
  <cp:lastModifiedBy>zhaiq0316</cp:lastModifiedBy>
  <cp:lastPrinted>2023-01-11T01:54:00Z</cp:lastPrinted>
  <dcterms:modified xsi:type="dcterms:W3CDTF">2023-08-18T06:05:39Z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76A22DAD6FB340F199AD7262B444EFA3</vt:lpwstr>
  </property>
</Properties>
</file>