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66A" w:rsidRDefault="007A2AB6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兴业基金管理有限公司</w:t>
      </w:r>
    </w:p>
    <w:p w:rsidR="0072466A" w:rsidRDefault="007A2AB6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关于调整旗下部分基金管理费和/或托管费率并修改基金合同等法律文件的公告</w:t>
      </w:r>
    </w:p>
    <w:p w:rsidR="0072466A" w:rsidRDefault="0072466A">
      <w:pPr>
        <w:jc w:val="center"/>
        <w:rPr>
          <w:b/>
          <w:bCs/>
          <w:sz w:val="28"/>
          <w:szCs w:val="28"/>
        </w:rPr>
      </w:pPr>
    </w:p>
    <w:p w:rsidR="0072466A" w:rsidRDefault="007A2AB6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为更好地满足广大投资者的投资需求，降低投资者的投资成本，兴业基金管理有限公司（以下简称“本公司”）经与旗下部分基金的各基金托管人协商一致，决定自 2023 年8月21日起调整旗下部分基金（具体基金清单请见附件）的管理费率和/或托管费率，并对涉及的各基金的基金合同和其他法律文件作相应修改。具体修改内容说明如下：</w:t>
      </w:r>
    </w:p>
    <w:p w:rsidR="0072466A" w:rsidRDefault="007A2AB6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、根据相关法律法规和基金合同的约定，本公司决定调整旗下部分基金的管理费率和/或托管费率，并对相关基金合同进行必要的修订。相关基金的名单及费率调整情况参见附件，相关基金的托管协议、更新的招募说明书、更新的基金产品资料概要据此相应进行必要修订。</w:t>
      </w:r>
    </w:p>
    <w:p w:rsidR="0072466A" w:rsidRDefault="007A2AB6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、本次相关基金的基金合同、托管协议、招募说明书和基金产品资料概要 修订的内容和程序符合有关法律法规和基金合同的规定。修改后的相关基金的 基金合同、托管协议全文将与本公告同日登载于基金管理人网站 （https://www.cib-fund.com.cn/）。各基金招募说明书和基金产品资料概要将按照《信息披露管理办法》要求进行更新，供投资者查阅。</w:t>
      </w:r>
    </w:p>
    <w:p w:rsidR="0072466A" w:rsidRDefault="007A2AB6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3、投资者可登录本基金管理人网站（</w:t>
      </w:r>
      <w:r>
        <w:rPr>
          <w:sz w:val="24"/>
          <w:szCs w:val="24"/>
        </w:rPr>
        <w:t>https://www.cib-fund.com.cn</w:t>
      </w:r>
      <w:r>
        <w:rPr>
          <w:rFonts w:hint="eastAsia"/>
          <w:sz w:val="24"/>
          <w:szCs w:val="24"/>
        </w:rPr>
        <w:t>）或拨打本基金管理人的客户服务电话</w:t>
      </w:r>
      <w:r>
        <w:rPr>
          <w:sz w:val="24"/>
          <w:szCs w:val="24"/>
        </w:rPr>
        <w:t>40000-95561</w:t>
      </w:r>
      <w:r>
        <w:rPr>
          <w:rFonts w:hint="eastAsia"/>
          <w:sz w:val="24"/>
          <w:szCs w:val="24"/>
        </w:rPr>
        <w:t>进行咨询、查询。</w:t>
      </w:r>
      <w:r>
        <w:rPr>
          <w:sz w:val="24"/>
          <w:szCs w:val="24"/>
        </w:rPr>
        <w:cr/>
      </w:r>
    </w:p>
    <w:p w:rsidR="0072466A" w:rsidRDefault="007A2AB6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风险提示：本基金管理人承诺以诚实信用、勤勉尽责的原则管理和运用基金</w:t>
      </w:r>
      <w:r>
        <w:rPr>
          <w:rFonts w:hint="eastAsia"/>
          <w:sz w:val="24"/>
          <w:szCs w:val="24"/>
        </w:rPr>
        <w:lastRenderedPageBreak/>
        <w:t>财产，但不保证基金一定盈利，也不保证最低收益。基金的过往业绩并不代表其将来表现。投资有风险，敬请投资人认真阅读基金的相关法律文件，并选择适合自身风险承受能力的投资品种进行投资。</w:t>
      </w:r>
    </w:p>
    <w:p w:rsidR="0072466A" w:rsidRDefault="007A2AB6">
      <w:pPr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特此公告</w:t>
      </w:r>
      <w:r>
        <w:rPr>
          <w:rFonts w:hint="eastAsia"/>
          <w:sz w:val="24"/>
          <w:szCs w:val="24"/>
        </w:rPr>
        <w:t>。</w:t>
      </w:r>
    </w:p>
    <w:p w:rsidR="0072466A" w:rsidRDefault="007A2AB6">
      <w:pPr>
        <w:ind w:firstLineChars="200" w:firstLine="480"/>
        <w:jc w:val="right"/>
        <w:rPr>
          <w:sz w:val="24"/>
          <w:szCs w:val="24"/>
        </w:rPr>
      </w:pPr>
      <w:r>
        <w:rPr>
          <w:sz w:val="24"/>
          <w:szCs w:val="24"/>
        </w:rPr>
        <w:t>兴业基金管理有限公司</w:t>
      </w:r>
    </w:p>
    <w:p w:rsidR="0072466A" w:rsidRDefault="007A2AB6">
      <w:pPr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023年</w:t>
      </w:r>
      <w:r>
        <w:rPr>
          <w:rFonts w:hint="eastAsia"/>
          <w:sz w:val="24"/>
          <w:szCs w:val="24"/>
        </w:rPr>
        <w:t>8月</w:t>
      </w:r>
      <w:bookmarkStart w:id="0" w:name="_GoBack"/>
      <w:bookmarkEnd w:id="0"/>
      <w:r>
        <w:rPr>
          <w:rFonts w:hint="eastAsia"/>
          <w:sz w:val="24"/>
          <w:szCs w:val="24"/>
        </w:rPr>
        <w:t>19日</w:t>
      </w:r>
    </w:p>
    <w:p w:rsidR="0072466A" w:rsidRDefault="007A2AB6">
      <w:pPr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附件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相关基金名单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含</w:t>
      </w:r>
      <w:r>
        <w:rPr>
          <w:rFonts w:hint="eastAsia"/>
          <w:sz w:val="24"/>
          <w:szCs w:val="24"/>
        </w:rPr>
        <w:t>费率调整安排）</w:t>
      </w:r>
    </w:p>
    <w:tbl>
      <w:tblPr>
        <w:tblW w:w="9400" w:type="dxa"/>
        <w:tblLook w:val="0000"/>
      </w:tblPr>
      <w:tblGrid>
        <w:gridCol w:w="5080"/>
        <w:gridCol w:w="1080"/>
        <w:gridCol w:w="1080"/>
        <w:gridCol w:w="1080"/>
        <w:gridCol w:w="1080"/>
      </w:tblGrid>
      <w:tr w:rsidR="0072466A">
        <w:trPr>
          <w:trHeight w:val="270"/>
        </w:trPr>
        <w:tc>
          <w:tcPr>
            <w:tcW w:w="5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int="eastAsia"/>
                <w:color w:val="000000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int="eastAsia"/>
                <w:color w:val="000000"/>
                <w:kern w:val="0"/>
                <w:sz w:val="20"/>
                <w:szCs w:val="20"/>
              </w:rPr>
              <w:t>调整前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int="eastAsia"/>
                <w:color w:val="000000"/>
                <w:kern w:val="0"/>
                <w:sz w:val="20"/>
                <w:szCs w:val="20"/>
              </w:rPr>
              <w:t>调整后</w:t>
            </w:r>
          </w:p>
        </w:tc>
      </w:tr>
      <w:tr w:rsidR="0072466A">
        <w:trPr>
          <w:trHeight w:val="270"/>
        </w:trPr>
        <w:tc>
          <w:tcPr>
            <w:tcW w:w="5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66A" w:rsidRDefault="0072466A"/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int="eastAsia"/>
                <w:color w:val="000000"/>
                <w:kern w:val="0"/>
                <w:sz w:val="20"/>
                <w:szCs w:val="20"/>
              </w:rPr>
              <w:t>管理费率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int="eastAsia"/>
                <w:color w:val="000000"/>
                <w:kern w:val="0"/>
                <w:sz w:val="20"/>
                <w:szCs w:val="20"/>
              </w:rPr>
              <w:t>托管费率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int="eastAsia"/>
                <w:color w:val="000000"/>
                <w:kern w:val="0"/>
                <w:sz w:val="20"/>
                <w:szCs w:val="20"/>
              </w:rPr>
              <w:t>管理费率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int="eastAsia"/>
                <w:color w:val="000000"/>
                <w:kern w:val="0"/>
                <w:sz w:val="20"/>
                <w:szCs w:val="20"/>
              </w:rPr>
              <w:t>托管费率</w:t>
            </w:r>
          </w:p>
        </w:tc>
      </w:tr>
      <w:tr w:rsidR="0072466A">
        <w:trPr>
          <w:trHeight w:val="27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int="eastAsia"/>
                <w:color w:val="000000"/>
                <w:kern w:val="0"/>
                <w:sz w:val="20"/>
                <w:szCs w:val="20"/>
              </w:rPr>
              <w:t>兴业兴睿两年持有期混合型证券投资基金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  <w:t>1.50%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  <w:t>0.25%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  <w:t>1.20%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  <w:t>0.20%</w:t>
            </w:r>
          </w:p>
        </w:tc>
      </w:tr>
      <w:tr w:rsidR="0072466A">
        <w:trPr>
          <w:trHeight w:val="27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int="eastAsia"/>
                <w:color w:val="000000"/>
                <w:kern w:val="0"/>
                <w:sz w:val="20"/>
                <w:szCs w:val="20"/>
              </w:rPr>
              <w:t>兴业能源革新股票型证券投资基金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  <w:t>1.50%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  <w:t>0.25%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  <w:t>1.20%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  <w:t>0.20%</w:t>
            </w:r>
          </w:p>
        </w:tc>
      </w:tr>
      <w:tr w:rsidR="0072466A">
        <w:trPr>
          <w:trHeight w:val="27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int="eastAsia"/>
                <w:color w:val="000000"/>
                <w:kern w:val="0"/>
                <w:sz w:val="20"/>
                <w:szCs w:val="20"/>
              </w:rPr>
              <w:t>兴业致远混合型证券投资基金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  <w:t>1.50%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  <w:t>0.25%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  <w:t>1.20%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  <w:t>0.20%</w:t>
            </w:r>
          </w:p>
        </w:tc>
      </w:tr>
      <w:tr w:rsidR="0072466A">
        <w:trPr>
          <w:trHeight w:val="27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int="eastAsia"/>
                <w:color w:val="000000"/>
                <w:kern w:val="0"/>
                <w:sz w:val="20"/>
                <w:szCs w:val="20"/>
              </w:rPr>
              <w:t>兴业数字经济优选股票型证券投资基金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  <w:t>1.50%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  <w:t>0.25%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  <w:t>1.20%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  <w:t>0.20%</w:t>
            </w:r>
          </w:p>
        </w:tc>
      </w:tr>
      <w:tr w:rsidR="0072466A">
        <w:trPr>
          <w:trHeight w:val="27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int="eastAsia"/>
                <w:color w:val="000000"/>
                <w:kern w:val="0"/>
                <w:sz w:val="20"/>
                <w:szCs w:val="20"/>
              </w:rPr>
              <w:t>兴业消费精选混合型证券投资基金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  <w:t>1.50%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  <w:t>0.15%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  <w:t>1.20%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  <w:t>0.15%</w:t>
            </w:r>
          </w:p>
        </w:tc>
      </w:tr>
      <w:tr w:rsidR="0072466A">
        <w:trPr>
          <w:trHeight w:val="27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int="eastAsia"/>
                <w:color w:val="000000"/>
                <w:kern w:val="0"/>
                <w:sz w:val="20"/>
                <w:szCs w:val="20"/>
              </w:rPr>
              <w:t>兴业高端制造混合型证券投资基金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  <w:t>1.50%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  <w:t>0.15%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  <w:t>1.20%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  <w:t>0.15%</w:t>
            </w:r>
          </w:p>
        </w:tc>
      </w:tr>
      <w:tr w:rsidR="0072466A">
        <w:trPr>
          <w:trHeight w:val="27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int="eastAsia"/>
                <w:color w:val="000000"/>
                <w:kern w:val="0"/>
                <w:sz w:val="20"/>
                <w:szCs w:val="20"/>
              </w:rPr>
              <w:t>兴业多策略灵活配置混合型发起式证券投资基金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  <w:t>1.50%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  <w:t>0.25%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  <w:t>1.20%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  <w:t>0.20%</w:t>
            </w:r>
          </w:p>
        </w:tc>
      </w:tr>
      <w:tr w:rsidR="0072466A">
        <w:trPr>
          <w:trHeight w:val="27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int="eastAsia"/>
                <w:color w:val="000000"/>
                <w:kern w:val="0"/>
                <w:sz w:val="20"/>
                <w:szCs w:val="20"/>
              </w:rPr>
              <w:t>兴业医疗保健混合型证券投资基金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  <w:t>1.50%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  <w:t>0.20%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  <w:t>1.20%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  <w:t>0.20%</w:t>
            </w:r>
          </w:p>
        </w:tc>
      </w:tr>
      <w:tr w:rsidR="0072466A">
        <w:trPr>
          <w:trHeight w:val="27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int="eastAsia"/>
                <w:color w:val="000000"/>
                <w:kern w:val="0"/>
                <w:sz w:val="20"/>
                <w:szCs w:val="20"/>
              </w:rPr>
              <w:t>兴业优势产业混合型证券投资基金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  <w:t>1.50%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  <w:t>0.20%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  <w:t>1.20%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  <w:t>0.20%</w:t>
            </w:r>
          </w:p>
        </w:tc>
      </w:tr>
      <w:tr w:rsidR="0072466A">
        <w:trPr>
          <w:trHeight w:val="27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int="eastAsia"/>
                <w:color w:val="000000"/>
                <w:kern w:val="0"/>
                <w:sz w:val="20"/>
                <w:szCs w:val="20"/>
              </w:rPr>
              <w:t>兴业龙腾双益平衡混合型证券投资基金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  <w:t>1.20%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  <w:t>0.25%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  <w:t>1.20%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  <w:t>0.20%</w:t>
            </w:r>
          </w:p>
        </w:tc>
      </w:tr>
      <w:tr w:rsidR="0072466A">
        <w:trPr>
          <w:trHeight w:val="27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int="eastAsia"/>
                <w:color w:val="000000"/>
                <w:kern w:val="0"/>
                <w:sz w:val="20"/>
                <w:szCs w:val="20"/>
              </w:rPr>
              <w:t>兴业国企改革灵活配置混合型证券投资基金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  <w:t>1.50%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  <w:t>0.25%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  <w:t>1.20%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  <w:t>0.20%</w:t>
            </w:r>
          </w:p>
        </w:tc>
      </w:tr>
      <w:tr w:rsidR="0072466A">
        <w:trPr>
          <w:trHeight w:val="27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int="eastAsia"/>
                <w:color w:val="000000"/>
                <w:kern w:val="0"/>
                <w:sz w:val="20"/>
                <w:szCs w:val="20"/>
              </w:rPr>
              <w:t>兴业兴智一年持有期混合型证券投资基金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  <w:t>1.50%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  <w:t>0.20%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  <w:t>1.20%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  <w:t>0.20%</w:t>
            </w:r>
          </w:p>
        </w:tc>
      </w:tr>
      <w:tr w:rsidR="0072466A">
        <w:trPr>
          <w:trHeight w:val="27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int="eastAsia"/>
                <w:color w:val="000000"/>
                <w:kern w:val="0"/>
                <w:sz w:val="20"/>
                <w:szCs w:val="20"/>
              </w:rPr>
              <w:t>兴业成长动力灵活配置混合型证券投资基金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  <w:t>1.50%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  <w:t>0.25%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  <w:t>1.20%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  <w:t>0.20%</w:t>
            </w:r>
          </w:p>
        </w:tc>
      </w:tr>
      <w:tr w:rsidR="0072466A">
        <w:trPr>
          <w:trHeight w:val="27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int="eastAsia"/>
                <w:color w:val="000000"/>
                <w:kern w:val="0"/>
                <w:sz w:val="20"/>
                <w:szCs w:val="20"/>
              </w:rPr>
              <w:t>兴业安保优选混合型证券投资基金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  <w:t>1.50%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  <w:t>0.20%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  <w:t>1.20%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  <w:t>0.20%</w:t>
            </w:r>
          </w:p>
        </w:tc>
      </w:tr>
      <w:tr w:rsidR="0072466A">
        <w:trPr>
          <w:trHeight w:val="27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int="eastAsia"/>
                <w:color w:val="000000"/>
                <w:kern w:val="0"/>
                <w:sz w:val="20"/>
                <w:szCs w:val="20"/>
              </w:rPr>
              <w:t>兴业研究精选混合型证券投资基金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  <w:t>1.50%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  <w:t>0.20%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  <w:t>1.20%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  <w:t>0.20%</w:t>
            </w:r>
          </w:p>
        </w:tc>
      </w:tr>
      <w:tr w:rsidR="0072466A">
        <w:trPr>
          <w:trHeight w:val="27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int="eastAsia"/>
                <w:color w:val="000000"/>
                <w:kern w:val="0"/>
                <w:sz w:val="20"/>
                <w:szCs w:val="20"/>
              </w:rPr>
              <w:t>兴业睿进混合型证券投资基金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  <w:t>1.50%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  <w:t>0.20%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  <w:t>1.20%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  <w:t>0.20%</w:t>
            </w:r>
          </w:p>
        </w:tc>
      </w:tr>
      <w:tr w:rsidR="0072466A">
        <w:trPr>
          <w:trHeight w:val="270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兴业均衡优选混合型证券投资基金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  <w:t>1.50%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  <w:t>0.25%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  <w:t>1.20%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  <w:t>0.20%</w:t>
            </w:r>
          </w:p>
        </w:tc>
      </w:tr>
      <w:tr w:rsidR="0072466A">
        <w:trPr>
          <w:trHeight w:val="270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兴业品质消费股票型证券投资基金（等待发行）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  <w:t>1.50%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  <w:t>0.20%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  <w:t>1.20%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6A" w:rsidRDefault="007A2AB6">
            <w:pPr>
              <w:widowControl/>
              <w:jc w:val="center"/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/>
                <w:color w:val="000000"/>
                <w:kern w:val="0"/>
                <w:sz w:val="20"/>
                <w:szCs w:val="20"/>
              </w:rPr>
              <w:t>0.20%</w:t>
            </w:r>
          </w:p>
        </w:tc>
      </w:tr>
    </w:tbl>
    <w:p w:rsidR="0072466A" w:rsidRDefault="0072466A">
      <w:pPr>
        <w:ind w:firstLineChars="200" w:firstLine="480"/>
        <w:jc w:val="left"/>
        <w:rPr>
          <w:sz w:val="24"/>
          <w:szCs w:val="24"/>
        </w:rPr>
      </w:pPr>
    </w:p>
    <w:p w:rsidR="0072466A" w:rsidRDefault="0072466A">
      <w:pPr>
        <w:ind w:firstLineChars="200" w:firstLine="480"/>
        <w:rPr>
          <w:sz w:val="24"/>
          <w:szCs w:val="24"/>
        </w:rPr>
      </w:pPr>
    </w:p>
    <w:p w:rsidR="0072466A" w:rsidRDefault="0072466A">
      <w:pPr>
        <w:ind w:firstLineChars="200" w:firstLine="480"/>
        <w:jc w:val="left"/>
        <w:rPr>
          <w:sz w:val="24"/>
          <w:szCs w:val="24"/>
        </w:rPr>
      </w:pPr>
    </w:p>
    <w:sectPr w:rsidR="0072466A" w:rsidSect="0072466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AB6" w:rsidRDefault="007A2AB6" w:rsidP="00855335">
      <w:r>
        <w:separator/>
      </w:r>
    </w:p>
  </w:endnote>
  <w:endnote w:type="continuationSeparator" w:id="0">
    <w:p w:rsidR="007A2AB6" w:rsidRDefault="007A2AB6" w:rsidP="008553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xi Sans">
    <w:altName w:val="Arial"/>
    <w:charset w:val="00"/>
    <w:family w:val="auto"/>
    <w:pitch w:val="variable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AB6" w:rsidRDefault="007A2AB6" w:rsidP="00855335">
      <w:r>
        <w:separator/>
      </w:r>
    </w:p>
  </w:footnote>
  <w:footnote w:type="continuationSeparator" w:id="0">
    <w:p w:rsidR="007A2AB6" w:rsidRDefault="007A2AB6" w:rsidP="008553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</w:compat>
  <w:rsids>
    <w:rsidRoot w:val="0072466A"/>
    <w:rsid w:val="0072466A"/>
    <w:rsid w:val="007A2AB6"/>
    <w:rsid w:val="00855335"/>
    <w:rsid w:val="00A24E81"/>
    <w:rsid w:val="00AF3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2466A"/>
    <w:pPr>
      <w:widowControl w:val="0"/>
      <w:jc w:val="both"/>
    </w:pPr>
    <w:rPr>
      <w:rFonts w:ascii="等线" w:eastAsia="等线" w:cs="Arial"/>
      <w:kern w:val="2"/>
      <w:sz w:val="21"/>
      <w:szCs w:val="22"/>
    </w:rPr>
  </w:style>
  <w:style w:type="paragraph" w:styleId="1">
    <w:name w:val="heading 1"/>
    <w:basedOn w:val="a"/>
    <w:next w:val="a"/>
    <w:rsid w:val="0072466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rsid w:val="0072466A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rsid w:val="0072466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72466A"/>
    <w:pPr>
      <w:ind w:firstLineChars="200" w:firstLine="200"/>
    </w:pPr>
  </w:style>
  <w:style w:type="paragraph" w:styleId="a4">
    <w:name w:val="header"/>
    <w:basedOn w:val="a"/>
    <w:rsid w:val="007246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7246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rsid w:val="0072466A"/>
    <w:rPr>
      <w:sz w:val="18"/>
      <w:szCs w:val="18"/>
    </w:rPr>
  </w:style>
  <w:style w:type="character" w:styleId="a7">
    <w:name w:val="annotation reference"/>
    <w:basedOn w:val="a0"/>
    <w:rsid w:val="0072466A"/>
    <w:rPr>
      <w:sz w:val="21"/>
      <w:szCs w:val="21"/>
    </w:rPr>
  </w:style>
  <w:style w:type="paragraph" w:styleId="a8">
    <w:name w:val="annotation text"/>
    <w:basedOn w:val="a"/>
    <w:rsid w:val="0072466A"/>
    <w:pPr>
      <w:jc w:val="left"/>
    </w:pPr>
  </w:style>
  <w:style w:type="paragraph" w:styleId="a9">
    <w:name w:val="annotation subject"/>
    <w:basedOn w:val="a8"/>
    <w:next w:val="a8"/>
    <w:rsid w:val="0072466A"/>
    <w:rPr>
      <w:b/>
      <w:bCs/>
    </w:rPr>
  </w:style>
  <w:style w:type="paragraph" w:customStyle="1" w:styleId="10">
    <w:name w:val="修订1"/>
    <w:rsid w:val="0072466A"/>
    <w:rPr>
      <w:rFonts w:ascii="等线" w:eastAsia="等线" w:cs="Arial"/>
      <w:kern w:val="2"/>
      <w:sz w:val="21"/>
      <w:szCs w:val="22"/>
    </w:rPr>
  </w:style>
  <w:style w:type="paragraph" w:styleId="11">
    <w:name w:val="toc 1"/>
    <w:basedOn w:val="a"/>
    <w:next w:val="a"/>
    <w:autoRedefine/>
    <w:rsid w:val="0072466A"/>
  </w:style>
  <w:style w:type="paragraph" w:styleId="20">
    <w:name w:val="toc 2"/>
    <w:basedOn w:val="a"/>
    <w:next w:val="a"/>
    <w:autoRedefine/>
    <w:rsid w:val="0072466A"/>
    <w:pPr>
      <w:ind w:left="420"/>
    </w:pPr>
  </w:style>
  <w:style w:type="paragraph" w:styleId="30">
    <w:name w:val="toc 3"/>
    <w:basedOn w:val="a"/>
    <w:next w:val="a"/>
    <w:autoRedefine/>
    <w:rsid w:val="0072466A"/>
    <w:pPr>
      <w:ind w:left="840"/>
    </w:pPr>
  </w:style>
  <w:style w:type="paragraph" w:styleId="4">
    <w:name w:val="toc 4"/>
    <w:basedOn w:val="a"/>
    <w:next w:val="a"/>
    <w:autoRedefine/>
    <w:rsid w:val="0072466A"/>
    <w:pPr>
      <w:ind w:left="1260"/>
    </w:pPr>
  </w:style>
  <w:style w:type="paragraph" w:styleId="5">
    <w:name w:val="toc 5"/>
    <w:basedOn w:val="a"/>
    <w:next w:val="a"/>
    <w:autoRedefine/>
    <w:rsid w:val="0072466A"/>
    <w:pPr>
      <w:ind w:left="1680"/>
    </w:pPr>
  </w:style>
  <w:style w:type="paragraph" w:customStyle="1" w:styleId="21">
    <w:name w:val="修订2"/>
    <w:rsid w:val="0072466A"/>
    <w:rPr>
      <w:rFonts w:ascii="等线" w:eastAsia="等线" w:cs="Arial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1323</Characters>
  <Application>Microsoft Office Word</Application>
  <DocSecurity>4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maiqi</dc:creator>
  <cp:lastModifiedBy>ZHONGM</cp:lastModifiedBy>
  <cp:revision>2</cp:revision>
  <dcterms:created xsi:type="dcterms:W3CDTF">2023-08-18T16:01:00Z</dcterms:created>
  <dcterms:modified xsi:type="dcterms:W3CDTF">2023-08-18T16:01:00Z</dcterms:modified>
</cp:coreProperties>
</file>