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6EC" w:rsidRDefault="00B756EC">
      <w:pPr>
        <w:pStyle w:val="Default"/>
      </w:pPr>
      <w:bookmarkStart w:id="0" w:name="_GoBack"/>
      <w:bookmarkEnd w:id="0"/>
    </w:p>
    <w:p w:rsidR="00B756EC" w:rsidRDefault="00990F42">
      <w:pPr>
        <w:pStyle w:val="Default"/>
        <w:jc w:val="center"/>
        <w:rPr>
          <w:b/>
          <w:sz w:val="28"/>
          <w:szCs w:val="28"/>
        </w:rPr>
      </w:pPr>
      <w:r>
        <w:rPr>
          <w:rFonts w:hint="eastAsia"/>
          <w:b/>
          <w:sz w:val="28"/>
          <w:szCs w:val="28"/>
        </w:rPr>
        <w:t>中银基金管理有限公司关于旗下基金投资关联方</w:t>
      </w:r>
    </w:p>
    <w:p w:rsidR="00B756EC" w:rsidRDefault="00990F42">
      <w:pPr>
        <w:pStyle w:val="Default"/>
        <w:jc w:val="center"/>
        <w:rPr>
          <w:b/>
          <w:sz w:val="28"/>
          <w:szCs w:val="28"/>
        </w:rPr>
      </w:pPr>
      <w:r>
        <w:rPr>
          <w:rFonts w:hint="eastAsia"/>
          <w:b/>
          <w:sz w:val="28"/>
          <w:szCs w:val="28"/>
        </w:rPr>
        <w:t>承销期内承销证券的公告</w:t>
      </w:r>
    </w:p>
    <w:p w:rsidR="00B756EC" w:rsidRDefault="00B756EC">
      <w:pPr>
        <w:pStyle w:val="Default"/>
        <w:ind w:firstLineChars="200" w:firstLine="460"/>
        <w:rPr>
          <w:sz w:val="23"/>
          <w:szCs w:val="23"/>
        </w:rPr>
      </w:pPr>
    </w:p>
    <w:p w:rsidR="00B756EC" w:rsidRDefault="00990F42">
      <w:pPr>
        <w:pStyle w:val="Default"/>
        <w:ind w:firstLineChars="200" w:firstLine="460"/>
        <w:jc w:val="both"/>
        <w:rPr>
          <w:sz w:val="23"/>
          <w:szCs w:val="23"/>
        </w:rPr>
      </w:pPr>
      <w:r>
        <w:rPr>
          <w:rFonts w:hint="eastAsia"/>
          <w:sz w:val="23"/>
          <w:szCs w:val="23"/>
        </w:rPr>
        <w:t>根据《中华人民共和国证券投资基金法》《公开募集证券投资基金运作管理办法》《公开募集证券投资基金信息披露管理办法》及相关基金基金合同、招募说明书等有关规定，经履行适当审批程序，中银基金管理有限公司（</w:t>
      </w:r>
      <w:r>
        <w:rPr>
          <w:sz w:val="23"/>
          <w:szCs w:val="23"/>
        </w:rPr>
        <w:t>“</w:t>
      </w:r>
      <w:r>
        <w:rPr>
          <w:rFonts w:hint="eastAsia"/>
          <w:sz w:val="23"/>
          <w:szCs w:val="23"/>
        </w:rPr>
        <w:t>本公司</w:t>
      </w:r>
      <w:r>
        <w:rPr>
          <w:sz w:val="23"/>
          <w:szCs w:val="23"/>
        </w:rPr>
        <w:t>”</w:t>
      </w:r>
      <w:r>
        <w:rPr>
          <w:rFonts w:hint="eastAsia"/>
          <w:sz w:val="23"/>
          <w:szCs w:val="23"/>
        </w:rPr>
        <w:t>）旗下基金</w:t>
      </w:r>
      <w:r>
        <w:rPr>
          <w:sz w:val="23"/>
          <w:szCs w:val="23"/>
        </w:rPr>
        <w:t>中银弘享债券型证券投资基金（以下简称</w:t>
      </w:r>
      <w:r>
        <w:rPr>
          <w:sz w:val="23"/>
          <w:szCs w:val="23"/>
        </w:rPr>
        <w:t>“</w:t>
      </w:r>
      <w:r>
        <w:rPr>
          <w:sz w:val="23"/>
          <w:szCs w:val="23"/>
        </w:rPr>
        <w:t>本基金</w:t>
      </w:r>
      <w:r>
        <w:rPr>
          <w:sz w:val="23"/>
          <w:szCs w:val="23"/>
        </w:rPr>
        <w:t>”</w:t>
      </w:r>
      <w:r>
        <w:rPr>
          <w:sz w:val="23"/>
          <w:szCs w:val="23"/>
        </w:rPr>
        <w:t>）</w:t>
      </w:r>
      <w:r>
        <w:rPr>
          <w:rFonts w:hint="eastAsia"/>
          <w:sz w:val="23"/>
          <w:szCs w:val="23"/>
        </w:rPr>
        <w:t>参与了</w:t>
      </w:r>
      <w:hyperlink r:id="rId4" w:history="1">
        <w:r>
          <w:rPr>
            <w:rFonts w:hint="eastAsia"/>
            <w:sz w:val="23"/>
            <w:szCs w:val="23"/>
          </w:rPr>
          <w:t>大唐融资租赁有限公司</w:t>
        </w:r>
      </w:hyperlink>
      <w:r>
        <w:rPr>
          <w:sz w:val="23"/>
          <w:szCs w:val="23"/>
        </w:rPr>
        <w:t>2023</w:t>
      </w:r>
      <w:r>
        <w:rPr>
          <w:sz w:val="23"/>
          <w:szCs w:val="23"/>
        </w:rPr>
        <w:t>年面向专业投资者公开发行公司债券（第一期，代码</w:t>
      </w:r>
      <w:r>
        <w:rPr>
          <w:rFonts w:hint="eastAsia"/>
          <w:sz w:val="23"/>
          <w:szCs w:val="23"/>
        </w:rPr>
        <w:t>1</w:t>
      </w:r>
      <w:r>
        <w:rPr>
          <w:sz w:val="23"/>
          <w:szCs w:val="23"/>
        </w:rPr>
        <w:t>15812</w:t>
      </w:r>
      <w:r>
        <w:rPr>
          <w:rFonts w:hint="eastAsia"/>
          <w:sz w:val="23"/>
          <w:szCs w:val="23"/>
        </w:rPr>
        <w:t>.</w:t>
      </w:r>
      <w:r>
        <w:rPr>
          <w:sz w:val="23"/>
          <w:szCs w:val="23"/>
        </w:rPr>
        <w:t>SH</w:t>
      </w:r>
      <w:r>
        <w:rPr>
          <w:sz w:val="23"/>
          <w:szCs w:val="23"/>
        </w:rPr>
        <w:t>）</w:t>
      </w:r>
      <w:r>
        <w:rPr>
          <w:rFonts w:hint="eastAsia"/>
          <w:sz w:val="23"/>
          <w:szCs w:val="23"/>
        </w:rPr>
        <w:t>的一级申购，</w:t>
      </w:r>
      <w:r>
        <w:rPr>
          <w:sz w:val="23"/>
          <w:szCs w:val="23"/>
        </w:rPr>
        <w:t>本</w:t>
      </w:r>
      <w:r>
        <w:rPr>
          <w:rFonts w:hint="eastAsia"/>
          <w:sz w:val="23"/>
          <w:szCs w:val="23"/>
        </w:rPr>
        <w:t>基金托管行中国光大银行股份有限公司的关联方光大证券股份有限公司为本次发行的联席主承销商之一。本期债券的票面利率为</w:t>
      </w:r>
      <w:r>
        <w:rPr>
          <w:rFonts w:hint="eastAsia"/>
          <w:sz w:val="23"/>
          <w:szCs w:val="23"/>
        </w:rPr>
        <w:t>2</w:t>
      </w:r>
      <w:r>
        <w:rPr>
          <w:sz w:val="23"/>
          <w:szCs w:val="23"/>
        </w:rPr>
        <w:t>.89</w:t>
      </w:r>
      <w:r>
        <w:rPr>
          <w:rFonts w:hint="eastAsia"/>
          <w:sz w:val="23"/>
          <w:szCs w:val="23"/>
        </w:rPr>
        <w:t>%</w:t>
      </w:r>
      <w:r>
        <w:rPr>
          <w:rFonts w:hint="eastAsia"/>
          <w:sz w:val="23"/>
          <w:szCs w:val="23"/>
        </w:rPr>
        <w:t>，是综合考虑发行人基本面、市场情况、同评级同期限发行人估值水平、募集资金需求及承销风险等因素的市场化发行结果。</w:t>
      </w:r>
    </w:p>
    <w:p w:rsidR="00B756EC" w:rsidRDefault="00990F42">
      <w:pPr>
        <w:ind w:firstLineChars="200" w:firstLine="460"/>
        <w:rPr>
          <w:sz w:val="23"/>
          <w:szCs w:val="23"/>
        </w:rPr>
      </w:pPr>
      <w:r>
        <w:rPr>
          <w:rFonts w:hint="eastAsia"/>
          <w:sz w:val="23"/>
          <w:szCs w:val="23"/>
        </w:rPr>
        <w:t>根据法律法规、基金合同及</w:t>
      </w:r>
      <w:r>
        <w:rPr>
          <w:rFonts w:ascii="宋体" w:cs="宋体" w:hint="eastAsia"/>
          <w:color w:val="000000"/>
          <w:kern w:val="0"/>
          <w:sz w:val="23"/>
          <w:szCs w:val="23"/>
        </w:rPr>
        <w:t>大唐融资租赁有限公司</w:t>
      </w:r>
      <w:r>
        <w:rPr>
          <w:rFonts w:ascii="宋体" w:cs="宋体" w:hint="eastAsia"/>
          <w:color w:val="000000"/>
          <w:kern w:val="0"/>
          <w:sz w:val="23"/>
          <w:szCs w:val="23"/>
        </w:rPr>
        <w:t>2023</w:t>
      </w:r>
      <w:r>
        <w:rPr>
          <w:rFonts w:ascii="宋体" w:cs="宋体" w:hint="eastAsia"/>
          <w:color w:val="000000"/>
          <w:kern w:val="0"/>
          <w:sz w:val="23"/>
          <w:szCs w:val="23"/>
        </w:rPr>
        <w:t>年面向专业投资者公开发行公司债券</w:t>
      </w:r>
      <w:r>
        <w:rPr>
          <w:rFonts w:ascii="宋体" w:cs="宋体" w:hint="eastAsia"/>
          <w:color w:val="000000"/>
          <w:kern w:val="0"/>
          <w:sz w:val="23"/>
          <w:szCs w:val="23"/>
        </w:rPr>
        <w:t>(</w:t>
      </w:r>
      <w:r>
        <w:rPr>
          <w:rFonts w:ascii="宋体" w:cs="宋体" w:hint="eastAsia"/>
          <w:color w:val="000000"/>
          <w:kern w:val="0"/>
          <w:sz w:val="23"/>
          <w:szCs w:val="23"/>
        </w:rPr>
        <w:t>第一期</w:t>
      </w:r>
      <w:r>
        <w:rPr>
          <w:rFonts w:ascii="宋体" w:cs="宋体" w:hint="eastAsia"/>
          <w:color w:val="000000"/>
          <w:kern w:val="0"/>
          <w:sz w:val="23"/>
          <w:szCs w:val="23"/>
        </w:rPr>
        <w:t>)</w:t>
      </w:r>
      <w:r>
        <w:rPr>
          <w:rFonts w:ascii="宋体" w:cs="宋体" w:hint="eastAsia"/>
          <w:color w:val="000000"/>
          <w:kern w:val="0"/>
          <w:sz w:val="23"/>
          <w:szCs w:val="23"/>
        </w:rPr>
        <w:t>的发行结果</w:t>
      </w:r>
      <w:r>
        <w:rPr>
          <w:rFonts w:hint="eastAsia"/>
          <w:sz w:val="23"/>
          <w:szCs w:val="23"/>
        </w:rPr>
        <w:t>，现将相关信息公告如下：</w:t>
      </w:r>
    </w:p>
    <w:p w:rsidR="00B756EC" w:rsidRDefault="00B756EC">
      <w:pPr>
        <w:ind w:firstLineChars="200" w:firstLine="46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7"/>
        <w:gridCol w:w="2133"/>
        <w:gridCol w:w="2766"/>
      </w:tblGrid>
      <w:tr w:rsidR="00B756EC">
        <w:tc>
          <w:tcPr>
            <w:tcW w:w="3397" w:type="dxa"/>
          </w:tcPr>
          <w:p w:rsidR="00B756EC" w:rsidRDefault="00990F42">
            <w:pPr>
              <w:rPr>
                <w:sz w:val="23"/>
                <w:szCs w:val="23"/>
              </w:rPr>
            </w:pPr>
            <w:r>
              <w:rPr>
                <w:sz w:val="23"/>
                <w:szCs w:val="23"/>
              </w:rPr>
              <w:t>基金名称</w:t>
            </w:r>
          </w:p>
        </w:tc>
        <w:tc>
          <w:tcPr>
            <w:tcW w:w="2133" w:type="dxa"/>
          </w:tcPr>
          <w:p w:rsidR="00B756EC" w:rsidRDefault="00990F42">
            <w:pPr>
              <w:rPr>
                <w:sz w:val="23"/>
                <w:szCs w:val="23"/>
              </w:rPr>
            </w:pPr>
            <w:r>
              <w:rPr>
                <w:sz w:val="23"/>
                <w:szCs w:val="23"/>
              </w:rPr>
              <w:t>发行价格（元）</w:t>
            </w:r>
          </w:p>
        </w:tc>
        <w:tc>
          <w:tcPr>
            <w:tcW w:w="2766" w:type="dxa"/>
          </w:tcPr>
          <w:p w:rsidR="00B756EC" w:rsidRDefault="00990F42">
            <w:pPr>
              <w:rPr>
                <w:sz w:val="23"/>
                <w:szCs w:val="23"/>
              </w:rPr>
            </w:pPr>
            <w:r>
              <w:rPr>
                <w:rFonts w:ascii="Arial" w:hAnsi="Arial" w:hint="eastAsia"/>
                <w:kern w:val="0"/>
                <w:sz w:val="20"/>
                <w:szCs w:val="20"/>
              </w:rPr>
              <w:t>中标券面总额（万元）</w:t>
            </w:r>
          </w:p>
        </w:tc>
      </w:tr>
      <w:tr w:rsidR="00B756EC">
        <w:tc>
          <w:tcPr>
            <w:tcW w:w="3397" w:type="dxa"/>
            <w:vAlign w:val="center"/>
          </w:tcPr>
          <w:p w:rsidR="00B756EC" w:rsidRDefault="00990F42">
            <w:pPr>
              <w:rPr>
                <w:sz w:val="23"/>
                <w:szCs w:val="23"/>
              </w:rPr>
            </w:pPr>
            <w:r>
              <w:rPr>
                <w:rFonts w:ascii="Arial" w:hAnsi="Arial"/>
                <w:kern w:val="0"/>
                <w:sz w:val="20"/>
                <w:szCs w:val="20"/>
              </w:rPr>
              <w:t>中银</w:t>
            </w:r>
            <w:r>
              <w:rPr>
                <w:rFonts w:ascii="Arial" w:hAnsi="Arial" w:hint="eastAsia"/>
                <w:kern w:val="0"/>
                <w:sz w:val="20"/>
                <w:szCs w:val="20"/>
              </w:rPr>
              <w:t>弘享</w:t>
            </w:r>
            <w:r>
              <w:rPr>
                <w:rFonts w:ascii="Arial" w:hAnsi="Arial" w:hint="eastAsia"/>
                <w:kern w:val="0"/>
                <w:sz w:val="20"/>
                <w:szCs w:val="20"/>
              </w:rPr>
              <w:t>债券</w:t>
            </w:r>
            <w:r>
              <w:rPr>
                <w:rFonts w:ascii="Arial" w:hAnsi="Arial"/>
                <w:kern w:val="0"/>
                <w:sz w:val="20"/>
                <w:szCs w:val="20"/>
              </w:rPr>
              <w:t>型证券投资基金</w:t>
            </w:r>
          </w:p>
        </w:tc>
        <w:tc>
          <w:tcPr>
            <w:tcW w:w="2133" w:type="dxa"/>
            <w:vAlign w:val="center"/>
          </w:tcPr>
          <w:p w:rsidR="00B756EC" w:rsidRDefault="00990F42">
            <w:pPr>
              <w:rPr>
                <w:sz w:val="23"/>
                <w:szCs w:val="23"/>
              </w:rPr>
            </w:pPr>
            <w:r>
              <w:rPr>
                <w:rFonts w:ascii="Arial" w:hAnsi="Arial"/>
                <w:kern w:val="0"/>
                <w:sz w:val="20"/>
                <w:szCs w:val="20"/>
              </w:rPr>
              <w:t>100</w:t>
            </w:r>
          </w:p>
        </w:tc>
        <w:tc>
          <w:tcPr>
            <w:tcW w:w="2766" w:type="dxa"/>
            <w:vAlign w:val="center"/>
          </w:tcPr>
          <w:p w:rsidR="00B756EC" w:rsidRDefault="00990F42">
            <w:pPr>
              <w:rPr>
                <w:sz w:val="23"/>
                <w:szCs w:val="23"/>
              </w:rPr>
            </w:pPr>
            <w:r>
              <w:rPr>
                <w:rFonts w:ascii="Arial" w:hAnsi="Arial"/>
                <w:kern w:val="0"/>
                <w:sz w:val="20"/>
                <w:szCs w:val="20"/>
              </w:rPr>
              <w:t>2000</w:t>
            </w:r>
          </w:p>
        </w:tc>
      </w:tr>
    </w:tbl>
    <w:p w:rsidR="00B756EC" w:rsidRDefault="00B756EC">
      <w:pPr>
        <w:rPr>
          <w:sz w:val="23"/>
          <w:szCs w:val="23"/>
        </w:rPr>
      </w:pPr>
    </w:p>
    <w:p w:rsidR="00B756EC" w:rsidRDefault="00990F42">
      <w:pPr>
        <w:ind w:firstLineChars="200" w:firstLine="480"/>
        <w:rPr>
          <w:rFonts w:ascii="Times New Roman" w:hAnsi="Times New Roman" w:cs="Times New Roman"/>
          <w:sz w:val="24"/>
          <w:szCs w:val="24"/>
        </w:rPr>
      </w:pPr>
      <w:r>
        <w:rPr>
          <w:rFonts w:ascii="Times New Roman" w:hAnsi="Times New Roman" w:cs="Times New Roman" w:hint="eastAsia"/>
          <w:sz w:val="24"/>
          <w:szCs w:val="24"/>
        </w:rPr>
        <w:t>如有</w:t>
      </w:r>
      <w:r>
        <w:rPr>
          <w:rFonts w:ascii="Times New Roman" w:hAnsi="Times New Roman" w:cs="Times New Roman"/>
          <w:sz w:val="24"/>
          <w:szCs w:val="24"/>
        </w:rPr>
        <w:t>疑问，投资者可拨打本公司的客户服务电话：</w:t>
      </w:r>
      <w:r>
        <w:rPr>
          <w:rFonts w:ascii="Times New Roman" w:hAnsi="Times New Roman" w:cs="Times New Roman"/>
          <w:sz w:val="24"/>
          <w:szCs w:val="24"/>
        </w:rPr>
        <w:t>021-38848999 / 400-888-5566</w:t>
      </w:r>
      <w:r>
        <w:rPr>
          <w:rFonts w:ascii="Times New Roman" w:hAnsi="Times New Roman" w:cs="Times New Roman"/>
          <w:sz w:val="24"/>
          <w:szCs w:val="24"/>
        </w:rPr>
        <w:t>或登陆本公司网站</w:t>
      </w:r>
      <w:r>
        <w:rPr>
          <w:rFonts w:ascii="Times New Roman" w:hAnsi="Times New Roman" w:cs="Times New Roman"/>
          <w:sz w:val="24"/>
          <w:szCs w:val="24"/>
        </w:rPr>
        <w:t>www.bocim.com</w:t>
      </w:r>
      <w:r>
        <w:rPr>
          <w:rFonts w:ascii="Times New Roman" w:hAnsi="Times New Roman" w:cs="Times New Roman"/>
          <w:sz w:val="24"/>
          <w:szCs w:val="24"/>
        </w:rPr>
        <w:t>了解相关情况。</w:t>
      </w:r>
    </w:p>
    <w:p w:rsidR="00B756EC" w:rsidRDefault="00B756EC">
      <w:pPr>
        <w:autoSpaceDE w:val="0"/>
        <w:autoSpaceDN w:val="0"/>
        <w:adjustRightInd w:val="0"/>
        <w:jc w:val="left"/>
        <w:rPr>
          <w:rFonts w:ascii="宋体" w:cs="宋体"/>
          <w:color w:val="000000"/>
          <w:kern w:val="0"/>
          <w:sz w:val="23"/>
          <w:szCs w:val="23"/>
        </w:rPr>
      </w:pPr>
    </w:p>
    <w:p w:rsidR="00B756EC" w:rsidRDefault="00990F42">
      <w:pPr>
        <w:autoSpaceDE w:val="0"/>
        <w:autoSpaceDN w:val="0"/>
        <w:adjustRightInd w:val="0"/>
        <w:jc w:val="left"/>
        <w:rPr>
          <w:rFonts w:ascii="Times New Roman" w:hAnsi="Times New Roman" w:cs="Times New Roman"/>
          <w:b/>
          <w:sz w:val="24"/>
          <w:szCs w:val="24"/>
        </w:rPr>
      </w:pPr>
      <w:r>
        <w:rPr>
          <w:rFonts w:ascii="Times New Roman" w:hAnsi="Times New Roman" w:cs="Times New Roman" w:hint="eastAsia"/>
          <w:b/>
          <w:sz w:val="24"/>
          <w:szCs w:val="24"/>
        </w:rPr>
        <w:t>风险提示：</w:t>
      </w:r>
    </w:p>
    <w:p w:rsidR="00B756EC" w:rsidRDefault="00990F42">
      <w:pPr>
        <w:pStyle w:val="a9"/>
        <w:spacing w:before="251" w:after="167" w:line="360" w:lineRule="auto"/>
        <w:ind w:firstLine="536"/>
        <w:jc w:val="both"/>
        <w:rPr>
          <w:rFonts w:ascii="Times New Roman" w:hAnsi="Times New Roman" w:cs="Times New Roman"/>
        </w:rPr>
      </w:pPr>
      <w:r>
        <w:rPr>
          <w:rFonts w:ascii="Times New Roman" w:hAnsi="Times New Roman" w:cs="Times New Roman" w:hint="eastAsia"/>
        </w:rPr>
        <w:t>基金管理人承诺以诚实信用、勤勉尽责的原则管理和运用基金财产，但不保证基金一定盈利，也不保证最低收益。</w:t>
      </w:r>
      <w:r>
        <w:t>基金管理人提醒投资人基金投资的</w:t>
      </w:r>
      <w:r>
        <w:t>“</w:t>
      </w:r>
      <w:r>
        <w:t>买者自负</w:t>
      </w:r>
      <w:r>
        <w:t>”</w:t>
      </w:r>
      <w:r>
        <w:t>原则，在做出投资决策后，基金运营状况与基金净值变化引致的投资风险，由投资人自行负担。投资者投资基金前应认真阅读基金合同、最新的招募说明书、产品资料概要等法律文件，了解拟投资基金的风险收益特征，并根据自身投资目的、投资期限、投资经验、资产状况等判断基金是否和投资者的风险承受能力相匹配。敬请投资者注意投资风险。</w:t>
      </w:r>
    </w:p>
    <w:p w:rsidR="00B756EC" w:rsidRDefault="00990F42">
      <w:pPr>
        <w:ind w:firstLineChars="200" w:firstLine="480"/>
        <w:rPr>
          <w:rFonts w:ascii="Times New Roman" w:hAnsi="Times New Roman" w:cs="Times New Roman"/>
          <w:sz w:val="24"/>
          <w:szCs w:val="24"/>
        </w:rPr>
      </w:pPr>
      <w:r>
        <w:rPr>
          <w:rFonts w:ascii="Times New Roman" w:hAnsi="Times New Roman" w:cs="Times New Roman" w:hint="eastAsia"/>
          <w:sz w:val="24"/>
          <w:szCs w:val="24"/>
        </w:rPr>
        <w:t>特此公告。</w:t>
      </w:r>
    </w:p>
    <w:p w:rsidR="00B756EC" w:rsidRDefault="00B756EC">
      <w:pPr>
        <w:ind w:firstLineChars="200" w:firstLine="480"/>
        <w:rPr>
          <w:rFonts w:ascii="Times New Roman" w:hAnsi="Times New Roman" w:cs="Times New Roman"/>
          <w:sz w:val="24"/>
          <w:szCs w:val="24"/>
        </w:rPr>
      </w:pPr>
    </w:p>
    <w:p w:rsidR="00B756EC" w:rsidRDefault="00990F42">
      <w:pPr>
        <w:spacing w:line="360" w:lineRule="auto"/>
        <w:ind w:left="5400" w:right="480" w:hangingChars="2250" w:hanging="5400"/>
        <w:jc w:val="right"/>
        <w:rPr>
          <w:rFonts w:ascii="Times New Roman" w:hAnsi="Times New Roman" w:cs="Times New Roman"/>
          <w:sz w:val="24"/>
          <w:szCs w:val="24"/>
        </w:rPr>
      </w:pPr>
      <w:r>
        <w:rPr>
          <w:rFonts w:ascii="Times New Roman" w:hAnsi="Times New Roman" w:cs="Times New Roman"/>
          <w:sz w:val="24"/>
          <w:szCs w:val="24"/>
        </w:rPr>
        <w:t>中银基金管理有限公司</w:t>
      </w:r>
    </w:p>
    <w:p w:rsidR="00B756EC" w:rsidRDefault="00990F42">
      <w:pPr>
        <w:spacing w:line="360" w:lineRule="auto"/>
        <w:ind w:right="480" w:firstLineChars="200" w:firstLine="480"/>
        <w:jc w:val="right"/>
        <w:rPr>
          <w:rFonts w:ascii="Times New Roman" w:hAnsi="Times New Roman" w:cs="Times New Roman"/>
          <w:sz w:val="24"/>
          <w:szCs w:val="24"/>
        </w:rPr>
      </w:pPr>
      <w:r>
        <w:rPr>
          <w:rFonts w:ascii="Times New Roman" w:hAnsi="Times New Roman" w:cs="Times New Roman"/>
          <w:sz w:val="24"/>
          <w:szCs w:val="24"/>
        </w:rPr>
        <w:t xml:space="preserve">                                         2023</w:t>
      </w:r>
      <w:r>
        <w:rPr>
          <w:rFonts w:ascii="Times New Roman" w:hAnsi="Times New Roman" w:cs="Times New Roman"/>
          <w:sz w:val="24"/>
          <w:szCs w:val="24"/>
        </w:rPr>
        <w:t>年</w:t>
      </w:r>
      <w:r>
        <w:rPr>
          <w:rFonts w:ascii="Times New Roman" w:hAnsi="Times New Roman" w:cs="Times New Roman"/>
          <w:sz w:val="24"/>
          <w:szCs w:val="24"/>
        </w:rPr>
        <w:t>8</w:t>
      </w:r>
      <w:r>
        <w:rPr>
          <w:rFonts w:ascii="Times New Roman" w:hAnsi="Times New Roman" w:cs="Times New Roman"/>
          <w:sz w:val="24"/>
          <w:szCs w:val="24"/>
        </w:rPr>
        <w:t>月</w:t>
      </w:r>
      <w:r>
        <w:rPr>
          <w:rFonts w:ascii="Times New Roman" w:hAnsi="Times New Roman" w:cs="Times New Roman" w:hint="eastAsia"/>
          <w:sz w:val="24"/>
          <w:szCs w:val="24"/>
        </w:rPr>
        <w:t>1</w:t>
      </w:r>
      <w:r>
        <w:rPr>
          <w:rFonts w:ascii="Times New Roman" w:hAnsi="Times New Roman" w:cs="Times New Roman"/>
          <w:sz w:val="24"/>
          <w:szCs w:val="24"/>
        </w:rPr>
        <w:t>8</w:t>
      </w:r>
      <w:r>
        <w:rPr>
          <w:rFonts w:ascii="Times New Roman" w:hAnsi="Times New Roman" w:cs="Times New Roman" w:hint="eastAsia"/>
          <w:sz w:val="24"/>
          <w:szCs w:val="24"/>
        </w:rPr>
        <w:t xml:space="preserve"> </w:t>
      </w:r>
      <w:r>
        <w:rPr>
          <w:rFonts w:ascii="Times New Roman" w:hAnsi="Times New Roman" w:cs="Times New Roman"/>
          <w:sz w:val="24"/>
          <w:szCs w:val="24"/>
        </w:rPr>
        <w:t>日</w:t>
      </w:r>
    </w:p>
    <w:p w:rsidR="00B756EC" w:rsidRDefault="00B756EC">
      <w:pPr>
        <w:ind w:firstLineChars="200" w:firstLine="460"/>
        <w:rPr>
          <w:sz w:val="23"/>
          <w:szCs w:val="23"/>
        </w:rPr>
      </w:pPr>
    </w:p>
    <w:sectPr w:rsidR="00B756EC" w:rsidSect="00B756EC">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Lucida Sans"/>
    <w:charset w:val="00"/>
    <w:family w:val="auto"/>
    <w:pitch w:val="variable"/>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rsids>
    <w:rsidRoot w:val="00B756EC"/>
    <w:rsid w:val="00990F42"/>
    <w:rsid w:val="00B75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756EC"/>
    <w:pPr>
      <w:widowControl w:val="0"/>
      <w:jc w:val="both"/>
    </w:pPr>
    <w:rPr>
      <w:rFonts w:ascii="Calibri" w:hAnsi="Calibri" w:cs="Arial"/>
      <w:kern w:val="2"/>
      <w:sz w:val="21"/>
      <w:szCs w:val="22"/>
    </w:rPr>
  </w:style>
  <w:style w:type="paragraph" w:styleId="1">
    <w:name w:val="heading 1"/>
    <w:basedOn w:val="a"/>
    <w:next w:val="a"/>
    <w:rsid w:val="00B756EC"/>
    <w:pPr>
      <w:keepNext/>
      <w:keepLines/>
      <w:spacing w:before="340" w:after="330" w:line="578" w:lineRule="auto"/>
      <w:outlineLvl w:val="0"/>
    </w:pPr>
    <w:rPr>
      <w:b/>
      <w:bCs/>
      <w:kern w:val="44"/>
      <w:sz w:val="44"/>
    </w:rPr>
  </w:style>
  <w:style w:type="paragraph" w:styleId="2">
    <w:name w:val="heading 2"/>
    <w:basedOn w:val="a"/>
    <w:next w:val="a"/>
    <w:rsid w:val="00B756EC"/>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B756E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56EC"/>
    <w:pPr>
      <w:widowControl w:val="0"/>
      <w:autoSpaceDE w:val="0"/>
      <w:autoSpaceDN w:val="0"/>
      <w:adjustRightInd w:val="0"/>
    </w:pPr>
    <w:rPr>
      <w:rFonts w:ascii="宋体" w:cs="宋体"/>
      <w:color w:val="000000"/>
      <w:sz w:val="24"/>
      <w:szCs w:val="24"/>
    </w:rPr>
  </w:style>
  <w:style w:type="paragraph" w:styleId="a3">
    <w:name w:val="header"/>
    <w:basedOn w:val="a"/>
    <w:rsid w:val="00B756EC"/>
    <w:pPr>
      <w:pBdr>
        <w:bottom w:val="single" w:sz="6" w:space="1" w:color="auto"/>
      </w:pBdr>
      <w:tabs>
        <w:tab w:val="center" w:pos="4153"/>
        <w:tab w:val="right" w:pos="8306"/>
      </w:tabs>
      <w:snapToGrid w:val="0"/>
      <w:jc w:val="center"/>
    </w:pPr>
    <w:rPr>
      <w:sz w:val="18"/>
      <w:szCs w:val="18"/>
    </w:rPr>
  </w:style>
  <w:style w:type="paragraph" w:styleId="a4">
    <w:name w:val="footer"/>
    <w:basedOn w:val="a"/>
    <w:rsid w:val="00B756EC"/>
    <w:pPr>
      <w:tabs>
        <w:tab w:val="center" w:pos="4153"/>
        <w:tab w:val="right" w:pos="8306"/>
      </w:tabs>
      <w:snapToGrid w:val="0"/>
      <w:jc w:val="left"/>
    </w:pPr>
    <w:rPr>
      <w:sz w:val="18"/>
      <w:szCs w:val="18"/>
    </w:rPr>
  </w:style>
  <w:style w:type="paragraph" w:styleId="a5">
    <w:name w:val="Balloon Text"/>
    <w:basedOn w:val="a"/>
    <w:rsid w:val="00B756EC"/>
    <w:rPr>
      <w:sz w:val="18"/>
      <w:szCs w:val="18"/>
    </w:rPr>
  </w:style>
  <w:style w:type="character" w:styleId="a6">
    <w:name w:val="annotation reference"/>
    <w:basedOn w:val="a0"/>
    <w:rsid w:val="00B756EC"/>
    <w:rPr>
      <w:sz w:val="21"/>
      <w:szCs w:val="21"/>
    </w:rPr>
  </w:style>
  <w:style w:type="paragraph" w:styleId="a7">
    <w:name w:val="annotation text"/>
    <w:basedOn w:val="a"/>
    <w:rsid w:val="00B756EC"/>
    <w:pPr>
      <w:jc w:val="left"/>
    </w:pPr>
  </w:style>
  <w:style w:type="paragraph" w:styleId="a8">
    <w:name w:val="annotation subject"/>
    <w:basedOn w:val="a7"/>
    <w:next w:val="a7"/>
    <w:rsid w:val="00B756EC"/>
    <w:rPr>
      <w:b/>
      <w:bCs/>
    </w:rPr>
  </w:style>
  <w:style w:type="paragraph" w:styleId="a9">
    <w:name w:val="Normal (Web)"/>
    <w:basedOn w:val="a"/>
    <w:rsid w:val="00B756EC"/>
    <w:pPr>
      <w:widowControl/>
      <w:spacing w:before="100" w:beforeAutospacing="1" w:after="100" w:afterAutospacing="1"/>
      <w:jc w:val="left"/>
    </w:pPr>
    <w:rPr>
      <w:rFonts w:ascii="宋体" w:cs="宋体"/>
      <w:kern w:val="0"/>
      <w:sz w:val="24"/>
      <w:szCs w:val="24"/>
    </w:rPr>
  </w:style>
  <w:style w:type="paragraph" w:styleId="10">
    <w:name w:val="toc 1"/>
    <w:basedOn w:val="a"/>
    <w:next w:val="a"/>
    <w:autoRedefine/>
    <w:rsid w:val="00B756EC"/>
  </w:style>
  <w:style w:type="paragraph" w:styleId="20">
    <w:name w:val="toc 2"/>
    <w:basedOn w:val="a"/>
    <w:next w:val="a"/>
    <w:autoRedefine/>
    <w:rsid w:val="00B756EC"/>
    <w:pPr>
      <w:ind w:left="420"/>
    </w:pPr>
  </w:style>
  <w:style w:type="paragraph" w:styleId="30">
    <w:name w:val="toc 3"/>
    <w:basedOn w:val="a"/>
    <w:next w:val="a"/>
    <w:autoRedefine/>
    <w:rsid w:val="00B756EC"/>
    <w:pPr>
      <w:ind w:left="840"/>
    </w:pPr>
  </w:style>
  <w:style w:type="paragraph" w:styleId="4">
    <w:name w:val="toc 4"/>
    <w:basedOn w:val="a"/>
    <w:next w:val="a"/>
    <w:autoRedefine/>
    <w:rsid w:val="00B756EC"/>
    <w:pPr>
      <w:ind w:left="1260"/>
    </w:pPr>
  </w:style>
  <w:style w:type="paragraph" w:styleId="5">
    <w:name w:val="toc 5"/>
    <w:basedOn w:val="a"/>
    <w:next w:val="a"/>
    <w:autoRedefine/>
    <w:rsid w:val="00B756EC"/>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x/local/!CommandParam(8514,CompanyId=lGtAFVLlB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4</DocSecurity>
  <Lines>6</Lines>
  <Paragraphs>1</Paragraphs>
  <ScaleCrop>false</ScaleCrop>
  <Company>CNSTOCK</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苗婷</dc:creator>
  <cp:lastModifiedBy>ZHONGM</cp:lastModifiedBy>
  <cp:revision>2</cp:revision>
  <dcterms:created xsi:type="dcterms:W3CDTF">2023-08-18T16:01:00Z</dcterms:created>
  <dcterms:modified xsi:type="dcterms:W3CDTF">2023-08-18T16:01:00Z</dcterms:modified>
</cp:coreProperties>
</file>