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E9F" w:rsidRDefault="00C65E9F" w:rsidP="00FD1DE0">
      <w:pPr>
        <w:jc w:val="center"/>
        <w:rPr>
          <w:rFonts w:ascii="仿宋_GB2312"/>
          <w:b/>
          <w:bCs/>
          <w:sz w:val="28"/>
        </w:rPr>
      </w:pPr>
      <w:r w:rsidRPr="00C65E9F">
        <w:rPr>
          <w:rFonts w:ascii="仿宋_GB2312" w:hint="eastAsia"/>
          <w:b/>
          <w:bCs/>
          <w:sz w:val="28"/>
        </w:rPr>
        <w:t>中信保诚基金管理有限公司</w:t>
      </w:r>
    </w:p>
    <w:p w:rsidR="006763BB" w:rsidRDefault="00FD1DE0" w:rsidP="00FD1DE0">
      <w:pPr>
        <w:jc w:val="center"/>
        <w:rPr>
          <w:rFonts w:ascii="仿宋_GB2312" w:hint="eastAsia"/>
          <w:b/>
          <w:bCs/>
          <w:sz w:val="28"/>
        </w:rPr>
      </w:pPr>
      <w:r w:rsidRPr="00FD1DE0">
        <w:rPr>
          <w:rFonts w:ascii="仿宋_GB2312" w:hint="eastAsia"/>
          <w:b/>
          <w:bCs/>
          <w:sz w:val="28"/>
        </w:rPr>
        <w:t>关于在</w:t>
      </w:r>
      <w:bookmarkStart w:id="0" w:name="_Hlk121325438"/>
      <w:r w:rsidR="00EE6C21">
        <w:rPr>
          <w:rFonts w:ascii="仿宋_GB2312" w:hint="eastAsia"/>
          <w:b/>
          <w:bCs/>
          <w:sz w:val="28"/>
        </w:rPr>
        <w:t>民生银行</w:t>
      </w:r>
      <w:r w:rsidR="0015262C">
        <w:rPr>
          <w:rFonts w:ascii="仿宋_GB2312" w:hint="eastAsia"/>
          <w:b/>
          <w:bCs/>
          <w:sz w:val="28"/>
        </w:rPr>
        <w:t>“</w:t>
      </w:r>
      <w:r w:rsidR="00EE6C21">
        <w:rPr>
          <w:rFonts w:ascii="仿宋_GB2312" w:hint="eastAsia"/>
          <w:b/>
          <w:bCs/>
          <w:sz w:val="28"/>
        </w:rPr>
        <w:t>天天宝</w:t>
      </w:r>
      <w:r w:rsidR="0015262C">
        <w:rPr>
          <w:rFonts w:ascii="仿宋_GB2312" w:hint="eastAsia"/>
          <w:b/>
          <w:bCs/>
          <w:sz w:val="28"/>
        </w:rPr>
        <w:t>”平台</w:t>
      </w:r>
      <w:bookmarkEnd w:id="0"/>
      <w:r w:rsidRPr="00FD1DE0">
        <w:rPr>
          <w:rFonts w:ascii="仿宋_GB2312" w:hint="eastAsia"/>
          <w:b/>
          <w:bCs/>
          <w:sz w:val="28"/>
        </w:rPr>
        <w:t>开通</w:t>
      </w:r>
      <w:r w:rsidR="006F4CE7" w:rsidRPr="006F4CE7">
        <w:rPr>
          <w:rFonts w:ascii="仿宋_GB2312" w:hint="eastAsia"/>
          <w:b/>
          <w:bCs/>
          <w:sz w:val="28"/>
        </w:rPr>
        <w:t>信诚智惠金</w:t>
      </w:r>
      <w:r w:rsidR="003245A5" w:rsidRPr="003245A5">
        <w:rPr>
          <w:rFonts w:ascii="仿宋_GB2312" w:hint="eastAsia"/>
          <w:b/>
          <w:bCs/>
          <w:sz w:val="28"/>
        </w:rPr>
        <w:t>货币市场基金</w:t>
      </w:r>
      <w:r w:rsidR="006F4CE7">
        <w:rPr>
          <w:rFonts w:ascii="仿宋_GB2312" w:hint="eastAsia"/>
          <w:b/>
          <w:bCs/>
          <w:sz w:val="28"/>
        </w:rPr>
        <w:t>C</w:t>
      </w:r>
      <w:r w:rsidR="006F4CE7">
        <w:rPr>
          <w:rFonts w:ascii="仿宋_GB2312" w:hint="eastAsia"/>
          <w:b/>
          <w:bCs/>
          <w:sz w:val="28"/>
        </w:rPr>
        <w:t>类</w:t>
      </w:r>
      <w:r w:rsidR="003245A5" w:rsidRPr="003245A5">
        <w:rPr>
          <w:rFonts w:ascii="仿宋_GB2312" w:hint="eastAsia"/>
          <w:b/>
          <w:bCs/>
          <w:sz w:val="28"/>
        </w:rPr>
        <w:t>份额</w:t>
      </w:r>
      <w:r>
        <w:rPr>
          <w:rFonts w:ascii="仿宋_GB2312" w:hint="eastAsia"/>
          <w:b/>
          <w:bCs/>
          <w:sz w:val="28"/>
        </w:rPr>
        <w:t>T+0</w:t>
      </w:r>
      <w:r w:rsidRPr="00FD1DE0">
        <w:rPr>
          <w:rFonts w:ascii="仿宋_GB2312" w:hint="eastAsia"/>
          <w:b/>
          <w:bCs/>
          <w:sz w:val="28"/>
        </w:rPr>
        <w:t>快速赎回业务</w:t>
      </w:r>
      <w:r>
        <w:rPr>
          <w:rFonts w:ascii="仿宋_GB2312" w:hint="eastAsia"/>
          <w:b/>
          <w:bCs/>
          <w:sz w:val="28"/>
        </w:rPr>
        <w:t>的</w:t>
      </w:r>
      <w:r w:rsidRPr="00FD1DE0">
        <w:rPr>
          <w:rFonts w:ascii="仿宋_GB2312" w:hint="eastAsia"/>
          <w:b/>
          <w:bCs/>
          <w:sz w:val="28"/>
        </w:rPr>
        <w:t>公告</w:t>
      </w:r>
    </w:p>
    <w:p w:rsidR="00922009" w:rsidRDefault="00922009" w:rsidP="00831D37">
      <w:pPr>
        <w:spacing w:line="480" w:lineRule="auto"/>
        <w:ind w:firstLine="420"/>
        <w:rPr>
          <w:rFonts w:ascii="宋体" w:hAnsi="宋体"/>
          <w:sz w:val="24"/>
        </w:rPr>
      </w:pPr>
    </w:p>
    <w:p w:rsidR="00CD0AD3" w:rsidRDefault="00FD1DE0" w:rsidP="00CD0AD3">
      <w:pPr>
        <w:spacing w:line="480" w:lineRule="auto"/>
        <w:ind w:firstLine="420"/>
        <w:rPr>
          <w:rFonts w:ascii="宋体" w:hAnsi="宋体"/>
          <w:sz w:val="24"/>
        </w:rPr>
      </w:pPr>
      <w:r w:rsidRPr="00831D37">
        <w:rPr>
          <w:rFonts w:ascii="宋体" w:hAnsi="宋体" w:hint="eastAsia"/>
          <w:sz w:val="24"/>
        </w:rPr>
        <w:t>为了满足投资者理财资金的快速周转需求，提升资金使用效率，</w:t>
      </w:r>
      <w:r w:rsidR="00EE76A9" w:rsidRPr="00EE76A9">
        <w:rPr>
          <w:rFonts w:ascii="宋体" w:hAnsi="宋体" w:hint="eastAsia"/>
          <w:sz w:val="24"/>
        </w:rPr>
        <w:t>中信保诚基金管理有限公司</w:t>
      </w:r>
      <w:r w:rsidRPr="00831D37">
        <w:rPr>
          <w:rFonts w:ascii="宋体" w:hAnsi="宋体" w:hint="eastAsia"/>
          <w:sz w:val="24"/>
        </w:rPr>
        <w:t>（以下简称“本公司”</w:t>
      </w:r>
      <w:r w:rsidR="00831D37" w:rsidRPr="00831D37">
        <w:rPr>
          <w:rFonts w:ascii="宋体" w:hAnsi="宋体" w:hint="eastAsia"/>
          <w:sz w:val="24"/>
        </w:rPr>
        <w:t>）与</w:t>
      </w:r>
      <w:r w:rsidR="00EE6C21" w:rsidRPr="00EE6C21">
        <w:rPr>
          <w:rFonts w:ascii="宋体" w:hAnsi="宋体" w:hint="eastAsia"/>
          <w:sz w:val="24"/>
        </w:rPr>
        <w:t>中国民生银行股份有限公司</w:t>
      </w:r>
      <w:r w:rsidR="00831D37" w:rsidRPr="00831D37">
        <w:rPr>
          <w:rFonts w:ascii="宋体" w:hAnsi="宋体" w:hint="eastAsia"/>
          <w:sz w:val="24"/>
        </w:rPr>
        <w:t>（以下简称“</w:t>
      </w:r>
      <w:r w:rsidR="00EE6C21">
        <w:rPr>
          <w:rFonts w:ascii="宋体" w:hAnsi="宋体" w:hint="eastAsia"/>
          <w:sz w:val="24"/>
        </w:rPr>
        <w:t>民生银行</w:t>
      </w:r>
      <w:r w:rsidR="00831D37" w:rsidRPr="00831D37">
        <w:rPr>
          <w:rFonts w:ascii="宋体" w:hAnsi="宋体" w:hint="eastAsia"/>
          <w:sz w:val="24"/>
        </w:rPr>
        <w:t>”</w:t>
      </w:r>
      <w:r w:rsidR="00831D37">
        <w:rPr>
          <w:rFonts w:ascii="宋体" w:hAnsi="宋体"/>
          <w:sz w:val="24"/>
        </w:rPr>
        <w:t>）</w:t>
      </w:r>
      <w:r w:rsidR="00243F53">
        <w:rPr>
          <w:rFonts w:ascii="宋体" w:hAnsi="宋体" w:hint="eastAsia"/>
          <w:sz w:val="24"/>
        </w:rPr>
        <w:t>合作</w:t>
      </w:r>
      <w:bookmarkStart w:id="1" w:name="_Hlk121388250"/>
      <w:r w:rsidR="00EE76A9" w:rsidRPr="00EE76A9">
        <w:rPr>
          <w:rFonts w:ascii="宋体" w:hAnsi="宋体" w:hint="eastAsia"/>
          <w:sz w:val="24"/>
        </w:rPr>
        <w:t>“</w:t>
      </w:r>
      <w:r w:rsidR="00EE6C21">
        <w:rPr>
          <w:rFonts w:ascii="宋体" w:hAnsi="宋体" w:hint="eastAsia"/>
          <w:sz w:val="24"/>
        </w:rPr>
        <w:t>天天宝</w:t>
      </w:r>
      <w:r w:rsidR="00EE76A9" w:rsidRPr="00EE76A9">
        <w:rPr>
          <w:rFonts w:ascii="宋体" w:hAnsi="宋体" w:hint="eastAsia"/>
          <w:sz w:val="24"/>
        </w:rPr>
        <w:t>”</w:t>
      </w:r>
      <w:bookmarkEnd w:id="1"/>
      <w:r w:rsidR="00943A38">
        <w:rPr>
          <w:rFonts w:ascii="宋体" w:hAnsi="宋体" w:hint="eastAsia"/>
          <w:sz w:val="24"/>
        </w:rPr>
        <w:t>转出</w:t>
      </w:r>
      <w:r w:rsidR="00243F53">
        <w:rPr>
          <w:rFonts w:ascii="宋体" w:hAnsi="宋体" w:hint="eastAsia"/>
          <w:sz w:val="24"/>
        </w:rPr>
        <w:t>业务</w:t>
      </w:r>
      <w:r w:rsidR="00CD0AD3">
        <w:rPr>
          <w:rFonts w:ascii="宋体" w:hAnsi="宋体" w:hint="eastAsia"/>
          <w:sz w:val="24"/>
        </w:rPr>
        <w:t>：</w:t>
      </w:r>
      <w:r w:rsidR="00243F53" w:rsidRPr="006763BB">
        <w:rPr>
          <w:rFonts w:ascii="宋体" w:hAnsi="宋体" w:hint="eastAsia"/>
          <w:sz w:val="24"/>
        </w:rPr>
        <w:t>自</w:t>
      </w:r>
      <w:r w:rsidR="00EE6C21" w:rsidRPr="006763BB">
        <w:rPr>
          <w:rFonts w:ascii="宋体" w:hAnsi="宋体" w:hint="eastAsia"/>
          <w:sz w:val="24"/>
        </w:rPr>
        <w:t>202</w:t>
      </w:r>
      <w:r w:rsidR="00EE6C21">
        <w:rPr>
          <w:rFonts w:ascii="宋体" w:hAnsi="宋体"/>
          <w:sz w:val="24"/>
        </w:rPr>
        <w:t>3</w:t>
      </w:r>
      <w:r w:rsidR="00EE6C21" w:rsidRPr="006763BB">
        <w:rPr>
          <w:rFonts w:ascii="宋体" w:hAnsi="宋体" w:hint="eastAsia"/>
          <w:sz w:val="24"/>
        </w:rPr>
        <w:t>年</w:t>
      </w:r>
      <w:r w:rsidR="00EE6C21">
        <w:rPr>
          <w:rFonts w:ascii="宋体" w:hAnsi="宋体"/>
          <w:sz w:val="24"/>
        </w:rPr>
        <w:t>8</w:t>
      </w:r>
      <w:r w:rsidR="00243F53" w:rsidRPr="006763BB">
        <w:rPr>
          <w:rFonts w:ascii="宋体" w:hAnsi="宋体" w:hint="eastAsia"/>
          <w:sz w:val="24"/>
        </w:rPr>
        <w:t>月</w:t>
      </w:r>
      <w:r w:rsidR="00EE6C21">
        <w:rPr>
          <w:rFonts w:ascii="宋体" w:hAnsi="宋体"/>
          <w:sz w:val="24"/>
        </w:rPr>
        <w:t>23</w:t>
      </w:r>
      <w:r w:rsidR="00243F53" w:rsidRPr="006763BB">
        <w:rPr>
          <w:rFonts w:ascii="宋体" w:hAnsi="宋体" w:hint="eastAsia"/>
          <w:sz w:val="24"/>
        </w:rPr>
        <w:t>日</w:t>
      </w:r>
      <w:r w:rsidR="00243F53" w:rsidRPr="00831D37">
        <w:rPr>
          <w:rFonts w:ascii="宋体" w:hAnsi="宋体"/>
          <w:sz w:val="24"/>
        </w:rPr>
        <w:t>起</w:t>
      </w:r>
      <w:r w:rsidR="00243F53">
        <w:rPr>
          <w:rFonts w:ascii="宋体" w:hAnsi="宋体" w:hint="eastAsia"/>
          <w:sz w:val="24"/>
        </w:rPr>
        <w:t>，</w:t>
      </w:r>
      <w:r w:rsidR="00CD0AD3" w:rsidRPr="00831D37">
        <w:rPr>
          <w:rFonts w:ascii="宋体" w:hAnsi="宋体"/>
          <w:sz w:val="24"/>
        </w:rPr>
        <w:t>推出</w:t>
      </w:r>
      <w:r w:rsidR="00CD0AD3" w:rsidRPr="00EE76A9">
        <w:rPr>
          <w:rFonts w:ascii="宋体" w:hAnsi="宋体" w:hint="eastAsia"/>
          <w:sz w:val="24"/>
        </w:rPr>
        <w:t>信诚智惠金货币市场基金</w:t>
      </w:r>
      <w:r w:rsidR="00CD0AD3">
        <w:rPr>
          <w:rFonts w:ascii="宋体" w:hAnsi="宋体"/>
          <w:sz w:val="24"/>
        </w:rPr>
        <w:t>C</w:t>
      </w:r>
      <w:r w:rsidR="00CD0AD3">
        <w:rPr>
          <w:rFonts w:ascii="宋体" w:hAnsi="宋体" w:hint="eastAsia"/>
          <w:sz w:val="24"/>
        </w:rPr>
        <w:t>类份额</w:t>
      </w:r>
      <w:r w:rsidR="00CD0AD3" w:rsidRPr="00831D37">
        <w:rPr>
          <w:rFonts w:ascii="宋体" w:hAnsi="宋体"/>
          <w:sz w:val="24"/>
        </w:rPr>
        <w:t>（以下简称“</w:t>
      </w:r>
      <w:r w:rsidR="00CD0AD3" w:rsidRPr="00EE76A9">
        <w:rPr>
          <w:rFonts w:ascii="宋体" w:hAnsi="宋体" w:hint="eastAsia"/>
          <w:sz w:val="24"/>
        </w:rPr>
        <w:t>信诚智惠金</w:t>
      </w:r>
      <w:r w:rsidR="00CD0AD3">
        <w:rPr>
          <w:rFonts w:ascii="宋体" w:hAnsi="宋体"/>
          <w:sz w:val="24"/>
        </w:rPr>
        <w:t>C</w:t>
      </w:r>
      <w:r w:rsidR="00CD0AD3" w:rsidRPr="00831D37">
        <w:rPr>
          <w:rFonts w:ascii="宋体" w:hAnsi="宋体"/>
          <w:sz w:val="24"/>
        </w:rPr>
        <w:t>”）的T+0快速赎回业务（以下简称“快速赎回业务”）</w:t>
      </w:r>
      <w:r w:rsidR="00CD0AD3">
        <w:rPr>
          <w:rFonts w:ascii="宋体" w:hAnsi="宋体" w:hint="eastAsia"/>
          <w:sz w:val="24"/>
        </w:rPr>
        <w:t>，</w:t>
      </w:r>
      <w:r w:rsidR="00CD0AD3" w:rsidRPr="00831D37">
        <w:rPr>
          <w:rFonts w:ascii="宋体" w:hAnsi="宋体"/>
          <w:sz w:val="24"/>
        </w:rPr>
        <w:t>现将有关事项公告如下：</w:t>
      </w:r>
    </w:p>
    <w:p w:rsidR="00215A2E" w:rsidRPr="00215A2E" w:rsidRDefault="009A3D5B" w:rsidP="00CD0AD3">
      <w:pPr>
        <w:spacing w:line="480" w:lineRule="auto"/>
        <w:ind w:firstLine="420"/>
        <w:rPr>
          <w:rFonts w:ascii="宋体" w:hAnsi="宋体"/>
          <w:b/>
          <w:sz w:val="24"/>
        </w:rPr>
      </w:pPr>
      <w:r w:rsidRPr="00FD1DE0">
        <w:rPr>
          <w:rFonts w:ascii="宋体" w:hAnsi="宋体" w:hint="eastAsia"/>
          <w:b/>
          <w:sz w:val="24"/>
        </w:rPr>
        <w:t>一、</w:t>
      </w:r>
      <w:r w:rsidR="00FD1DE0" w:rsidRPr="00FD1DE0">
        <w:rPr>
          <w:rFonts w:ascii="宋体" w:hAnsi="宋体" w:hint="eastAsia"/>
          <w:b/>
          <w:sz w:val="24"/>
        </w:rPr>
        <w:t>快速赎回业务</w:t>
      </w:r>
    </w:p>
    <w:p w:rsidR="00831D37" w:rsidRDefault="00831D37" w:rsidP="00FA2056">
      <w:pPr>
        <w:spacing w:line="480" w:lineRule="auto"/>
        <w:ind w:firstLine="420"/>
        <w:rPr>
          <w:sz w:val="24"/>
        </w:rPr>
      </w:pPr>
      <w:r w:rsidRPr="008101B1">
        <w:rPr>
          <w:rFonts w:ascii="宋体" w:hAnsi="宋体" w:hint="eastAsia"/>
          <w:sz w:val="24"/>
        </w:rPr>
        <w:t>快速赎回业务是指根据投资者与</w:t>
      </w:r>
      <w:r w:rsidR="00EE6C21">
        <w:rPr>
          <w:rFonts w:ascii="宋体" w:hAnsi="宋体" w:hint="eastAsia"/>
          <w:sz w:val="24"/>
        </w:rPr>
        <w:t>民生银行</w:t>
      </w:r>
      <w:r w:rsidRPr="008101B1">
        <w:rPr>
          <w:rFonts w:ascii="宋体" w:hAnsi="宋体" w:hint="eastAsia"/>
          <w:sz w:val="24"/>
        </w:rPr>
        <w:t>签署的</w:t>
      </w:r>
      <w:r w:rsidR="00FA2056" w:rsidRPr="00FA2056">
        <w:rPr>
          <w:rFonts w:ascii="宋体" w:hAnsi="宋体" w:hint="eastAsia"/>
          <w:sz w:val="24"/>
        </w:rPr>
        <w:t>产品快速赎回服务协议</w:t>
      </w:r>
      <w:r w:rsidR="000F79C7">
        <w:rPr>
          <w:rFonts w:ascii="宋体" w:hAnsi="宋体" w:hint="eastAsia"/>
          <w:sz w:val="24"/>
        </w:rPr>
        <w:t>以及</w:t>
      </w:r>
      <w:r w:rsidR="000F79C7" w:rsidRPr="000F79C7">
        <w:rPr>
          <w:rFonts w:ascii="宋体" w:hAnsi="宋体" w:hint="eastAsia"/>
          <w:sz w:val="24"/>
        </w:rPr>
        <w:t>其他有关协议</w:t>
      </w:r>
      <w:r w:rsidR="00EC00DD">
        <w:rPr>
          <w:rFonts w:hint="eastAsia"/>
          <w:sz w:val="24"/>
        </w:rPr>
        <w:t>（以下</w:t>
      </w:r>
      <w:r w:rsidR="000F79C7">
        <w:rPr>
          <w:rFonts w:hint="eastAsia"/>
          <w:sz w:val="24"/>
        </w:rPr>
        <w:t>统</w:t>
      </w:r>
      <w:r w:rsidR="00EC00DD">
        <w:rPr>
          <w:rFonts w:hint="eastAsia"/>
          <w:sz w:val="24"/>
        </w:rPr>
        <w:t>称“</w:t>
      </w:r>
      <w:r w:rsidR="008458CC">
        <w:rPr>
          <w:rFonts w:hint="eastAsia"/>
          <w:sz w:val="24"/>
        </w:rPr>
        <w:t>《</w:t>
      </w:r>
      <w:r w:rsidR="00EC00DD">
        <w:rPr>
          <w:rFonts w:hint="eastAsia"/>
          <w:sz w:val="24"/>
        </w:rPr>
        <w:t>服务协议</w:t>
      </w:r>
      <w:r w:rsidR="008458CC">
        <w:rPr>
          <w:rFonts w:hint="eastAsia"/>
          <w:sz w:val="24"/>
        </w:rPr>
        <w:t>》</w:t>
      </w:r>
      <w:r w:rsidR="00EC00DD">
        <w:rPr>
          <w:rFonts w:hint="eastAsia"/>
          <w:sz w:val="24"/>
        </w:rPr>
        <w:t>”）</w:t>
      </w:r>
      <w:r w:rsidR="000F79C7">
        <w:rPr>
          <w:rFonts w:hint="eastAsia"/>
          <w:sz w:val="24"/>
        </w:rPr>
        <w:t>的</w:t>
      </w:r>
      <w:r w:rsidRPr="008101B1">
        <w:rPr>
          <w:rFonts w:ascii="宋体" w:hAnsi="宋体" w:hint="eastAsia"/>
          <w:sz w:val="24"/>
        </w:rPr>
        <w:t>相关约定,投资者通过</w:t>
      </w:r>
      <w:r w:rsidR="00EE6C21">
        <w:rPr>
          <w:rFonts w:ascii="宋体" w:hAnsi="宋体" w:hint="eastAsia"/>
          <w:sz w:val="24"/>
        </w:rPr>
        <w:t>民生银行</w:t>
      </w:r>
      <w:r w:rsidRPr="008101B1">
        <w:rPr>
          <w:rFonts w:ascii="宋体" w:hAnsi="宋体" w:hint="eastAsia"/>
          <w:sz w:val="24"/>
        </w:rPr>
        <w:t>“</w:t>
      </w:r>
      <w:r w:rsidR="00EE6C21">
        <w:rPr>
          <w:rFonts w:ascii="宋体" w:hAnsi="宋体" w:hint="eastAsia"/>
          <w:sz w:val="24"/>
        </w:rPr>
        <w:t>天天宝</w:t>
      </w:r>
      <w:r w:rsidRPr="008101B1">
        <w:rPr>
          <w:rFonts w:ascii="宋体" w:hAnsi="宋体" w:hint="eastAsia"/>
          <w:sz w:val="24"/>
        </w:rPr>
        <w:t>”平台提交快速赎回申请</w:t>
      </w:r>
      <w:r w:rsidR="00EC00DD">
        <w:rPr>
          <w:rFonts w:ascii="宋体" w:hAnsi="宋体" w:hint="eastAsia"/>
          <w:sz w:val="24"/>
        </w:rPr>
        <w:t>时</w:t>
      </w:r>
      <w:r w:rsidRPr="008101B1">
        <w:rPr>
          <w:rFonts w:ascii="宋体" w:hAnsi="宋体" w:hint="eastAsia"/>
          <w:sz w:val="24"/>
        </w:rPr>
        <w:t>,</w:t>
      </w:r>
      <w:r w:rsidR="00EC00DD">
        <w:rPr>
          <w:rFonts w:hint="eastAsia"/>
          <w:sz w:val="24"/>
        </w:rPr>
        <w:t>若该快速赎回申请符合</w:t>
      </w:r>
      <w:r w:rsidR="008458CC">
        <w:rPr>
          <w:rFonts w:hint="eastAsia"/>
          <w:sz w:val="24"/>
        </w:rPr>
        <w:t>《</w:t>
      </w:r>
      <w:r w:rsidR="00EC00DD">
        <w:rPr>
          <w:rFonts w:hint="eastAsia"/>
          <w:sz w:val="24"/>
        </w:rPr>
        <w:t>服务协议</w:t>
      </w:r>
      <w:r w:rsidR="008458CC">
        <w:rPr>
          <w:rFonts w:hint="eastAsia"/>
          <w:sz w:val="24"/>
        </w:rPr>
        <w:t>》</w:t>
      </w:r>
      <w:r w:rsidR="00EC00DD">
        <w:rPr>
          <w:rFonts w:hint="eastAsia"/>
          <w:sz w:val="24"/>
        </w:rPr>
        <w:t>约定的条件</w:t>
      </w:r>
      <w:r w:rsidR="000F79C7">
        <w:rPr>
          <w:rFonts w:hint="eastAsia"/>
          <w:sz w:val="24"/>
        </w:rPr>
        <w:t>，</w:t>
      </w:r>
      <w:r w:rsidR="003F0E35" w:rsidRPr="00883DB4">
        <w:rPr>
          <w:rFonts w:hint="eastAsia"/>
          <w:sz w:val="24"/>
        </w:rPr>
        <w:t>在</w:t>
      </w:r>
      <w:r w:rsidR="00EE6C21">
        <w:rPr>
          <w:rFonts w:hint="eastAsia"/>
          <w:sz w:val="24"/>
        </w:rPr>
        <w:t>民生银行</w:t>
      </w:r>
      <w:r w:rsidR="003F0E35" w:rsidRPr="00883DB4">
        <w:rPr>
          <w:rFonts w:hint="eastAsia"/>
          <w:sz w:val="24"/>
        </w:rPr>
        <w:t>对快速赎回申请审核通过后，</w:t>
      </w:r>
      <w:r w:rsidR="003F0E35" w:rsidRPr="003F0E35">
        <w:rPr>
          <w:rFonts w:hint="eastAsia"/>
          <w:sz w:val="24"/>
        </w:rPr>
        <w:t>由</w:t>
      </w:r>
      <w:r w:rsidR="003F0E35" w:rsidRPr="00C6715C">
        <w:rPr>
          <w:rFonts w:hint="eastAsia"/>
          <w:sz w:val="24"/>
        </w:rPr>
        <w:t>垫资行在确</w:t>
      </w:r>
      <w:r w:rsidR="003F0E35" w:rsidRPr="003F0E35">
        <w:rPr>
          <w:rFonts w:hint="eastAsia"/>
          <w:sz w:val="24"/>
        </w:rPr>
        <w:t>定的额度内，</w:t>
      </w:r>
      <w:r w:rsidR="00EC00DD">
        <w:rPr>
          <w:rFonts w:hint="eastAsia"/>
          <w:sz w:val="24"/>
        </w:rPr>
        <w:t>由</w:t>
      </w:r>
      <w:r w:rsidR="00E03A3D">
        <w:rPr>
          <w:rFonts w:hint="eastAsia"/>
          <w:sz w:val="24"/>
        </w:rPr>
        <w:t>垫资</w:t>
      </w:r>
      <w:r w:rsidR="00EC00DD">
        <w:rPr>
          <w:rFonts w:hint="eastAsia"/>
          <w:sz w:val="24"/>
        </w:rPr>
        <w:t>行</w:t>
      </w:r>
      <w:r w:rsidR="00EC00DD">
        <w:rPr>
          <w:sz w:val="24"/>
        </w:rPr>
        <w:t>实时</w:t>
      </w:r>
      <w:r w:rsidR="00EC00DD">
        <w:rPr>
          <w:rFonts w:hint="eastAsia"/>
          <w:sz w:val="24"/>
        </w:rPr>
        <w:t>向投资者</w:t>
      </w:r>
      <w:r w:rsidR="003F0E35">
        <w:rPr>
          <w:rFonts w:hint="eastAsia"/>
          <w:sz w:val="24"/>
        </w:rPr>
        <w:t>提供</w:t>
      </w:r>
      <w:r w:rsidR="00EC00DD">
        <w:rPr>
          <w:rFonts w:hint="eastAsia"/>
          <w:sz w:val="24"/>
        </w:rPr>
        <w:t>该笔快速赎回申请</w:t>
      </w:r>
      <w:r w:rsidR="004B4DA4" w:rsidRPr="008101B1">
        <w:rPr>
          <w:rFonts w:ascii="宋体" w:hAnsi="宋体" w:hint="eastAsia"/>
          <w:sz w:val="24"/>
        </w:rPr>
        <w:t>对应的金额</w:t>
      </w:r>
      <w:r w:rsidR="00EC00DD">
        <w:rPr>
          <w:rFonts w:hint="eastAsia"/>
          <w:sz w:val="24"/>
        </w:rPr>
        <w:t>，投资者同意本公司将垫付资金</w:t>
      </w:r>
      <w:r w:rsidR="00EC00DD">
        <w:rPr>
          <w:rFonts w:ascii="宋体" w:hAnsi="宋体" w:cs="Arial" w:hint="eastAsia"/>
          <w:sz w:val="24"/>
        </w:rPr>
        <w:t>对应的货币基金份额</w:t>
      </w:r>
      <w:r w:rsidR="00EC00DD">
        <w:rPr>
          <w:rFonts w:hint="eastAsia"/>
          <w:sz w:val="24"/>
        </w:rPr>
        <w:t>过户</w:t>
      </w:r>
      <w:r w:rsidR="00883DB4">
        <w:rPr>
          <w:rFonts w:hint="eastAsia"/>
          <w:sz w:val="24"/>
        </w:rPr>
        <w:t>给</w:t>
      </w:r>
      <w:r w:rsidR="00E03A3D">
        <w:rPr>
          <w:rFonts w:hint="eastAsia"/>
          <w:sz w:val="24"/>
        </w:rPr>
        <w:t>垫资</w:t>
      </w:r>
      <w:r w:rsidR="00883DB4">
        <w:rPr>
          <w:rFonts w:hint="eastAsia"/>
          <w:sz w:val="24"/>
        </w:rPr>
        <w:t>行</w:t>
      </w:r>
      <w:r w:rsidR="00C6715C">
        <w:rPr>
          <w:rFonts w:hint="eastAsia"/>
          <w:sz w:val="24"/>
        </w:rPr>
        <w:t>，垫资行</w:t>
      </w:r>
      <w:r w:rsidR="00C6715C" w:rsidRPr="00C6715C">
        <w:rPr>
          <w:rFonts w:hint="eastAsia"/>
          <w:sz w:val="24"/>
        </w:rPr>
        <w:t>获得该笔快赎对应的</w:t>
      </w:r>
      <w:r w:rsidR="00C6715C">
        <w:rPr>
          <w:rFonts w:hint="eastAsia"/>
          <w:sz w:val="24"/>
        </w:rPr>
        <w:t>基金</w:t>
      </w:r>
      <w:r w:rsidR="00C6715C" w:rsidRPr="00C6715C">
        <w:rPr>
          <w:rFonts w:hint="eastAsia"/>
          <w:sz w:val="24"/>
        </w:rPr>
        <w:t>份额</w:t>
      </w:r>
      <w:r w:rsidR="00E461FD" w:rsidRPr="00E461FD">
        <w:rPr>
          <w:rFonts w:hint="eastAsia"/>
          <w:sz w:val="24"/>
        </w:rPr>
        <w:t>快速赎回申请所属自然日起（含当日）至赎回确认之日（不含当日）所对应的赎回款及未结转收益</w:t>
      </w:r>
      <w:r w:rsidR="00EC00DD">
        <w:rPr>
          <w:rFonts w:hint="eastAsia"/>
          <w:sz w:val="24"/>
        </w:rPr>
        <w:t>。</w:t>
      </w:r>
      <w:r w:rsidR="00FB36A9">
        <w:rPr>
          <w:rFonts w:hint="eastAsia"/>
          <w:sz w:val="24"/>
        </w:rPr>
        <w:t>该服务非法定义务，提现有条件，依约可暂停。</w:t>
      </w:r>
    </w:p>
    <w:p w:rsidR="00215A2E" w:rsidRPr="00215A2E" w:rsidRDefault="00AE450C" w:rsidP="00215A2E">
      <w:pPr>
        <w:spacing w:line="480" w:lineRule="auto"/>
        <w:ind w:firstLine="420"/>
        <w:rPr>
          <w:rFonts w:ascii="宋体" w:hAnsi="宋体"/>
          <w:b/>
          <w:sz w:val="24"/>
        </w:rPr>
      </w:pPr>
      <w:r w:rsidRPr="001D3424">
        <w:rPr>
          <w:rFonts w:ascii="宋体" w:hAnsi="宋体"/>
          <w:b/>
          <w:sz w:val="24"/>
        </w:rPr>
        <w:t>二、</w:t>
      </w:r>
      <w:r w:rsidR="00FD1DE0">
        <w:rPr>
          <w:rFonts w:ascii="宋体" w:hAnsi="宋体" w:hint="eastAsia"/>
          <w:b/>
          <w:sz w:val="24"/>
        </w:rPr>
        <w:t>适用范围</w:t>
      </w:r>
    </w:p>
    <w:p w:rsidR="00215A2E" w:rsidRPr="00215A2E" w:rsidRDefault="00576C9C" w:rsidP="00215A2E">
      <w:pPr>
        <w:spacing w:line="480" w:lineRule="auto"/>
        <w:ind w:firstLine="420"/>
        <w:rPr>
          <w:rFonts w:ascii="宋体" w:hAnsi="宋体"/>
          <w:sz w:val="24"/>
        </w:rPr>
      </w:pPr>
      <w:r>
        <w:rPr>
          <w:rFonts w:ascii="宋体" w:hAnsi="宋体" w:hint="eastAsia"/>
          <w:sz w:val="24"/>
        </w:rPr>
        <w:t>快速赎回</w:t>
      </w:r>
      <w:r w:rsidR="00215A2E" w:rsidRPr="00215A2E">
        <w:rPr>
          <w:rFonts w:ascii="宋体" w:hAnsi="宋体"/>
          <w:sz w:val="24"/>
        </w:rPr>
        <w:t>业务适用的基金范围为</w:t>
      </w:r>
      <w:r w:rsidR="00493F44" w:rsidRPr="00EE76A9">
        <w:rPr>
          <w:rFonts w:ascii="宋体" w:hAnsi="宋体" w:hint="eastAsia"/>
          <w:sz w:val="24"/>
        </w:rPr>
        <w:t>信诚智惠金货币市场基金C</w:t>
      </w:r>
      <w:r w:rsidR="00493F44">
        <w:rPr>
          <w:rFonts w:ascii="宋体" w:hAnsi="宋体" w:hint="eastAsia"/>
          <w:sz w:val="24"/>
        </w:rPr>
        <w:t>类份额</w:t>
      </w:r>
      <w:r w:rsidR="00493F44" w:rsidRPr="00831D37">
        <w:rPr>
          <w:rFonts w:ascii="宋体" w:hAnsi="宋体"/>
          <w:sz w:val="24"/>
        </w:rPr>
        <w:t>（</w:t>
      </w:r>
      <w:r w:rsidR="00493F44">
        <w:rPr>
          <w:rFonts w:ascii="宋体" w:hAnsi="宋体" w:hint="eastAsia"/>
          <w:sz w:val="24"/>
        </w:rPr>
        <w:t>基金</w:t>
      </w:r>
      <w:r w:rsidR="00493F44" w:rsidRPr="00831D37">
        <w:rPr>
          <w:rFonts w:ascii="宋体" w:hAnsi="宋体"/>
          <w:sz w:val="24"/>
        </w:rPr>
        <w:t>简称</w:t>
      </w:r>
      <w:r w:rsidR="00493F44">
        <w:rPr>
          <w:rFonts w:ascii="宋体" w:hAnsi="宋体" w:hint="eastAsia"/>
          <w:sz w:val="24"/>
        </w:rPr>
        <w:t>：</w:t>
      </w:r>
      <w:r w:rsidR="00493F44" w:rsidRPr="00EE76A9">
        <w:rPr>
          <w:rFonts w:ascii="宋体" w:hAnsi="宋体" w:hint="eastAsia"/>
          <w:sz w:val="24"/>
        </w:rPr>
        <w:t>信诚智惠金</w:t>
      </w:r>
      <w:r w:rsidR="00493F44">
        <w:rPr>
          <w:rFonts w:ascii="宋体" w:hAnsi="宋体" w:hint="eastAsia"/>
          <w:sz w:val="24"/>
        </w:rPr>
        <w:t>C，基金代码：</w:t>
      </w:r>
      <w:r w:rsidR="00493F44" w:rsidRPr="00493F44">
        <w:rPr>
          <w:rFonts w:ascii="宋体" w:hAnsi="宋体"/>
          <w:sz w:val="24"/>
        </w:rPr>
        <w:t>010883</w:t>
      </w:r>
      <w:r w:rsidR="00493F44" w:rsidRPr="00831D37">
        <w:rPr>
          <w:rFonts w:ascii="宋体" w:hAnsi="宋体"/>
          <w:sz w:val="24"/>
        </w:rPr>
        <w:t>）</w:t>
      </w:r>
      <w:r w:rsidR="002913EF">
        <w:rPr>
          <w:rFonts w:ascii="宋体" w:hAnsi="宋体" w:hint="eastAsia"/>
          <w:sz w:val="24"/>
        </w:rPr>
        <w:t>，</w:t>
      </w:r>
      <w:r w:rsidR="00215A2E" w:rsidRPr="00215A2E">
        <w:rPr>
          <w:rFonts w:ascii="宋体" w:hAnsi="宋体"/>
          <w:sz w:val="24"/>
        </w:rPr>
        <w:t>服务对象为符合相关法律法规、基金合同和</w:t>
      </w:r>
      <w:r w:rsidR="00EE6C21">
        <w:rPr>
          <w:rFonts w:ascii="宋体" w:hAnsi="宋体" w:hint="eastAsia"/>
          <w:sz w:val="24"/>
        </w:rPr>
        <w:t>民生银行</w:t>
      </w:r>
      <w:r w:rsidR="00215A2E" w:rsidRPr="00215A2E">
        <w:rPr>
          <w:rFonts w:ascii="宋体" w:hAnsi="宋体"/>
          <w:sz w:val="24"/>
        </w:rPr>
        <w:t>的规定，在</w:t>
      </w:r>
      <w:r w:rsidR="00EE6C21">
        <w:rPr>
          <w:rFonts w:ascii="宋体" w:hAnsi="宋体" w:hint="eastAsia"/>
          <w:sz w:val="24"/>
        </w:rPr>
        <w:t>民生银行</w:t>
      </w:r>
      <w:r w:rsidR="00215A2E" w:rsidRPr="00215A2E">
        <w:rPr>
          <w:rFonts w:ascii="宋体" w:hAnsi="宋体"/>
          <w:sz w:val="24"/>
        </w:rPr>
        <w:t>指定平台开立交易账户并</w:t>
      </w:r>
      <w:r w:rsidR="006E3BEA">
        <w:rPr>
          <w:rFonts w:ascii="宋体" w:hAnsi="宋体" w:hint="eastAsia"/>
          <w:sz w:val="24"/>
        </w:rPr>
        <w:t>按照</w:t>
      </w:r>
      <w:r w:rsidR="00EE6C21">
        <w:rPr>
          <w:rFonts w:ascii="宋体" w:hAnsi="宋体" w:hint="eastAsia"/>
          <w:sz w:val="24"/>
        </w:rPr>
        <w:t>民生银行</w:t>
      </w:r>
      <w:r w:rsidR="006E3BEA" w:rsidRPr="008101B1">
        <w:rPr>
          <w:rFonts w:ascii="宋体" w:hAnsi="宋体" w:hint="eastAsia"/>
          <w:sz w:val="24"/>
        </w:rPr>
        <w:t>“</w:t>
      </w:r>
      <w:r w:rsidR="00EE6C21">
        <w:rPr>
          <w:rFonts w:ascii="宋体" w:hAnsi="宋体" w:hint="eastAsia"/>
          <w:sz w:val="24"/>
        </w:rPr>
        <w:t>天</w:t>
      </w:r>
      <w:r w:rsidR="00EE6C21">
        <w:rPr>
          <w:rFonts w:ascii="宋体" w:hAnsi="宋体" w:hint="eastAsia"/>
          <w:sz w:val="24"/>
        </w:rPr>
        <w:lastRenderedPageBreak/>
        <w:t>天宝</w:t>
      </w:r>
      <w:r w:rsidR="006E3BEA" w:rsidRPr="008101B1">
        <w:rPr>
          <w:rFonts w:ascii="宋体" w:hAnsi="宋体" w:hint="eastAsia"/>
          <w:sz w:val="24"/>
        </w:rPr>
        <w:t>”平台</w:t>
      </w:r>
      <w:r w:rsidR="006E3BEA">
        <w:rPr>
          <w:rFonts w:ascii="宋体" w:hAnsi="宋体" w:hint="eastAsia"/>
          <w:sz w:val="24"/>
        </w:rPr>
        <w:t>设置的交易规则</w:t>
      </w:r>
      <w:r w:rsidR="00215A2E" w:rsidRPr="00215A2E">
        <w:rPr>
          <w:rFonts w:ascii="宋体" w:hAnsi="宋体"/>
          <w:sz w:val="24"/>
        </w:rPr>
        <w:t>投资</w:t>
      </w:r>
      <w:r w:rsidR="004C19A2" w:rsidRPr="00EE76A9">
        <w:rPr>
          <w:rFonts w:ascii="宋体" w:hAnsi="宋体" w:hint="eastAsia"/>
          <w:sz w:val="24"/>
        </w:rPr>
        <w:t>信诚智惠金</w:t>
      </w:r>
      <w:r w:rsidR="004C19A2">
        <w:rPr>
          <w:rFonts w:ascii="宋体" w:hAnsi="宋体" w:hint="eastAsia"/>
          <w:sz w:val="24"/>
        </w:rPr>
        <w:t>C</w:t>
      </w:r>
      <w:r w:rsidR="00215A2E" w:rsidRPr="00215A2E">
        <w:rPr>
          <w:rFonts w:ascii="宋体" w:hAnsi="宋体"/>
          <w:sz w:val="24"/>
        </w:rPr>
        <w:t>的个人投资者。</w:t>
      </w:r>
    </w:p>
    <w:p w:rsidR="008605BF" w:rsidRPr="006A2030" w:rsidRDefault="00215A2E" w:rsidP="006A2030">
      <w:pPr>
        <w:spacing w:line="480" w:lineRule="auto"/>
        <w:ind w:firstLine="420"/>
        <w:rPr>
          <w:rFonts w:ascii="宋体" w:hAnsi="宋体" w:hint="eastAsia"/>
          <w:sz w:val="24"/>
        </w:rPr>
      </w:pPr>
      <w:r w:rsidRPr="00215A2E">
        <w:rPr>
          <w:rFonts w:ascii="宋体" w:hAnsi="宋体"/>
          <w:sz w:val="24"/>
        </w:rPr>
        <w:t>如未来本公司和</w:t>
      </w:r>
      <w:r w:rsidR="00EE6C21">
        <w:rPr>
          <w:rFonts w:ascii="宋体" w:hAnsi="宋体" w:hint="eastAsia"/>
          <w:sz w:val="24"/>
        </w:rPr>
        <w:t>民生银行</w:t>
      </w:r>
      <w:r w:rsidRPr="00215A2E">
        <w:rPr>
          <w:rFonts w:ascii="宋体" w:hAnsi="宋体"/>
          <w:sz w:val="24"/>
        </w:rPr>
        <w:t>协商一致调整快速赎回业务的适用范围的，届时将由本公司或</w:t>
      </w:r>
      <w:r w:rsidR="00EE6C21">
        <w:rPr>
          <w:rFonts w:ascii="宋体" w:hAnsi="宋体" w:hint="eastAsia"/>
          <w:sz w:val="24"/>
        </w:rPr>
        <w:t>民生银行</w:t>
      </w:r>
      <w:r w:rsidRPr="00215A2E">
        <w:rPr>
          <w:rFonts w:ascii="宋体" w:hAnsi="宋体"/>
          <w:sz w:val="24"/>
        </w:rPr>
        <w:t>另行公告。</w:t>
      </w:r>
    </w:p>
    <w:p w:rsidR="00AE450C" w:rsidRPr="00FD1DE0" w:rsidRDefault="00833AC9" w:rsidP="00FD1DE0">
      <w:pPr>
        <w:spacing w:line="480" w:lineRule="auto"/>
        <w:ind w:firstLine="420"/>
        <w:rPr>
          <w:rFonts w:ascii="宋体" w:hAnsi="宋体" w:hint="eastAsia"/>
          <w:sz w:val="24"/>
        </w:rPr>
      </w:pPr>
      <w:r w:rsidRPr="001D3424">
        <w:rPr>
          <w:rFonts w:ascii="宋体" w:hAnsi="宋体" w:hint="eastAsia"/>
          <w:b/>
          <w:sz w:val="24"/>
        </w:rPr>
        <w:t>三</w:t>
      </w:r>
      <w:r w:rsidR="00AE450C" w:rsidRPr="001D3424">
        <w:rPr>
          <w:rFonts w:ascii="宋体" w:hAnsi="宋体"/>
          <w:b/>
          <w:sz w:val="24"/>
        </w:rPr>
        <w:t>、</w:t>
      </w:r>
      <w:r w:rsidR="00FD1DE0">
        <w:rPr>
          <w:rFonts w:ascii="宋体" w:hAnsi="宋体" w:hint="eastAsia"/>
          <w:b/>
          <w:sz w:val="24"/>
        </w:rPr>
        <w:t>业务规则</w:t>
      </w:r>
    </w:p>
    <w:p w:rsidR="00215A2E" w:rsidRPr="00215A2E" w:rsidRDefault="00215A2E" w:rsidP="00215A2E">
      <w:pPr>
        <w:spacing w:line="480" w:lineRule="auto"/>
        <w:ind w:firstLine="420"/>
        <w:rPr>
          <w:rFonts w:ascii="宋体" w:hAnsi="宋体"/>
          <w:sz w:val="24"/>
        </w:rPr>
      </w:pPr>
      <w:r w:rsidRPr="00215A2E">
        <w:rPr>
          <w:rFonts w:ascii="宋体" w:hAnsi="宋体"/>
          <w:sz w:val="24"/>
        </w:rPr>
        <w:t>1</w:t>
      </w:r>
      <w:r w:rsidRPr="00215A2E">
        <w:rPr>
          <w:rFonts w:ascii="宋体" w:hAnsi="宋体" w:hint="eastAsia"/>
          <w:sz w:val="24"/>
        </w:rPr>
        <w:t>、投资者需与</w:t>
      </w:r>
      <w:r w:rsidR="00EE6C21">
        <w:rPr>
          <w:rFonts w:ascii="宋体" w:hAnsi="宋体" w:hint="eastAsia"/>
          <w:sz w:val="24"/>
        </w:rPr>
        <w:t>民生银行</w:t>
      </w:r>
      <w:r w:rsidRPr="00215A2E">
        <w:rPr>
          <w:rFonts w:ascii="宋体" w:hAnsi="宋体" w:hint="eastAsia"/>
          <w:sz w:val="24"/>
        </w:rPr>
        <w:t>签署</w:t>
      </w:r>
      <w:r w:rsidR="003D0E51" w:rsidRPr="003D0E51">
        <w:rPr>
          <w:rFonts w:ascii="宋体" w:hAnsi="宋体" w:hint="eastAsia"/>
          <w:sz w:val="24"/>
        </w:rPr>
        <w:t>《服务协议》</w:t>
      </w:r>
      <w:r w:rsidR="003D0E51">
        <w:rPr>
          <w:rFonts w:ascii="宋体" w:hAnsi="宋体" w:hint="eastAsia"/>
          <w:sz w:val="24"/>
        </w:rPr>
        <w:t>。</w:t>
      </w:r>
      <w:r w:rsidRPr="00215A2E">
        <w:rPr>
          <w:rFonts w:ascii="宋体" w:hAnsi="宋体" w:hint="eastAsia"/>
          <w:sz w:val="24"/>
        </w:rPr>
        <w:t>快速赎回业务的具体业务规则以</w:t>
      </w:r>
      <w:r w:rsidR="006E3BEA" w:rsidRPr="006E3BEA">
        <w:rPr>
          <w:rFonts w:ascii="宋体" w:hAnsi="宋体" w:hint="eastAsia"/>
          <w:sz w:val="24"/>
        </w:rPr>
        <w:t>《服务协议》</w:t>
      </w:r>
      <w:r w:rsidRPr="00215A2E">
        <w:rPr>
          <w:rFonts w:ascii="宋体" w:hAnsi="宋体" w:hint="eastAsia"/>
          <w:sz w:val="24"/>
        </w:rPr>
        <w:t>约定为准。</w:t>
      </w:r>
    </w:p>
    <w:p w:rsidR="00215A2E" w:rsidRPr="00215A2E" w:rsidRDefault="00215A2E" w:rsidP="008926E5">
      <w:pPr>
        <w:spacing w:line="480" w:lineRule="auto"/>
        <w:ind w:firstLine="420"/>
        <w:rPr>
          <w:rFonts w:ascii="宋体" w:hAnsi="宋体"/>
          <w:sz w:val="24"/>
        </w:rPr>
      </w:pPr>
      <w:r w:rsidRPr="008926E5">
        <w:rPr>
          <w:rFonts w:ascii="宋体" w:hAnsi="宋体"/>
          <w:sz w:val="24"/>
        </w:rPr>
        <w:t>2</w:t>
      </w:r>
      <w:r w:rsidRPr="008926E5">
        <w:rPr>
          <w:rFonts w:ascii="宋体" w:hAnsi="宋体" w:hint="eastAsia"/>
          <w:sz w:val="24"/>
        </w:rPr>
        <w:t>、</w:t>
      </w:r>
      <w:r w:rsidRPr="00215A2E">
        <w:rPr>
          <w:rFonts w:ascii="宋体" w:hAnsi="宋体" w:hint="eastAsia"/>
          <w:sz w:val="24"/>
        </w:rPr>
        <w:t>投资者通过</w:t>
      </w:r>
      <w:r w:rsidR="00EE6C21">
        <w:rPr>
          <w:rFonts w:ascii="宋体" w:hAnsi="宋体" w:hint="eastAsia"/>
          <w:sz w:val="24"/>
        </w:rPr>
        <w:t>民生银行</w:t>
      </w:r>
      <w:r w:rsidRPr="00215A2E">
        <w:rPr>
          <w:rFonts w:ascii="宋体" w:hAnsi="宋体" w:hint="eastAsia"/>
          <w:sz w:val="24"/>
        </w:rPr>
        <w:t>指定平台办理快速赎回业务的申请时间一般情况下为每个自然日（包括周一至周日）的</w:t>
      </w:r>
      <w:r w:rsidRPr="00215A2E">
        <w:rPr>
          <w:rFonts w:ascii="宋体" w:hAnsi="宋体"/>
          <w:sz w:val="24"/>
        </w:rPr>
        <w:t>0:00</w:t>
      </w:r>
      <w:r w:rsidRPr="00215A2E">
        <w:rPr>
          <w:rFonts w:ascii="宋体" w:hAnsi="宋体" w:hint="eastAsia"/>
          <w:sz w:val="24"/>
        </w:rPr>
        <w:t>－</w:t>
      </w:r>
      <w:r w:rsidRPr="00215A2E">
        <w:rPr>
          <w:rFonts w:ascii="宋体" w:hAnsi="宋体"/>
          <w:sz w:val="24"/>
        </w:rPr>
        <w:t>24:00</w:t>
      </w:r>
      <w:r w:rsidRPr="00215A2E">
        <w:rPr>
          <w:rFonts w:ascii="宋体" w:hAnsi="宋体" w:hint="eastAsia"/>
          <w:sz w:val="24"/>
        </w:rPr>
        <w:t>。本公司有权根据实际情况临时暂停快速赎回业务或调整快速赎回业务的办理时间，并由</w:t>
      </w:r>
      <w:r w:rsidR="00EE6C21">
        <w:rPr>
          <w:rFonts w:ascii="宋体" w:hAnsi="宋体" w:hint="eastAsia"/>
          <w:sz w:val="24"/>
        </w:rPr>
        <w:t>民生银行</w:t>
      </w:r>
      <w:r w:rsidRPr="00215A2E">
        <w:rPr>
          <w:rFonts w:ascii="宋体" w:hAnsi="宋体" w:hint="eastAsia"/>
          <w:sz w:val="24"/>
        </w:rPr>
        <w:t>通过指定平台通知投资者，本公司届时不再另行发布公告。</w:t>
      </w:r>
    </w:p>
    <w:p w:rsidR="00215A2E" w:rsidRPr="00215A2E" w:rsidRDefault="00215A2E" w:rsidP="008926E5">
      <w:pPr>
        <w:spacing w:line="480" w:lineRule="auto"/>
        <w:ind w:firstLine="420"/>
        <w:rPr>
          <w:rFonts w:ascii="宋体" w:hAnsi="宋体"/>
          <w:sz w:val="24"/>
        </w:rPr>
      </w:pPr>
      <w:r w:rsidRPr="00215A2E">
        <w:rPr>
          <w:rFonts w:ascii="宋体" w:hAnsi="宋体"/>
          <w:sz w:val="24"/>
        </w:rPr>
        <w:t>3</w:t>
      </w:r>
      <w:r w:rsidRPr="00215A2E">
        <w:rPr>
          <w:rFonts w:ascii="宋体" w:hAnsi="宋体" w:hint="eastAsia"/>
          <w:sz w:val="24"/>
        </w:rPr>
        <w:t>、投资者在</w:t>
      </w:r>
      <w:r w:rsidR="00EE6C21">
        <w:rPr>
          <w:rFonts w:ascii="宋体" w:hAnsi="宋体" w:hint="eastAsia"/>
          <w:sz w:val="24"/>
        </w:rPr>
        <w:t>民生银行</w:t>
      </w:r>
      <w:r w:rsidRPr="00215A2E">
        <w:rPr>
          <w:rFonts w:ascii="宋体" w:hAnsi="宋体" w:hint="eastAsia"/>
          <w:sz w:val="24"/>
        </w:rPr>
        <w:t>持有的</w:t>
      </w:r>
      <w:r w:rsidR="00E87272" w:rsidRPr="00EE76A9">
        <w:rPr>
          <w:rFonts w:ascii="宋体" w:hAnsi="宋体" w:hint="eastAsia"/>
          <w:sz w:val="24"/>
        </w:rPr>
        <w:t>信诚智惠金C</w:t>
      </w:r>
      <w:r w:rsidR="00E26E5E">
        <w:rPr>
          <w:rFonts w:ascii="宋体" w:hAnsi="宋体" w:hint="eastAsia"/>
          <w:sz w:val="24"/>
        </w:rPr>
        <w:t>单只产品、</w:t>
      </w:r>
      <w:r w:rsidRPr="00215A2E">
        <w:rPr>
          <w:rFonts w:ascii="宋体" w:hAnsi="宋体" w:hint="eastAsia"/>
          <w:sz w:val="24"/>
        </w:rPr>
        <w:t>单个自然日的快速赎回业务的提现金额不高于</w:t>
      </w:r>
      <w:r w:rsidR="004B4DA4">
        <w:rPr>
          <w:rFonts w:ascii="宋体" w:hAnsi="宋体" w:hint="eastAsia"/>
          <w:sz w:val="24"/>
        </w:rPr>
        <w:t>1</w:t>
      </w:r>
      <w:r w:rsidRPr="00215A2E">
        <w:rPr>
          <w:rFonts w:ascii="宋体" w:hAnsi="宋体" w:hint="eastAsia"/>
          <w:sz w:val="24"/>
        </w:rPr>
        <w:t>万元，如有调整本公司或</w:t>
      </w:r>
      <w:r w:rsidR="00EE6C21">
        <w:rPr>
          <w:rFonts w:ascii="宋体" w:hAnsi="宋体" w:hint="eastAsia"/>
          <w:sz w:val="24"/>
        </w:rPr>
        <w:t>民生银行</w:t>
      </w:r>
      <w:r w:rsidRPr="00215A2E">
        <w:rPr>
          <w:rFonts w:ascii="宋体" w:hAnsi="宋体" w:hint="eastAsia"/>
          <w:sz w:val="24"/>
        </w:rPr>
        <w:t>将另行公告。</w:t>
      </w:r>
    </w:p>
    <w:p w:rsidR="008605BF" w:rsidRDefault="00215A2E" w:rsidP="006A2030">
      <w:pPr>
        <w:spacing w:line="480" w:lineRule="auto"/>
        <w:ind w:firstLine="420"/>
        <w:rPr>
          <w:rFonts w:ascii="宋体" w:hAnsi="宋体" w:hint="eastAsia"/>
          <w:sz w:val="24"/>
        </w:rPr>
      </w:pPr>
      <w:r w:rsidRPr="00E03A3D">
        <w:rPr>
          <w:rFonts w:ascii="宋体" w:hAnsi="宋体" w:hint="eastAsia"/>
          <w:sz w:val="24"/>
        </w:rPr>
        <w:t>4、</w:t>
      </w:r>
      <w:r w:rsidRPr="00215A2E">
        <w:rPr>
          <w:rFonts w:ascii="宋体" w:hAnsi="宋体" w:hint="eastAsia"/>
          <w:sz w:val="24"/>
        </w:rPr>
        <w:t>投资者发起货币</w:t>
      </w:r>
      <w:r w:rsidR="00CA4D46">
        <w:rPr>
          <w:rFonts w:ascii="宋体" w:hAnsi="宋体" w:hint="eastAsia"/>
          <w:sz w:val="24"/>
        </w:rPr>
        <w:t>市场</w:t>
      </w:r>
      <w:r w:rsidRPr="00215A2E">
        <w:rPr>
          <w:rFonts w:ascii="宋体" w:hAnsi="宋体" w:hint="eastAsia"/>
          <w:sz w:val="24"/>
        </w:rPr>
        <w:t>基金快速赎回业务申请，并由</w:t>
      </w:r>
      <w:r w:rsidR="00E03A3D">
        <w:rPr>
          <w:rFonts w:ascii="宋体" w:hAnsi="宋体" w:hint="eastAsia"/>
          <w:sz w:val="24"/>
        </w:rPr>
        <w:t>垫资</w:t>
      </w:r>
      <w:r w:rsidRPr="00215A2E">
        <w:rPr>
          <w:rFonts w:ascii="宋体" w:hAnsi="宋体" w:hint="eastAsia"/>
          <w:sz w:val="24"/>
        </w:rPr>
        <w:t>行实时垫付该笔快速赎回对应款项后，从投资者发起快速赎回业务申请所属自然日起（含当日），该笔快速赎回款项对应基金份额的收益归</w:t>
      </w:r>
      <w:r w:rsidR="00E03A3D">
        <w:rPr>
          <w:rFonts w:ascii="宋体" w:hAnsi="宋体" w:hint="eastAsia"/>
          <w:sz w:val="24"/>
        </w:rPr>
        <w:t>垫资</w:t>
      </w:r>
      <w:r w:rsidRPr="00215A2E">
        <w:rPr>
          <w:rFonts w:ascii="宋体" w:hAnsi="宋体" w:hint="eastAsia"/>
          <w:sz w:val="24"/>
        </w:rPr>
        <w:t>行所有。</w:t>
      </w:r>
    </w:p>
    <w:p w:rsidR="00A7579C" w:rsidRPr="006A2030" w:rsidRDefault="00A7579C" w:rsidP="006A2030">
      <w:pPr>
        <w:spacing w:line="480" w:lineRule="auto"/>
        <w:ind w:firstLine="420"/>
        <w:rPr>
          <w:rFonts w:ascii="宋体" w:hAnsi="宋体" w:hint="eastAsia"/>
          <w:sz w:val="24"/>
        </w:rPr>
      </w:pPr>
      <w:r w:rsidRPr="00E03A3D">
        <w:rPr>
          <w:rFonts w:ascii="宋体" w:hAnsi="宋体" w:hint="eastAsia"/>
          <w:sz w:val="24"/>
        </w:rPr>
        <w:t>5、</w:t>
      </w:r>
      <w:r w:rsidRPr="00A7579C">
        <w:rPr>
          <w:rFonts w:ascii="宋体" w:hAnsi="宋体" w:hint="eastAsia"/>
          <w:sz w:val="24"/>
        </w:rPr>
        <w:t>因配合进行快速赎回款项垫资收益的划拨，客户收益和总份额的查询时间可能较普通产品稍有延迟。具体细则以</w:t>
      </w:r>
      <w:r w:rsidR="00EE6C21">
        <w:rPr>
          <w:rFonts w:ascii="宋体" w:hAnsi="宋体" w:hint="eastAsia"/>
          <w:sz w:val="24"/>
        </w:rPr>
        <w:t>民生银行</w:t>
      </w:r>
      <w:r w:rsidRPr="00A7579C">
        <w:rPr>
          <w:rFonts w:ascii="宋体" w:hAnsi="宋体" w:hint="eastAsia"/>
          <w:sz w:val="24"/>
        </w:rPr>
        <w:t>相关规则为准。</w:t>
      </w:r>
    </w:p>
    <w:p w:rsidR="00215A2E" w:rsidRDefault="006763BB" w:rsidP="00215A2E">
      <w:pPr>
        <w:spacing w:line="480" w:lineRule="auto"/>
        <w:ind w:firstLine="420"/>
        <w:rPr>
          <w:rFonts w:ascii="宋体" w:hAnsi="宋体" w:hint="eastAsia"/>
          <w:b/>
          <w:sz w:val="24"/>
        </w:rPr>
      </w:pPr>
      <w:r>
        <w:rPr>
          <w:rFonts w:ascii="宋体" w:hAnsi="宋体" w:hint="eastAsia"/>
          <w:b/>
          <w:sz w:val="24"/>
        </w:rPr>
        <w:t>四</w:t>
      </w:r>
      <w:r w:rsidRPr="001D3424">
        <w:rPr>
          <w:rFonts w:ascii="宋体" w:hAnsi="宋体"/>
          <w:b/>
          <w:sz w:val="24"/>
        </w:rPr>
        <w:t>、</w:t>
      </w:r>
      <w:r w:rsidR="00215A2E" w:rsidRPr="00215A2E">
        <w:rPr>
          <w:rFonts w:ascii="宋体" w:hAnsi="宋体" w:hint="eastAsia"/>
          <w:b/>
          <w:sz w:val="24"/>
        </w:rPr>
        <w:t>快速赎回业务服务费</w:t>
      </w:r>
    </w:p>
    <w:p w:rsidR="00215A2E" w:rsidRPr="00831D37" w:rsidRDefault="00215A2E" w:rsidP="00831D37">
      <w:pPr>
        <w:spacing w:line="480" w:lineRule="auto"/>
        <w:ind w:firstLine="420"/>
        <w:rPr>
          <w:rFonts w:ascii="宋体" w:hAnsi="宋体" w:hint="eastAsia"/>
          <w:sz w:val="24"/>
        </w:rPr>
      </w:pPr>
      <w:r w:rsidRPr="00215A2E">
        <w:rPr>
          <w:rFonts w:ascii="宋体" w:hAnsi="宋体" w:hint="eastAsia"/>
          <w:sz w:val="24"/>
        </w:rPr>
        <w:t>投资者使用货币</w:t>
      </w:r>
      <w:r w:rsidR="00CA4D46">
        <w:rPr>
          <w:rFonts w:ascii="宋体" w:hAnsi="宋体" w:hint="eastAsia"/>
          <w:sz w:val="24"/>
        </w:rPr>
        <w:t>市场</w:t>
      </w:r>
      <w:r w:rsidRPr="00215A2E">
        <w:rPr>
          <w:rFonts w:ascii="宋体" w:hAnsi="宋体" w:hint="eastAsia"/>
          <w:sz w:val="24"/>
        </w:rPr>
        <w:t>基金快速赎回服务，暂不收取服务费，如有调整本公司或</w:t>
      </w:r>
      <w:r w:rsidR="00EE6C21">
        <w:rPr>
          <w:rFonts w:ascii="宋体" w:hAnsi="宋体" w:hint="eastAsia"/>
          <w:sz w:val="24"/>
        </w:rPr>
        <w:t>民生银行</w:t>
      </w:r>
      <w:r w:rsidRPr="00215A2E">
        <w:rPr>
          <w:rFonts w:ascii="宋体" w:hAnsi="宋体" w:hint="eastAsia"/>
          <w:sz w:val="24"/>
        </w:rPr>
        <w:t>将另行公告。</w:t>
      </w:r>
    </w:p>
    <w:p w:rsidR="006763BB" w:rsidRDefault="00215A2E" w:rsidP="00215A2E">
      <w:pPr>
        <w:spacing w:line="480" w:lineRule="auto"/>
        <w:ind w:firstLine="420"/>
        <w:rPr>
          <w:rFonts w:ascii="宋体" w:hAnsi="宋体" w:hint="eastAsia"/>
          <w:b/>
          <w:sz w:val="24"/>
        </w:rPr>
      </w:pPr>
      <w:r w:rsidRPr="00215A2E">
        <w:rPr>
          <w:rFonts w:ascii="宋体" w:hAnsi="宋体" w:hint="eastAsia"/>
          <w:b/>
          <w:sz w:val="24"/>
        </w:rPr>
        <w:t>五</w:t>
      </w:r>
      <w:r>
        <w:rPr>
          <w:rFonts w:ascii="宋体" w:hAnsi="宋体" w:hint="eastAsia"/>
          <w:b/>
          <w:sz w:val="24"/>
        </w:rPr>
        <w:t>、重要提示</w:t>
      </w:r>
    </w:p>
    <w:p w:rsidR="00215A2E" w:rsidRPr="00215A2E" w:rsidRDefault="00215A2E" w:rsidP="00215A2E">
      <w:pPr>
        <w:spacing w:line="480" w:lineRule="auto"/>
        <w:ind w:firstLine="420"/>
        <w:rPr>
          <w:rFonts w:ascii="宋体" w:hAnsi="宋体"/>
          <w:sz w:val="24"/>
        </w:rPr>
      </w:pPr>
      <w:r w:rsidRPr="00215A2E">
        <w:rPr>
          <w:rFonts w:ascii="宋体" w:hAnsi="宋体"/>
          <w:sz w:val="24"/>
        </w:rPr>
        <w:t>1、投资者通过</w:t>
      </w:r>
      <w:r w:rsidR="00EE6C21">
        <w:rPr>
          <w:rFonts w:ascii="宋体" w:hAnsi="宋体" w:hint="eastAsia"/>
          <w:sz w:val="24"/>
        </w:rPr>
        <w:t>民生银行</w:t>
      </w:r>
      <w:r w:rsidRPr="00215A2E">
        <w:rPr>
          <w:rFonts w:ascii="宋体" w:hAnsi="宋体"/>
          <w:sz w:val="24"/>
        </w:rPr>
        <w:t>办理快速赎回业务的相关流程应遵循</w:t>
      </w:r>
      <w:r w:rsidR="00EE6C21">
        <w:rPr>
          <w:rFonts w:ascii="宋体" w:hAnsi="宋体" w:hint="eastAsia"/>
          <w:sz w:val="24"/>
        </w:rPr>
        <w:t>民生银行</w:t>
      </w:r>
      <w:r w:rsidRPr="00215A2E">
        <w:rPr>
          <w:rFonts w:ascii="宋体" w:hAnsi="宋体"/>
          <w:sz w:val="24"/>
        </w:rPr>
        <w:t>的有</w:t>
      </w:r>
      <w:r w:rsidRPr="00215A2E">
        <w:rPr>
          <w:rFonts w:ascii="宋体" w:hAnsi="宋体"/>
          <w:sz w:val="24"/>
        </w:rPr>
        <w:lastRenderedPageBreak/>
        <w:t>关规定，投资者申请快速赎回业务前，应仔细阅读相关基金的基金合同、招募说明书等法律文件和</w:t>
      </w:r>
      <w:r w:rsidR="00963C2E">
        <w:rPr>
          <w:rFonts w:ascii="宋体" w:hAnsi="宋体" w:hint="eastAsia"/>
          <w:sz w:val="24"/>
        </w:rPr>
        <w:t>《服务协议》</w:t>
      </w:r>
      <w:r w:rsidRPr="00215A2E">
        <w:rPr>
          <w:rFonts w:ascii="宋体" w:hAnsi="宋体"/>
          <w:sz w:val="24"/>
        </w:rPr>
        <w:t>。</w:t>
      </w:r>
    </w:p>
    <w:p w:rsidR="00215A2E" w:rsidRPr="00215A2E" w:rsidRDefault="00215A2E" w:rsidP="00215A2E">
      <w:pPr>
        <w:spacing w:line="480" w:lineRule="auto"/>
        <w:ind w:firstLine="420"/>
        <w:rPr>
          <w:rFonts w:ascii="宋体" w:hAnsi="宋体"/>
          <w:sz w:val="24"/>
        </w:rPr>
      </w:pPr>
      <w:r w:rsidRPr="00215A2E">
        <w:rPr>
          <w:rFonts w:ascii="宋体" w:hAnsi="宋体"/>
          <w:sz w:val="24"/>
        </w:rPr>
        <w:t>2、本公司按照</w:t>
      </w:r>
      <w:r w:rsidR="00E03A3D">
        <w:rPr>
          <w:rFonts w:ascii="宋体" w:hAnsi="宋体"/>
          <w:sz w:val="24"/>
        </w:rPr>
        <w:t>垫资</w:t>
      </w:r>
      <w:r w:rsidRPr="00215A2E">
        <w:rPr>
          <w:rFonts w:ascii="宋体" w:hAnsi="宋体"/>
          <w:sz w:val="24"/>
        </w:rPr>
        <w:t>银行要求对</w:t>
      </w:r>
      <w:r w:rsidR="00E03A3D">
        <w:rPr>
          <w:rFonts w:ascii="宋体" w:hAnsi="宋体"/>
          <w:sz w:val="24"/>
        </w:rPr>
        <w:t>垫资</w:t>
      </w:r>
      <w:r w:rsidRPr="00215A2E">
        <w:rPr>
          <w:rFonts w:ascii="宋体" w:hAnsi="宋体"/>
          <w:sz w:val="24"/>
        </w:rPr>
        <w:t>总额设置限额，</w:t>
      </w:r>
      <w:r w:rsidR="00E03A3D">
        <w:rPr>
          <w:rFonts w:ascii="宋体" w:hAnsi="宋体"/>
          <w:sz w:val="24"/>
        </w:rPr>
        <w:t>垫资</w:t>
      </w:r>
      <w:r w:rsidRPr="00215A2E">
        <w:rPr>
          <w:rFonts w:ascii="宋体" w:hAnsi="宋体"/>
          <w:sz w:val="24"/>
        </w:rPr>
        <w:t>总额可能根据实际情况发生变化，如</w:t>
      </w:r>
      <w:r w:rsidR="00E03A3D">
        <w:rPr>
          <w:rFonts w:ascii="宋体" w:hAnsi="宋体"/>
          <w:sz w:val="24"/>
        </w:rPr>
        <w:t>垫资</w:t>
      </w:r>
      <w:r w:rsidRPr="00215A2E">
        <w:rPr>
          <w:rFonts w:ascii="宋体" w:hAnsi="宋体"/>
          <w:sz w:val="24"/>
        </w:rPr>
        <w:t>总额达到本公司设定的限额，本公司和</w:t>
      </w:r>
      <w:r w:rsidR="00EE6C21">
        <w:rPr>
          <w:rFonts w:ascii="宋体" w:hAnsi="宋体" w:hint="eastAsia"/>
          <w:sz w:val="24"/>
        </w:rPr>
        <w:t>民生银行</w:t>
      </w:r>
      <w:r w:rsidRPr="00215A2E">
        <w:rPr>
          <w:rFonts w:ascii="宋体" w:hAnsi="宋体"/>
          <w:sz w:val="24"/>
        </w:rPr>
        <w:t>将临时暂停快速赎回业务，并视情况决定是否恢复该业务。具体限额和其他限制规定以</w:t>
      </w:r>
      <w:r w:rsidR="00963C2E">
        <w:rPr>
          <w:rFonts w:ascii="宋体" w:hAnsi="宋体" w:hint="eastAsia"/>
          <w:sz w:val="24"/>
        </w:rPr>
        <w:t>《服务协议》</w:t>
      </w:r>
      <w:r w:rsidRPr="00215A2E">
        <w:rPr>
          <w:rFonts w:ascii="宋体" w:hAnsi="宋体"/>
          <w:sz w:val="24"/>
        </w:rPr>
        <w:t>的约定为准。</w:t>
      </w:r>
    </w:p>
    <w:p w:rsidR="00215A2E" w:rsidRPr="00215A2E" w:rsidRDefault="00215A2E" w:rsidP="00215A2E">
      <w:pPr>
        <w:spacing w:line="480" w:lineRule="auto"/>
        <w:ind w:firstLine="420"/>
        <w:rPr>
          <w:rFonts w:ascii="宋体" w:hAnsi="宋体"/>
          <w:sz w:val="24"/>
        </w:rPr>
      </w:pPr>
      <w:r w:rsidRPr="00215A2E">
        <w:rPr>
          <w:rFonts w:ascii="宋体" w:hAnsi="宋体"/>
          <w:sz w:val="24"/>
        </w:rPr>
        <w:t>3、本项目的</w:t>
      </w:r>
      <w:r w:rsidR="00E03A3D">
        <w:rPr>
          <w:rFonts w:ascii="宋体" w:hAnsi="宋体"/>
          <w:sz w:val="24"/>
        </w:rPr>
        <w:t>垫资</w:t>
      </w:r>
      <w:r w:rsidRPr="00215A2E">
        <w:rPr>
          <w:rFonts w:ascii="宋体" w:hAnsi="宋体"/>
          <w:sz w:val="24"/>
        </w:rPr>
        <w:t>行为</w:t>
      </w:r>
      <w:r w:rsidR="00EE6C21">
        <w:rPr>
          <w:rFonts w:ascii="宋体" w:hAnsi="宋体" w:hint="eastAsia"/>
          <w:sz w:val="24"/>
        </w:rPr>
        <w:t>江苏</w:t>
      </w:r>
      <w:r w:rsidR="00133AD7" w:rsidRPr="00133AD7">
        <w:rPr>
          <w:rFonts w:ascii="宋体" w:hAnsi="宋体" w:hint="eastAsia"/>
          <w:sz w:val="24"/>
        </w:rPr>
        <w:t>银行股份有限公司</w:t>
      </w:r>
      <w:r w:rsidR="00CD0AD3">
        <w:rPr>
          <w:rFonts w:ascii="宋体" w:hAnsi="宋体" w:hint="eastAsia"/>
          <w:sz w:val="24"/>
        </w:rPr>
        <w:t>上海</w:t>
      </w:r>
      <w:r w:rsidR="00E03A3D" w:rsidRPr="00E539B6">
        <w:rPr>
          <w:rFonts w:ascii="宋体" w:hAnsi="宋体" w:hint="eastAsia"/>
          <w:sz w:val="24"/>
        </w:rPr>
        <w:t>分行</w:t>
      </w:r>
      <w:r w:rsidRPr="00215A2E">
        <w:rPr>
          <w:rFonts w:ascii="宋体" w:hAnsi="宋体"/>
          <w:sz w:val="24"/>
        </w:rPr>
        <w:t>。如有调整本公司或</w:t>
      </w:r>
      <w:r w:rsidR="00EE6C21">
        <w:rPr>
          <w:rFonts w:ascii="宋体" w:hAnsi="宋体" w:hint="eastAsia"/>
          <w:sz w:val="24"/>
        </w:rPr>
        <w:t>民生银行</w:t>
      </w:r>
      <w:r w:rsidRPr="00215A2E">
        <w:rPr>
          <w:rFonts w:ascii="宋体" w:hAnsi="宋体"/>
          <w:sz w:val="24"/>
        </w:rPr>
        <w:t>将另行公告。</w:t>
      </w:r>
    </w:p>
    <w:p w:rsidR="00215A2E" w:rsidRPr="00215A2E" w:rsidRDefault="00215A2E" w:rsidP="00215A2E">
      <w:pPr>
        <w:spacing w:line="480" w:lineRule="auto"/>
        <w:ind w:firstLine="420"/>
        <w:rPr>
          <w:rFonts w:ascii="宋体" w:hAnsi="宋体"/>
          <w:sz w:val="24"/>
        </w:rPr>
      </w:pPr>
      <w:r w:rsidRPr="00215A2E">
        <w:rPr>
          <w:rFonts w:ascii="宋体" w:hAnsi="宋体"/>
          <w:sz w:val="24"/>
        </w:rPr>
        <w:t>4、本公告与</w:t>
      </w:r>
      <w:r w:rsidR="007246BC">
        <w:rPr>
          <w:rFonts w:ascii="宋体" w:hAnsi="宋体" w:hint="eastAsia"/>
          <w:sz w:val="24"/>
        </w:rPr>
        <w:t>《服务协议》</w:t>
      </w:r>
      <w:r w:rsidRPr="00215A2E">
        <w:rPr>
          <w:rFonts w:ascii="宋体" w:hAnsi="宋体"/>
          <w:sz w:val="24"/>
        </w:rPr>
        <w:t>不一致的，以投资者实际</w:t>
      </w:r>
      <w:r w:rsidR="008926E5">
        <w:rPr>
          <w:rFonts w:ascii="宋体" w:hAnsi="宋体" w:hint="eastAsia"/>
          <w:sz w:val="24"/>
        </w:rPr>
        <w:t>与</w:t>
      </w:r>
      <w:r w:rsidR="00EE6C21">
        <w:rPr>
          <w:rFonts w:ascii="宋体" w:hAnsi="宋体" w:hint="eastAsia"/>
          <w:sz w:val="24"/>
        </w:rPr>
        <w:t>民生银行</w:t>
      </w:r>
      <w:r w:rsidRPr="00215A2E">
        <w:rPr>
          <w:rFonts w:ascii="宋体" w:hAnsi="宋体"/>
          <w:sz w:val="24"/>
        </w:rPr>
        <w:t>签署的</w:t>
      </w:r>
      <w:r w:rsidR="007246BC">
        <w:rPr>
          <w:rFonts w:ascii="宋体" w:hAnsi="宋体" w:hint="eastAsia"/>
          <w:sz w:val="24"/>
        </w:rPr>
        <w:t>《服务协议》</w:t>
      </w:r>
      <w:r w:rsidRPr="00215A2E">
        <w:rPr>
          <w:rFonts w:ascii="宋体" w:hAnsi="宋体"/>
          <w:sz w:val="24"/>
        </w:rPr>
        <w:t>约定的内容为准。</w:t>
      </w:r>
    </w:p>
    <w:p w:rsidR="00215A2E" w:rsidRPr="00215A2E" w:rsidRDefault="00215A2E" w:rsidP="00215A2E">
      <w:pPr>
        <w:spacing w:line="480" w:lineRule="auto"/>
        <w:ind w:firstLine="420"/>
        <w:rPr>
          <w:rFonts w:ascii="宋体" w:hAnsi="宋体"/>
          <w:sz w:val="24"/>
        </w:rPr>
      </w:pPr>
      <w:r w:rsidRPr="00215A2E">
        <w:rPr>
          <w:rFonts w:ascii="宋体" w:hAnsi="宋体"/>
          <w:sz w:val="24"/>
        </w:rPr>
        <w:t>5、本公司和</w:t>
      </w:r>
      <w:r w:rsidR="00EE6C21">
        <w:rPr>
          <w:rFonts w:ascii="宋体" w:hAnsi="宋体" w:hint="eastAsia"/>
          <w:sz w:val="24"/>
        </w:rPr>
        <w:t>民生银行</w:t>
      </w:r>
      <w:r w:rsidRPr="00215A2E">
        <w:rPr>
          <w:rFonts w:ascii="宋体" w:hAnsi="宋体"/>
          <w:sz w:val="24"/>
        </w:rPr>
        <w:t>可根据业务需要经协商一致对快速赎回业务申请限额、业务规则和服务费等进行调整，并依据相关法律法规的规定和</w:t>
      </w:r>
      <w:r w:rsidR="007246BC">
        <w:rPr>
          <w:rFonts w:ascii="宋体" w:hAnsi="宋体" w:hint="eastAsia"/>
          <w:sz w:val="24"/>
        </w:rPr>
        <w:t>《服务协议》</w:t>
      </w:r>
      <w:r w:rsidRPr="00215A2E">
        <w:rPr>
          <w:rFonts w:ascii="宋体" w:hAnsi="宋体"/>
          <w:sz w:val="24"/>
        </w:rPr>
        <w:t>的约定进行公告或者由</w:t>
      </w:r>
      <w:r w:rsidR="00EE6C21">
        <w:rPr>
          <w:rFonts w:ascii="宋体" w:hAnsi="宋体" w:hint="eastAsia"/>
          <w:sz w:val="24"/>
        </w:rPr>
        <w:t>民生银行</w:t>
      </w:r>
      <w:r w:rsidRPr="00215A2E">
        <w:rPr>
          <w:rFonts w:ascii="宋体" w:hAnsi="宋体"/>
          <w:sz w:val="24"/>
        </w:rPr>
        <w:t>通过指定平台通知投资者。</w:t>
      </w:r>
    </w:p>
    <w:p w:rsidR="006A2030" w:rsidRDefault="00215A2E" w:rsidP="00831D37">
      <w:pPr>
        <w:wordWrap w:val="0"/>
        <w:spacing w:line="480" w:lineRule="auto"/>
        <w:ind w:firstLine="420"/>
        <w:jc w:val="left"/>
        <w:rPr>
          <w:rFonts w:ascii="宋体" w:hAnsi="宋体"/>
          <w:sz w:val="24"/>
        </w:rPr>
      </w:pPr>
      <w:r w:rsidRPr="00215A2E">
        <w:rPr>
          <w:rFonts w:ascii="宋体" w:hAnsi="宋体"/>
          <w:sz w:val="24"/>
        </w:rPr>
        <w:t>6、本公告仅对在</w:t>
      </w:r>
      <w:r w:rsidR="00EE6C21">
        <w:rPr>
          <w:rFonts w:ascii="宋体" w:hAnsi="宋体" w:hint="eastAsia"/>
          <w:sz w:val="24"/>
        </w:rPr>
        <w:t>民生银行</w:t>
      </w:r>
      <w:r w:rsidR="008458CC" w:rsidRPr="008101B1">
        <w:rPr>
          <w:rFonts w:ascii="宋体" w:hAnsi="宋体" w:hint="eastAsia"/>
          <w:sz w:val="24"/>
        </w:rPr>
        <w:t>“</w:t>
      </w:r>
      <w:r w:rsidR="00EE6C21">
        <w:rPr>
          <w:rFonts w:ascii="宋体" w:hAnsi="宋体" w:hint="eastAsia"/>
          <w:sz w:val="24"/>
        </w:rPr>
        <w:t>天天宝</w:t>
      </w:r>
      <w:r w:rsidR="008458CC" w:rsidRPr="008101B1">
        <w:rPr>
          <w:rFonts w:ascii="宋体" w:hAnsi="宋体" w:hint="eastAsia"/>
          <w:sz w:val="24"/>
        </w:rPr>
        <w:t>”平台</w:t>
      </w:r>
      <w:r w:rsidRPr="00215A2E">
        <w:rPr>
          <w:rFonts w:ascii="宋体" w:hAnsi="宋体"/>
          <w:sz w:val="24"/>
        </w:rPr>
        <w:t>快速赎回业务的有关事项予以说明，投资者欲了解</w:t>
      </w:r>
      <w:r w:rsidR="007246BC" w:rsidRPr="00EE76A9">
        <w:rPr>
          <w:rFonts w:ascii="宋体" w:hAnsi="宋体" w:hint="eastAsia"/>
          <w:sz w:val="24"/>
        </w:rPr>
        <w:t>信诚智惠金C</w:t>
      </w:r>
      <w:r w:rsidRPr="00215A2E">
        <w:rPr>
          <w:rFonts w:ascii="宋体" w:hAnsi="宋体"/>
          <w:sz w:val="24"/>
        </w:rPr>
        <w:t>的详细情况，请登录本公司网站（</w:t>
      </w:r>
      <w:r w:rsidR="007246BC" w:rsidRPr="00B93D48">
        <w:rPr>
          <w:rFonts w:ascii="宋体" w:hAnsi="宋体"/>
          <w:sz w:val="24"/>
        </w:rPr>
        <w:t>www.citicprufunds.com.cn</w:t>
      </w:r>
      <w:r w:rsidRPr="00215A2E">
        <w:rPr>
          <w:rFonts w:ascii="宋体" w:hAnsi="宋体"/>
          <w:sz w:val="24"/>
        </w:rPr>
        <w:t>）认真查阅相关基金</w:t>
      </w:r>
      <w:r w:rsidR="007703E1">
        <w:rPr>
          <w:rFonts w:ascii="宋体" w:hAnsi="宋体" w:hint="eastAsia"/>
          <w:sz w:val="24"/>
        </w:rPr>
        <w:t>的基金</w:t>
      </w:r>
      <w:r w:rsidRPr="00215A2E">
        <w:rPr>
          <w:rFonts w:ascii="宋体" w:hAnsi="宋体"/>
          <w:sz w:val="24"/>
        </w:rPr>
        <w:t>合同和最新的招募说明书，或拨打本公司客户服务电话（</w:t>
      </w:r>
      <w:r w:rsidR="007246BC" w:rsidRPr="00B93D48">
        <w:rPr>
          <w:rFonts w:ascii="宋体" w:hAnsi="宋体"/>
          <w:sz w:val="24"/>
        </w:rPr>
        <w:t>400-666-0066</w:t>
      </w:r>
      <w:r w:rsidRPr="00215A2E">
        <w:rPr>
          <w:rFonts w:ascii="宋体" w:hAnsi="宋体"/>
          <w:sz w:val="24"/>
        </w:rPr>
        <w:t>）</w:t>
      </w:r>
      <w:r w:rsidR="007703E1">
        <w:rPr>
          <w:rFonts w:ascii="宋体" w:hAnsi="宋体" w:hint="eastAsia"/>
          <w:sz w:val="24"/>
        </w:rPr>
        <w:t>咨询</w:t>
      </w:r>
      <w:r w:rsidRPr="00215A2E">
        <w:rPr>
          <w:rFonts w:ascii="宋体" w:hAnsi="宋体"/>
          <w:sz w:val="24"/>
        </w:rPr>
        <w:t>。</w:t>
      </w:r>
    </w:p>
    <w:p w:rsidR="006F4CE7" w:rsidRPr="00831D37" w:rsidRDefault="006F4CE7" w:rsidP="00831D37">
      <w:pPr>
        <w:wordWrap w:val="0"/>
        <w:spacing w:line="480" w:lineRule="auto"/>
        <w:ind w:firstLine="420"/>
        <w:jc w:val="left"/>
        <w:rPr>
          <w:rFonts w:ascii="宋体" w:hAnsi="宋体" w:hint="eastAsia"/>
          <w:sz w:val="24"/>
        </w:rPr>
      </w:pPr>
      <w:r>
        <w:rPr>
          <w:rFonts w:ascii="宋体" w:hAnsi="宋体" w:hint="eastAsia"/>
          <w:sz w:val="24"/>
        </w:rPr>
        <w:t>7、</w:t>
      </w:r>
      <w:r w:rsidRPr="006F4CE7">
        <w:rPr>
          <w:rFonts w:ascii="宋体" w:hAnsi="宋体" w:hint="eastAsia"/>
          <w:sz w:val="24"/>
        </w:rPr>
        <w:t>本基金管理人于2022年12月16日披露了《信诚智惠金货币市场基金暂停大额申购、大额转换转入及大额定期定额投资业务的公告》，自2022年12月16日</w:t>
      </w:r>
      <w:r w:rsidR="00965390">
        <w:rPr>
          <w:rFonts w:ascii="宋体" w:hAnsi="宋体" w:hint="eastAsia"/>
          <w:sz w:val="24"/>
        </w:rPr>
        <w:t>起</w:t>
      </w:r>
      <w:r w:rsidRPr="006F4CE7">
        <w:rPr>
          <w:rFonts w:ascii="宋体" w:hAnsi="宋体" w:hint="eastAsia"/>
          <w:sz w:val="24"/>
        </w:rPr>
        <w:t>暂停本基金A类份额、C类份额3,000,000元以上</w:t>
      </w:r>
      <w:r w:rsidR="00965390" w:rsidRPr="00965390">
        <w:rPr>
          <w:rFonts w:ascii="宋体" w:hAnsi="宋体" w:hint="eastAsia"/>
          <w:sz w:val="24"/>
        </w:rPr>
        <w:t>（含3,000,000元）</w:t>
      </w:r>
      <w:r w:rsidRPr="006F4CE7">
        <w:rPr>
          <w:rFonts w:ascii="宋体" w:hAnsi="宋体" w:hint="eastAsia"/>
          <w:sz w:val="24"/>
        </w:rPr>
        <w:t>的大额申购、大额转换转入及大额定期定额投资业务，投资者通过民生银行T+0快速赎回业务投资信诚智惠金C的，不受前述3,000,000元金额限制。</w:t>
      </w:r>
    </w:p>
    <w:p w:rsidR="00215A2E" w:rsidRPr="00215A2E" w:rsidRDefault="00215A2E" w:rsidP="00616B11">
      <w:pPr>
        <w:spacing w:line="480" w:lineRule="auto"/>
        <w:ind w:firstLineChars="200" w:firstLine="482"/>
        <w:rPr>
          <w:rFonts w:ascii="宋体" w:hAnsi="宋体" w:hint="eastAsia"/>
          <w:b/>
          <w:sz w:val="24"/>
        </w:rPr>
      </w:pPr>
      <w:r w:rsidRPr="00215A2E">
        <w:rPr>
          <w:rFonts w:ascii="宋体" w:hAnsi="宋体"/>
          <w:b/>
          <w:sz w:val="24"/>
        </w:rPr>
        <w:t>六、投资者可通过以下途径了解或咨询详情</w:t>
      </w:r>
    </w:p>
    <w:p w:rsidR="00016403" w:rsidRPr="00833AC9" w:rsidRDefault="00851751" w:rsidP="00616B11">
      <w:pPr>
        <w:spacing w:line="480" w:lineRule="auto"/>
        <w:ind w:firstLineChars="200" w:firstLine="480"/>
        <w:rPr>
          <w:rFonts w:ascii="宋体" w:hAnsi="宋体" w:hint="eastAsia"/>
          <w:sz w:val="24"/>
        </w:rPr>
      </w:pPr>
      <w:r w:rsidRPr="00833AC9">
        <w:rPr>
          <w:rFonts w:ascii="宋体" w:hAnsi="宋体" w:hint="eastAsia"/>
          <w:sz w:val="24"/>
        </w:rPr>
        <w:t>1</w:t>
      </w:r>
      <w:r w:rsidR="00016403" w:rsidRPr="00833AC9">
        <w:rPr>
          <w:rFonts w:ascii="宋体" w:hAnsi="宋体" w:hint="eastAsia"/>
          <w:sz w:val="24"/>
        </w:rPr>
        <w:t>、</w:t>
      </w:r>
      <w:r w:rsidR="00EE6C21">
        <w:rPr>
          <w:rFonts w:ascii="宋体" w:hAnsi="宋体" w:hint="eastAsia"/>
          <w:sz w:val="24"/>
        </w:rPr>
        <w:t>中国民生银行</w:t>
      </w:r>
      <w:r w:rsidR="00423944" w:rsidRPr="00833AC9">
        <w:rPr>
          <w:rFonts w:ascii="宋体" w:hAnsi="宋体" w:hint="eastAsia"/>
          <w:sz w:val="24"/>
        </w:rPr>
        <w:t>股份有限公司</w:t>
      </w:r>
    </w:p>
    <w:p w:rsidR="00016403" w:rsidRPr="00833AC9" w:rsidRDefault="00016403" w:rsidP="00833AC9">
      <w:pPr>
        <w:spacing w:line="480" w:lineRule="auto"/>
        <w:ind w:firstLine="420"/>
        <w:rPr>
          <w:rFonts w:ascii="宋体" w:hAnsi="宋体" w:hint="eastAsia"/>
          <w:sz w:val="24"/>
        </w:rPr>
      </w:pPr>
      <w:r w:rsidRPr="00833AC9">
        <w:rPr>
          <w:rFonts w:ascii="宋体" w:hAnsi="宋体" w:hint="eastAsia"/>
          <w:sz w:val="24"/>
        </w:rPr>
        <w:t>客服电话：</w:t>
      </w:r>
      <w:r w:rsidR="00EE6C21" w:rsidRPr="00B93D48">
        <w:rPr>
          <w:rFonts w:ascii="宋体" w:hAnsi="宋体"/>
          <w:sz w:val="24"/>
        </w:rPr>
        <w:t>955</w:t>
      </w:r>
      <w:r w:rsidR="00EE6C21">
        <w:rPr>
          <w:rFonts w:ascii="宋体" w:hAnsi="宋体"/>
          <w:sz w:val="24"/>
        </w:rPr>
        <w:t>68</w:t>
      </w:r>
    </w:p>
    <w:p w:rsidR="00EB6C81" w:rsidRPr="00833AC9" w:rsidRDefault="00016403" w:rsidP="00833AC9">
      <w:pPr>
        <w:spacing w:line="480" w:lineRule="auto"/>
        <w:ind w:firstLine="420"/>
        <w:rPr>
          <w:rFonts w:ascii="宋体" w:hAnsi="宋体" w:hint="eastAsia"/>
          <w:sz w:val="24"/>
        </w:rPr>
      </w:pPr>
      <w:r w:rsidRPr="00833AC9">
        <w:rPr>
          <w:rFonts w:ascii="宋体" w:hAnsi="宋体" w:hint="eastAsia"/>
          <w:sz w:val="24"/>
        </w:rPr>
        <w:t>网址：</w:t>
      </w:r>
      <w:r w:rsidR="00EE6C21" w:rsidRPr="00EE6C21">
        <w:rPr>
          <w:rFonts w:ascii="宋体" w:hAnsi="宋体"/>
          <w:sz w:val="24"/>
        </w:rPr>
        <w:t>www.cmbc.com.cn</w:t>
      </w:r>
    </w:p>
    <w:p w:rsidR="00851751" w:rsidRPr="00B93D48" w:rsidRDefault="00851751" w:rsidP="00616B11">
      <w:pPr>
        <w:spacing w:line="480" w:lineRule="auto"/>
        <w:ind w:firstLineChars="200" w:firstLine="480"/>
        <w:rPr>
          <w:rFonts w:ascii="宋体" w:hAnsi="宋体" w:hint="eastAsia"/>
          <w:sz w:val="24"/>
        </w:rPr>
      </w:pPr>
      <w:r w:rsidRPr="00833AC9">
        <w:rPr>
          <w:rFonts w:ascii="宋体" w:hAnsi="宋体" w:hint="eastAsia"/>
          <w:sz w:val="24"/>
        </w:rPr>
        <w:t>2、</w:t>
      </w:r>
      <w:r w:rsidR="00B93D48" w:rsidRPr="00B93D48">
        <w:rPr>
          <w:rFonts w:ascii="宋体" w:hAnsi="宋体" w:hint="eastAsia"/>
          <w:sz w:val="24"/>
        </w:rPr>
        <w:t>中信保诚基金管理有限公司</w:t>
      </w:r>
    </w:p>
    <w:p w:rsidR="00851751" w:rsidRPr="00833AC9" w:rsidRDefault="00851751" w:rsidP="00833AC9">
      <w:pPr>
        <w:spacing w:line="480" w:lineRule="auto"/>
        <w:ind w:firstLine="420"/>
        <w:rPr>
          <w:rFonts w:ascii="宋体" w:hAnsi="宋体" w:hint="eastAsia"/>
          <w:sz w:val="24"/>
        </w:rPr>
      </w:pPr>
      <w:r w:rsidRPr="00833AC9">
        <w:rPr>
          <w:rFonts w:ascii="宋体" w:hAnsi="宋体" w:hint="eastAsia"/>
          <w:sz w:val="24"/>
        </w:rPr>
        <w:t>客服电话：</w:t>
      </w:r>
      <w:r w:rsidR="00B93D48" w:rsidRPr="00B93D48">
        <w:rPr>
          <w:rFonts w:ascii="宋体" w:hAnsi="宋体"/>
          <w:sz w:val="24"/>
        </w:rPr>
        <w:t>400-666-0066</w:t>
      </w:r>
    </w:p>
    <w:p w:rsidR="00295F8B" w:rsidRPr="00295F8B" w:rsidRDefault="00851751" w:rsidP="00295F8B">
      <w:pPr>
        <w:spacing w:line="480" w:lineRule="auto"/>
        <w:ind w:firstLine="420"/>
        <w:rPr>
          <w:rFonts w:ascii="宋体" w:hAnsi="宋体" w:hint="eastAsia"/>
          <w:sz w:val="24"/>
        </w:rPr>
      </w:pPr>
      <w:r w:rsidRPr="00833AC9">
        <w:rPr>
          <w:rFonts w:ascii="宋体" w:hAnsi="宋体" w:hint="eastAsia"/>
          <w:sz w:val="24"/>
        </w:rPr>
        <w:t>网址：</w:t>
      </w:r>
      <w:r w:rsidR="00B93D48" w:rsidRPr="00B93D48">
        <w:rPr>
          <w:rFonts w:ascii="宋体" w:hAnsi="宋体"/>
          <w:sz w:val="24"/>
        </w:rPr>
        <w:t>www.citicprufunds.com.cn</w:t>
      </w:r>
    </w:p>
    <w:p w:rsidR="00831D37" w:rsidRDefault="00831D37" w:rsidP="00831D37">
      <w:pPr>
        <w:spacing w:line="480" w:lineRule="auto"/>
        <w:outlineLvl w:val="0"/>
        <w:rPr>
          <w:rFonts w:ascii="宋体" w:hAnsi="宋体" w:hint="eastAsia"/>
          <w:b/>
          <w:sz w:val="24"/>
        </w:rPr>
      </w:pPr>
    </w:p>
    <w:p w:rsidR="00215A2E" w:rsidRDefault="00833AC9" w:rsidP="00215A2E">
      <w:pPr>
        <w:spacing w:line="480" w:lineRule="auto"/>
        <w:ind w:firstLine="420"/>
        <w:outlineLvl w:val="0"/>
        <w:rPr>
          <w:rFonts w:ascii="宋体" w:hAnsi="宋体" w:hint="eastAsia"/>
          <w:b/>
          <w:sz w:val="24"/>
        </w:rPr>
      </w:pPr>
      <w:r>
        <w:rPr>
          <w:rFonts w:ascii="宋体" w:hAnsi="宋体"/>
          <w:b/>
          <w:sz w:val="24"/>
        </w:rPr>
        <w:t>风险提示</w:t>
      </w:r>
      <w:r>
        <w:rPr>
          <w:rFonts w:ascii="宋体" w:hAnsi="宋体" w:hint="eastAsia"/>
          <w:b/>
          <w:sz w:val="24"/>
        </w:rPr>
        <w:t>:</w:t>
      </w:r>
    </w:p>
    <w:p w:rsidR="00215A2E" w:rsidRPr="00F921CE" w:rsidRDefault="00215A2E" w:rsidP="00215A2E">
      <w:pPr>
        <w:spacing w:line="480" w:lineRule="auto"/>
        <w:ind w:firstLine="420"/>
        <w:outlineLvl w:val="0"/>
        <w:rPr>
          <w:rFonts w:ascii="宋体" w:hAnsi="宋体"/>
          <w:sz w:val="24"/>
        </w:rPr>
      </w:pPr>
      <w:r w:rsidRPr="00F921CE">
        <w:rPr>
          <w:rFonts w:ascii="宋体" w:hAnsi="宋体"/>
          <w:sz w:val="24"/>
        </w:rPr>
        <w:t>本基金管理人承诺以诚实信用、勤勉尽责的原则管理和运用基金财产，但不保证基金一定盈利，也不保证最低收益</w:t>
      </w:r>
      <w:r w:rsidR="002913EF">
        <w:rPr>
          <w:rFonts w:ascii="宋体" w:hAnsi="宋体" w:hint="eastAsia"/>
          <w:sz w:val="24"/>
        </w:rPr>
        <w:t>和本金安全</w:t>
      </w:r>
      <w:r w:rsidRPr="00F921CE">
        <w:rPr>
          <w:rFonts w:ascii="宋体" w:hAnsi="宋体"/>
          <w:sz w:val="24"/>
        </w:rPr>
        <w:t>。投资者购买货币市场基金并不等于将资金作为存款存放在银行或存款类金融机构。基金的过往业绩并不代表其将来表现。投资有风险，敬请投资人认真阅读基金的相关法律文件，并选择适合自身风险承受能力的投资品种进行投资。</w:t>
      </w:r>
    </w:p>
    <w:p w:rsidR="002913EF" w:rsidRDefault="002913EF" w:rsidP="00215A2E">
      <w:pPr>
        <w:spacing w:line="480" w:lineRule="auto"/>
        <w:ind w:firstLine="420"/>
        <w:outlineLvl w:val="0"/>
        <w:rPr>
          <w:rFonts w:ascii="宋体" w:hAnsi="宋体"/>
          <w:sz w:val="24"/>
        </w:rPr>
      </w:pPr>
    </w:p>
    <w:p w:rsidR="00215A2E" w:rsidRPr="00F921CE" w:rsidRDefault="00215A2E" w:rsidP="00215A2E">
      <w:pPr>
        <w:spacing w:line="480" w:lineRule="auto"/>
        <w:ind w:firstLine="420"/>
        <w:outlineLvl w:val="0"/>
        <w:rPr>
          <w:rFonts w:ascii="宋体" w:hAnsi="宋体" w:hint="eastAsia"/>
          <w:sz w:val="24"/>
        </w:rPr>
      </w:pPr>
      <w:r w:rsidRPr="00F921CE">
        <w:rPr>
          <w:rFonts w:ascii="宋体" w:hAnsi="宋体"/>
          <w:sz w:val="24"/>
        </w:rPr>
        <w:t>特此公告。</w:t>
      </w:r>
    </w:p>
    <w:p w:rsidR="00215A2E" w:rsidRPr="00215A2E" w:rsidRDefault="00215A2E" w:rsidP="00215A2E">
      <w:pPr>
        <w:spacing w:line="480" w:lineRule="auto"/>
        <w:ind w:firstLine="420"/>
        <w:outlineLvl w:val="0"/>
        <w:rPr>
          <w:rFonts w:hint="eastAsia"/>
          <w:sz w:val="23"/>
          <w:szCs w:val="23"/>
        </w:rPr>
      </w:pPr>
    </w:p>
    <w:p w:rsidR="00802A75" w:rsidRPr="00133AD7" w:rsidRDefault="00802A75" w:rsidP="00133AD7">
      <w:pPr>
        <w:spacing w:line="480" w:lineRule="auto"/>
        <w:ind w:firstLine="420"/>
        <w:jc w:val="right"/>
        <w:rPr>
          <w:rFonts w:ascii="宋体" w:hAnsi="宋体"/>
          <w:sz w:val="24"/>
        </w:rPr>
      </w:pPr>
      <w:r w:rsidRPr="00133AD7">
        <w:rPr>
          <w:rFonts w:ascii="宋体" w:hAnsi="宋体" w:hint="eastAsia"/>
          <w:sz w:val="24"/>
        </w:rPr>
        <w:t>中信保诚基金管理有限公司</w:t>
      </w:r>
    </w:p>
    <w:p w:rsidR="00AE450C" w:rsidRPr="00133AD7" w:rsidRDefault="00EE6C21" w:rsidP="00133AD7">
      <w:pPr>
        <w:spacing w:line="480" w:lineRule="auto"/>
        <w:ind w:firstLine="420"/>
        <w:jc w:val="right"/>
        <w:rPr>
          <w:rFonts w:ascii="宋体" w:hAnsi="宋体" w:hint="eastAsia"/>
          <w:sz w:val="24"/>
        </w:rPr>
      </w:pPr>
      <w:r w:rsidRPr="00133AD7">
        <w:rPr>
          <w:rFonts w:ascii="宋体" w:hAnsi="宋体" w:hint="eastAsia"/>
          <w:sz w:val="24"/>
        </w:rPr>
        <w:t>202</w:t>
      </w:r>
      <w:r>
        <w:rPr>
          <w:rFonts w:ascii="宋体" w:hAnsi="宋体" w:hint="eastAsia"/>
          <w:sz w:val="24"/>
        </w:rPr>
        <w:t>3</w:t>
      </w:r>
      <w:r w:rsidRPr="00133AD7">
        <w:rPr>
          <w:rFonts w:ascii="宋体" w:hAnsi="宋体" w:hint="eastAsia"/>
          <w:sz w:val="24"/>
        </w:rPr>
        <w:t>年</w:t>
      </w:r>
      <w:r>
        <w:rPr>
          <w:rFonts w:ascii="宋体" w:hAnsi="宋体"/>
          <w:sz w:val="24"/>
        </w:rPr>
        <w:t>8</w:t>
      </w:r>
      <w:r w:rsidR="005A0EF5" w:rsidRPr="00133AD7">
        <w:rPr>
          <w:rFonts w:ascii="宋体" w:hAnsi="宋体" w:hint="eastAsia"/>
          <w:sz w:val="24"/>
        </w:rPr>
        <w:t>月</w:t>
      </w:r>
      <w:r>
        <w:rPr>
          <w:rFonts w:ascii="宋体" w:hAnsi="宋体"/>
          <w:sz w:val="24"/>
        </w:rPr>
        <w:t>1</w:t>
      </w:r>
      <w:r w:rsidR="001F7647">
        <w:rPr>
          <w:rFonts w:ascii="宋体" w:hAnsi="宋体"/>
          <w:sz w:val="24"/>
        </w:rPr>
        <w:t>8</w:t>
      </w:r>
      <w:r w:rsidR="00E02171" w:rsidRPr="00133AD7">
        <w:rPr>
          <w:rFonts w:ascii="宋体" w:hAnsi="宋体" w:hint="eastAsia"/>
          <w:sz w:val="24"/>
        </w:rPr>
        <w:t>日</w:t>
      </w:r>
    </w:p>
    <w:sectPr w:rsidR="00AE450C" w:rsidRPr="00133A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36A" w:rsidRDefault="007C236A" w:rsidP="000B2E0E">
      <w:r>
        <w:separator/>
      </w:r>
    </w:p>
  </w:endnote>
  <w:endnote w:type="continuationSeparator" w:id="0">
    <w:p w:rsidR="007C236A" w:rsidRDefault="007C236A" w:rsidP="000B2E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36A" w:rsidRDefault="007C236A" w:rsidP="000B2E0E">
      <w:r>
        <w:separator/>
      </w:r>
    </w:p>
  </w:footnote>
  <w:footnote w:type="continuationSeparator" w:id="0">
    <w:p w:rsidR="007C236A" w:rsidRDefault="007C236A" w:rsidP="000B2E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8AD"/>
    <w:multiLevelType w:val="hybridMultilevel"/>
    <w:tmpl w:val="B3E85B9E"/>
    <w:lvl w:ilvl="0" w:tplc="B80C4E50">
      <w:start w:val="1"/>
      <w:numFmt w:val="decimal"/>
      <w:lvlText w:val="%1、"/>
      <w:lvlJc w:val="left"/>
      <w:pPr>
        <w:tabs>
          <w:tab w:val="num" w:pos="1620"/>
        </w:tabs>
        <w:ind w:left="1620" w:hanging="1140"/>
      </w:pPr>
      <w:rPr>
        <w:rFonts w:ascii="Times New Roman" w:eastAsia="宋体" w:hAnsi="Times New Roman" w:cs="Times New Roman"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nsid w:val="23867683"/>
    <w:multiLevelType w:val="hybridMultilevel"/>
    <w:tmpl w:val="089ED2CC"/>
    <w:lvl w:ilvl="0" w:tplc="0409000F">
      <w:start w:val="1"/>
      <w:numFmt w:val="decimal"/>
      <w:lvlText w:val="%1."/>
      <w:lvlJc w:val="left"/>
      <w:pPr>
        <w:tabs>
          <w:tab w:val="num" w:pos="1319"/>
        </w:tabs>
        <w:ind w:left="1319"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603A585F"/>
    <w:multiLevelType w:val="hybridMultilevel"/>
    <w:tmpl w:val="5C1E7B46"/>
    <w:lvl w:ilvl="0" w:tplc="31A625D8">
      <w:start w:val="1"/>
      <w:numFmt w:val="japaneseCounting"/>
      <w:lvlText w:val="%1、"/>
      <w:lvlJc w:val="left"/>
      <w:pPr>
        <w:tabs>
          <w:tab w:val="num" w:pos="1331"/>
        </w:tabs>
        <w:ind w:left="1331" w:hanging="480"/>
      </w:pPr>
      <w:rPr>
        <w:rFonts w:hint="default"/>
      </w:rPr>
    </w:lvl>
    <w:lvl w:ilvl="1" w:tplc="04090019" w:tentative="1">
      <w:start w:val="1"/>
      <w:numFmt w:val="lowerLetter"/>
      <w:lvlText w:val="%2)"/>
      <w:lvlJc w:val="left"/>
      <w:pPr>
        <w:tabs>
          <w:tab w:val="num" w:pos="1691"/>
        </w:tabs>
        <w:ind w:left="1691" w:hanging="420"/>
      </w:pPr>
    </w:lvl>
    <w:lvl w:ilvl="2" w:tplc="0409001B" w:tentative="1">
      <w:start w:val="1"/>
      <w:numFmt w:val="lowerRoman"/>
      <w:lvlText w:val="%3."/>
      <w:lvlJc w:val="righ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9" w:tentative="1">
      <w:start w:val="1"/>
      <w:numFmt w:val="lowerLetter"/>
      <w:lvlText w:val="%5)"/>
      <w:lvlJc w:val="left"/>
      <w:pPr>
        <w:tabs>
          <w:tab w:val="num" w:pos="2951"/>
        </w:tabs>
        <w:ind w:left="2951" w:hanging="420"/>
      </w:pPr>
    </w:lvl>
    <w:lvl w:ilvl="5" w:tplc="0409001B" w:tentative="1">
      <w:start w:val="1"/>
      <w:numFmt w:val="lowerRoman"/>
      <w:lvlText w:val="%6."/>
      <w:lvlJc w:val="righ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9" w:tentative="1">
      <w:start w:val="1"/>
      <w:numFmt w:val="lowerLetter"/>
      <w:lvlText w:val="%8)"/>
      <w:lvlJc w:val="left"/>
      <w:pPr>
        <w:tabs>
          <w:tab w:val="num" w:pos="4211"/>
        </w:tabs>
        <w:ind w:left="4211" w:hanging="420"/>
      </w:pPr>
    </w:lvl>
    <w:lvl w:ilvl="8" w:tplc="0409001B" w:tentative="1">
      <w:start w:val="1"/>
      <w:numFmt w:val="lowerRoman"/>
      <w:lvlText w:val="%9."/>
      <w:lvlJc w:val="right"/>
      <w:pPr>
        <w:tabs>
          <w:tab w:val="num" w:pos="4631"/>
        </w:tabs>
        <w:ind w:left="4631" w:hanging="420"/>
      </w:pPr>
    </w:lvl>
  </w:abstractNum>
  <w:abstractNum w:abstractNumId="3">
    <w:nsid w:val="68FC61C8"/>
    <w:multiLevelType w:val="hybridMultilevel"/>
    <w:tmpl w:val="F7865BC2"/>
    <w:lvl w:ilvl="0" w:tplc="B80C4E50">
      <w:start w:val="1"/>
      <w:numFmt w:val="decimal"/>
      <w:lvlText w:val="%1、"/>
      <w:lvlJc w:val="left"/>
      <w:pPr>
        <w:tabs>
          <w:tab w:val="num" w:pos="1140"/>
        </w:tabs>
        <w:ind w:left="1140" w:hanging="1140"/>
      </w:pPr>
      <w:rPr>
        <w:rFonts w:ascii="Times New Roman" w:eastAsia="宋体" w:hAnsi="Times New Roman"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450C"/>
    <w:rsid w:val="000040FB"/>
    <w:rsid w:val="0000546A"/>
    <w:rsid w:val="00016403"/>
    <w:rsid w:val="00034F70"/>
    <w:rsid w:val="00035371"/>
    <w:rsid w:val="0006198E"/>
    <w:rsid w:val="00076A9F"/>
    <w:rsid w:val="0008353F"/>
    <w:rsid w:val="000964F4"/>
    <w:rsid w:val="000B26FF"/>
    <w:rsid w:val="000B2E0E"/>
    <w:rsid w:val="000F2967"/>
    <w:rsid w:val="000F79C7"/>
    <w:rsid w:val="00125DF3"/>
    <w:rsid w:val="001263A7"/>
    <w:rsid w:val="00133AD7"/>
    <w:rsid w:val="00151078"/>
    <w:rsid w:val="0015262C"/>
    <w:rsid w:val="001703D6"/>
    <w:rsid w:val="00181616"/>
    <w:rsid w:val="00196118"/>
    <w:rsid w:val="001A723D"/>
    <w:rsid w:val="001B23B4"/>
    <w:rsid w:val="001B2AB5"/>
    <w:rsid w:val="001D3424"/>
    <w:rsid w:val="001F7647"/>
    <w:rsid w:val="00215A2E"/>
    <w:rsid w:val="002218B6"/>
    <w:rsid w:val="0023425D"/>
    <w:rsid w:val="00243F53"/>
    <w:rsid w:val="00282CD7"/>
    <w:rsid w:val="0028359B"/>
    <w:rsid w:val="002913EF"/>
    <w:rsid w:val="00293EF6"/>
    <w:rsid w:val="00295C31"/>
    <w:rsid w:val="00295E3E"/>
    <w:rsid w:val="00295F8B"/>
    <w:rsid w:val="00295F90"/>
    <w:rsid w:val="002B7AF4"/>
    <w:rsid w:val="002D2BA6"/>
    <w:rsid w:val="002D78CA"/>
    <w:rsid w:val="002D7973"/>
    <w:rsid w:val="002F1C02"/>
    <w:rsid w:val="00311286"/>
    <w:rsid w:val="003245A5"/>
    <w:rsid w:val="00342F8E"/>
    <w:rsid w:val="00367895"/>
    <w:rsid w:val="00375BE3"/>
    <w:rsid w:val="0037650B"/>
    <w:rsid w:val="00376588"/>
    <w:rsid w:val="0038632B"/>
    <w:rsid w:val="0039353F"/>
    <w:rsid w:val="003955A6"/>
    <w:rsid w:val="0039772C"/>
    <w:rsid w:val="003D0E51"/>
    <w:rsid w:val="003E2DBF"/>
    <w:rsid w:val="003E5B97"/>
    <w:rsid w:val="003F0E35"/>
    <w:rsid w:val="00423944"/>
    <w:rsid w:val="00423A19"/>
    <w:rsid w:val="004406BD"/>
    <w:rsid w:val="004413D9"/>
    <w:rsid w:val="00454C57"/>
    <w:rsid w:val="00465B4A"/>
    <w:rsid w:val="0049186E"/>
    <w:rsid w:val="00493F44"/>
    <w:rsid w:val="004B4DA4"/>
    <w:rsid w:val="004C19A2"/>
    <w:rsid w:val="004D1FA1"/>
    <w:rsid w:val="004D5694"/>
    <w:rsid w:val="00500C91"/>
    <w:rsid w:val="00513869"/>
    <w:rsid w:val="00525CEC"/>
    <w:rsid w:val="005528A6"/>
    <w:rsid w:val="005531F2"/>
    <w:rsid w:val="00576BB3"/>
    <w:rsid w:val="00576C9C"/>
    <w:rsid w:val="00581B78"/>
    <w:rsid w:val="00587BB2"/>
    <w:rsid w:val="00593CA7"/>
    <w:rsid w:val="005A0C65"/>
    <w:rsid w:val="005A0EF5"/>
    <w:rsid w:val="005B51B8"/>
    <w:rsid w:val="005C2DAD"/>
    <w:rsid w:val="005D7F8B"/>
    <w:rsid w:val="005E1878"/>
    <w:rsid w:val="005E64DD"/>
    <w:rsid w:val="005F16DB"/>
    <w:rsid w:val="00600B2F"/>
    <w:rsid w:val="00605B54"/>
    <w:rsid w:val="00616B11"/>
    <w:rsid w:val="00617595"/>
    <w:rsid w:val="0062668A"/>
    <w:rsid w:val="00641FCE"/>
    <w:rsid w:val="006425AD"/>
    <w:rsid w:val="006605EE"/>
    <w:rsid w:val="00667C1A"/>
    <w:rsid w:val="006763BB"/>
    <w:rsid w:val="006836AF"/>
    <w:rsid w:val="006874FF"/>
    <w:rsid w:val="0069289C"/>
    <w:rsid w:val="006A2030"/>
    <w:rsid w:val="006B0E1A"/>
    <w:rsid w:val="006B53B5"/>
    <w:rsid w:val="006B7161"/>
    <w:rsid w:val="006C4F9E"/>
    <w:rsid w:val="006E3BEA"/>
    <w:rsid w:val="006F4CE7"/>
    <w:rsid w:val="006F5C83"/>
    <w:rsid w:val="00701932"/>
    <w:rsid w:val="007172C3"/>
    <w:rsid w:val="007246BC"/>
    <w:rsid w:val="007703E1"/>
    <w:rsid w:val="0077100E"/>
    <w:rsid w:val="0079685F"/>
    <w:rsid w:val="00797B40"/>
    <w:rsid w:val="007A504C"/>
    <w:rsid w:val="007B0773"/>
    <w:rsid w:val="007C236A"/>
    <w:rsid w:val="007D1609"/>
    <w:rsid w:val="007D4C5D"/>
    <w:rsid w:val="007E39E7"/>
    <w:rsid w:val="00802A75"/>
    <w:rsid w:val="00803716"/>
    <w:rsid w:val="00803A74"/>
    <w:rsid w:val="008263EC"/>
    <w:rsid w:val="00831D37"/>
    <w:rsid w:val="00833AC9"/>
    <w:rsid w:val="008458CC"/>
    <w:rsid w:val="00851751"/>
    <w:rsid w:val="008605BF"/>
    <w:rsid w:val="008702A4"/>
    <w:rsid w:val="0087172E"/>
    <w:rsid w:val="00883DB4"/>
    <w:rsid w:val="008926E5"/>
    <w:rsid w:val="008A4127"/>
    <w:rsid w:val="0090321D"/>
    <w:rsid w:val="009053CD"/>
    <w:rsid w:val="00922009"/>
    <w:rsid w:val="0092616B"/>
    <w:rsid w:val="00943A38"/>
    <w:rsid w:val="00947396"/>
    <w:rsid w:val="009611E7"/>
    <w:rsid w:val="00963C2E"/>
    <w:rsid w:val="00965390"/>
    <w:rsid w:val="00971A7C"/>
    <w:rsid w:val="00981821"/>
    <w:rsid w:val="00996521"/>
    <w:rsid w:val="00997FFA"/>
    <w:rsid w:val="009A3D5B"/>
    <w:rsid w:val="009E5CA7"/>
    <w:rsid w:val="00A001A0"/>
    <w:rsid w:val="00A00775"/>
    <w:rsid w:val="00A1148B"/>
    <w:rsid w:val="00A27D49"/>
    <w:rsid w:val="00A40629"/>
    <w:rsid w:val="00A7579C"/>
    <w:rsid w:val="00A90D97"/>
    <w:rsid w:val="00A91465"/>
    <w:rsid w:val="00A97A40"/>
    <w:rsid w:val="00AA0B75"/>
    <w:rsid w:val="00AA162B"/>
    <w:rsid w:val="00AA16EE"/>
    <w:rsid w:val="00AA6D3D"/>
    <w:rsid w:val="00AB63EB"/>
    <w:rsid w:val="00AD0C27"/>
    <w:rsid w:val="00AE1B0F"/>
    <w:rsid w:val="00AE450C"/>
    <w:rsid w:val="00B1138C"/>
    <w:rsid w:val="00B218E2"/>
    <w:rsid w:val="00B253F3"/>
    <w:rsid w:val="00B93D48"/>
    <w:rsid w:val="00B948FF"/>
    <w:rsid w:val="00BA395F"/>
    <w:rsid w:val="00BA4C4A"/>
    <w:rsid w:val="00BD01A6"/>
    <w:rsid w:val="00BE1DF0"/>
    <w:rsid w:val="00C01AC2"/>
    <w:rsid w:val="00C05A9C"/>
    <w:rsid w:val="00C25395"/>
    <w:rsid w:val="00C321D1"/>
    <w:rsid w:val="00C465DB"/>
    <w:rsid w:val="00C53679"/>
    <w:rsid w:val="00C65E9F"/>
    <w:rsid w:val="00C6715C"/>
    <w:rsid w:val="00C838D3"/>
    <w:rsid w:val="00CA4D46"/>
    <w:rsid w:val="00CB0FD0"/>
    <w:rsid w:val="00CB1B6D"/>
    <w:rsid w:val="00CB5B81"/>
    <w:rsid w:val="00CC47A7"/>
    <w:rsid w:val="00CD0AD3"/>
    <w:rsid w:val="00D12847"/>
    <w:rsid w:val="00D1385E"/>
    <w:rsid w:val="00D33987"/>
    <w:rsid w:val="00D745FB"/>
    <w:rsid w:val="00DA14C6"/>
    <w:rsid w:val="00DA56C7"/>
    <w:rsid w:val="00DB60E6"/>
    <w:rsid w:val="00DB6E83"/>
    <w:rsid w:val="00DC1CFB"/>
    <w:rsid w:val="00DC20BA"/>
    <w:rsid w:val="00DC7230"/>
    <w:rsid w:val="00E02171"/>
    <w:rsid w:val="00E03A3D"/>
    <w:rsid w:val="00E12F1B"/>
    <w:rsid w:val="00E171F9"/>
    <w:rsid w:val="00E17CBE"/>
    <w:rsid w:val="00E2672F"/>
    <w:rsid w:val="00E26E5E"/>
    <w:rsid w:val="00E32E07"/>
    <w:rsid w:val="00E338D1"/>
    <w:rsid w:val="00E341E9"/>
    <w:rsid w:val="00E37C0A"/>
    <w:rsid w:val="00E427E7"/>
    <w:rsid w:val="00E461FD"/>
    <w:rsid w:val="00E87272"/>
    <w:rsid w:val="00E924F8"/>
    <w:rsid w:val="00EA50F9"/>
    <w:rsid w:val="00EA688E"/>
    <w:rsid w:val="00EB6A5B"/>
    <w:rsid w:val="00EB6C81"/>
    <w:rsid w:val="00EC00DD"/>
    <w:rsid w:val="00EC7CBD"/>
    <w:rsid w:val="00EE0E7C"/>
    <w:rsid w:val="00EE6354"/>
    <w:rsid w:val="00EE6C21"/>
    <w:rsid w:val="00EE76A9"/>
    <w:rsid w:val="00EF3D1E"/>
    <w:rsid w:val="00F00A1E"/>
    <w:rsid w:val="00F219F0"/>
    <w:rsid w:val="00F21B0C"/>
    <w:rsid w:val="00F35AF8"/>
    <w:rsid w:val="00F467A2"/>
    <w:rsid w:val="00F61189"/>
    <w:rsid w:val="00F700E3"/>
    <w:rsid w:val="00F86A70"/>
    <w:rsid w:val="00F921CE"/>
    <w:rsid w:val="00F9635D"/>
    <w:rsid w:val="00FA2056"/>
    <w:rsid w:val="00FB36A9"/>
    <w:rsid w:val="00FB53BB"/>
    <w:rsid w:val="00FD1CF1"/>
    <w:rsid w:val="00FD1DE0"/>
    <w:rsid w:val="00FF648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450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2">
    <w:name w:val="Char2"/>
    <w:basedOn w:val="a"/>
    <w:rsid w:val="001B23B4"/>
    <w:pPr>
      <w:widowControl/>
      <w:spacing w:after="160" w:line="240" w:lineRule="exact"/>
      <w:jc w:val="left"/>
    </w:pPr>
    <w:rPr>
      <w:rFonts w:ascii="Arial" w:hAnsi="Arial"/>
      <w:kern w:val="0"/>
      <w:sz w:val="20"/>
      <w:szCs w:val="20"/>
      <w:lang w:eastAsia="en-US"/>
    </w:rPr>
  </w:style>
  <w:style w:type="paragraph" w:styleId="a3">
    <w:name w:val="header"/>
    <w:basedOn w:val="a"/>
    <w:link w:val="Char"/>
    <w:rsid w:val="000B2E0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0B2E0E"/>
    <w:rPr>
      <w:kern w:val="2"/>
      <w:sz w:val="18"/>
      <w:szCs w:val="18"/>
    </w:rPr>
  </w:style>
  <w:style w:type="paragraph" w:styleId="a4">
    <w:name w:val="footer"/>
    <w:basedOn w:val="a"/>
    <w:link w:val="Char0"/>
    <w:rsid w:val="000B2E0E"/>
    <w:pPr>
      <w:tabs>
        <w:tab w:val="center" w:pos="4153"/>
        <w:tab w:val="right" w:pos="8306"/>
      </w:tabs>
      <w:snapToGrid w:val="0"/>
      <w:jc w:val="left"/>
    </w:pPr>
    <w:rPr>
      <w:sz w:val="18"/>
      <w:szCs w:val="18"/>
    </w:rPr>
  </w:style>
  <w:style w:type="character" w:customStyle="1" w:styleId="Char0">
    <w:name w:val="页脚 Char"/>
    <w:link w:val="a4"/>
    <w:rsid w:val="000B2E0E"/>
    <w:rPr>
      <w:kern w:val="2"/>
      <w:sz w:val="18"/>
      <w:szCs w:val="18"/>
    </w:rPr>
  </w:style>
  <w:style w:type="paragraph" w:styleId="a5">
    <w:name w:val="Balloon Text"/>
    <w:basedOn w:val="a"/>
    <w:link w:val="Char1"/>
    <w:rsid w:val="005531F2"/>
    <w:rPr>
      <w:sz w:val="18"/>
      <w:szCs w:val="18"/>
    </w:rPr>
  </w:style>
  <w:style w:type="character" w:customStyle="1" w:styleId="Char1">
    <w:name w:val="批注框文本 Char"/>
    <w:link w:val="a5"/>
    <w:rsid w:val="005531F2"/>
    <w:rPr>
      <w:kern w:val="2"/>
      <w:sz w:val="18"/>
      <w:szCs w:val="18"/>
    </w:rPr>
  </w:style>
  <w:style w:type="paragraph" w:styleId="a6">
    <w:name w:val="Revision"/>
    <w:hidden/>
    <w:uiPriority w:val="99"/>
    <w:semiHidden/>
    <w:rsid w:val="001703D6"/>
    <w:rPr>
      <w:kern w:val="2"/>
      <w:sz w:val="21"/>
      <w:szCs w:val="24"/>
    </w:rPr>
  </w:style>
  <w:style w:type="character" w:styleId="a7">
    <w:name w:val="Hyperlink"/>
    <w:rsid w:val="00016403"/>
    <w:rPr>
      <w:color w:val="0000FF"/>
      <w:u w:val="single"/>
    </w:rPr>
  </w:style>
  <w:style w:type="character" w:styleId="HTML">
    <w:name w:val="HTML Typewriter"/>
    <w:uiPriority w:val="99"/>
    <w:qFormat/>
    <w:rsid w:val="00423944"/>
    <w:rPr>
      <w:rFonts w:ascii="宋体" w:eastAsia="宋体" w:hAnsi="宋体" w:cs="宋体"/>
      <w:sz w:val="24"/>
      <w:szCs w:val="24"/>
    </w:rPr>
  </w:style>
  <w:style w:type="paragraph" w:customStyle="1" w:styleId="Default">
    <w:name w:val="Default"/>
    <w:rsid w:val="00215A2E"/>
    <w:pPr>
      <w:widowControl w:val="0"/>
      <w:autoSpaceDE w:val="0"/>
      <w:autoSpaceDN w:val="0"/>
      <w:adjustRightInd w:val="0"/>
    </w:pPr>
    <w:rPr>
      <w:rFonts w:ascii="宋体" w:hAnsi="宋体" w:cs="宋体"/>
      <w:color w:val="000000"/>
      <w:sz w:val="24"/>
      <w:szCs w:val="24"/>
    </w:rPr>
  </w:style>
  <w:style w:type="character" w:styleId="a8">
    <w:name w:val="annotation reference"/>
    <w:rsid w:val="00E03A3D"/>
    <w:rPr>
      <w:sz w:val="21"/>
      <w:szCs w:val="21"/>
    </w:rPr>
  </w:style>
  <w:style w:type="paragraph" w:styleId="a9">
    <w:name w:val="annotation text"/>
    <w:basedOn w:val="a"/>
    <w:link w:val="aa"/>
    <w:rsid w:val="00E03A3D"/>
    <w:pPr>
      <w:jc w:val="left"/>
    </w:pPr>
  </w:style>
  <w:style w:type="character" w:customStyle="1" w:styleId="aa">
    <w:name w:val="批注文字 字符"/>
    <w:link w:val="a9"/>
    <w:rsid w:val="00E03A3D"/>
    <w:rPr>
      <w:kern w:val="2"/>
      <w:sz w:val="21"/>
      <w:szCs w:val="24"/>
    </w:rPr>
  </w:style>
  <w:style w:type="paragraph" w:styleId="ab">
    <w:name w:val="annotation subject"/>
    <w:basedOn w:val="a9"/>
    <w:next w:val="a9"/>
    <w:link w:val="ac"/>
    <w:rsid w:val="00E03A3D"/>
    <w:rPr>
      <w:b/>
      <w:bCs/>
    </w:rPr>
  </w:style>
  <w:style w:type="character" w:customStyle="1" w:styleId="ac">
    <w:name w:val="批注主题 字符"/>
    <w:link w:val="ab"/>
    <w:rsid w:val="00E03A3D"/>
    <w:rPr>
      <w:b/>
      <w:bCs/>
      <w:kern w:val="2"/>
      <w:sz w:val="21"/>
      <w:szCs w:val="24"/>
    </w:rPr>
  </w:style>
</w:styles>
</file>

<file path=word/webSettings.xml><?xml version="1.0" encoding="utf-8"?>
<w:webSettings xmlns:r="http://schemas.openxmlformats.org/officeDocument/2006/relationships" xmlns:w="http://schemas.openxmlformats.org/wordprocessingml/2006/main">
  <w:divs>
    <w:div w:id="52704544">
      <w:bodyDiv w:val="1"/>
      <w:marLeft w:val="0"/>
      <w:marRight w:val="0"/>
      <w:marTop w:val="0"/>
      <w:marBottom w:val="0"/>
      <w:divBdr>
        <w:top w:val="none" w:sz="0" w:space="0" w:color="auto"/>
        <w:left w:val="none" w:sz="0" w:space="0" w:color="auto"/>
        <w:bottom w:val="none" w:sz="0" w:space="0" w:color="auto"/>
        <w:right w:val="none" w:sz="0" w:space="0" w:color="auto"/>
      </w:divBdr>
      <w:divsChild>
        <w:div w:id="457140001">
          <w:marLeft w:val="0"/>
          <w:marRight w:val="0"/>
          <w:marTop w:val="0"/>
          <w:marBottom w:val="0"/>
          <w:divBdr>
            <w:top w:val="none" w:sz="0" w:space="0" w:color="auto"/>
            <w:left w:val="none" w:sz="0" w:space="0" w:color="auto"/>
            <w:bottom w:val="none" w:sz="0" w:space="0" w:color="auto"/>
            <w:right w:val="none" w:sz="0" w:space="0" w:color="auto"/>
          </w:divBdr>
          <w:divsChild>
            <w:div w:id="1705865141">
              <w:marLeft w:val="0"/>
              <w:marRight w:val="0"/>
              <w:marTop w:val="0"/>
              <w:marBottom w:val="0"/>
              <w:divBdr>
                <w:top w:val="none" w:sz="0" w:space="0" w:color="auto"/>
                <w:left w:val="none" w:sz="0" w:space="0" w:color="auto"/>
                <w:bottom w:val="none" w:sz="0" w:space="0" w:color="auto"/>
                <w:right w:val="none" w:sz="0" w:space="0" w:color="auto"/>
              </w:divBdr>
              <w:divsChild>
                <w:div w:id="808592225">
                  <w:marLeft w:val="0"/>
                  <w:marRight w:val="0"/>
                  <w:marTop w:val="375"/>
                  <w:marBottom w:val="0"/>
                  <w:divBdr>
                    <w:top w:val="none" w:sz="0" w:space="0" w:color="auto"/>
                    <w:left w:val="none" w:sz="0" w:space="0" w:color="auto"/>
                    <w:bottom w:val="none" w:sz="0" w:space="0" w:color="auto"/>
                    <w:right w:val="none" w:sz="0" w:space="0" w:color="auto"/>
                  </w:divBdr>
                  <w:divsChild>
                    <w:div w:id="1224637787">
                      <w:marLeft w:val="0"/>
                      <w:marRight w:val="0"/>
                      <w:marTop w:val="0"/>
                      <w:marBottom w:val="0"/>
                      <w:divBdr>
                        <w:top w:val="none" w:sz="0" w:space="0" w:color="auto"/>
                        <w:left w:val="none" w:sz="0" w:space="0" w:color="auto"/>
                        <w:bottom w:val="none" w:sz="0" w:space="0" w:color="auto"/>
                        <w:right w:val="none" w:sz="0" w:space="0" w:color="auto"/>
                      </w:divBdr>
                      <w:divsChild>
                        <w:div w:id="3942254">
                          <w:marLeft w:val="0"/>
                          <w:marRight w:val="0"/>
                          <w:marTop w:val="225"/>
                          <w:marBottom w:val="0"/>
                          <w:divBdr>
                            <w:top w:val="none" w:sz="0" w:space="0" w:color="auto"/>
                            <w:left w:val="none" w:sz="0" w:space="0" w:color="auto"/>
                            <w:bottom w:val="none" w:sz="0" w:space="0" w:color="auto"/>
                            <w:right w:val="none" w:sz="0" w:space="0" w:color="auto"/>
                          </w:divBdr>
                          <w:divsChild>
                            <w:div w:id="25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756396">
      <w:bodyDiv w:val="1"/>
      <w:marLeft w:val="0"/>
      <w:marRight w:val="0"/>
      <w:marTop w:val="0"/>
      <w:marBottom w:val="0"/>
      <w:divBdr>
        <w:top w:val="none" w:sz="0" w:space="0" w:color="auto"/>
        <w:left w:val="none" w:sz="0" w:space="0" w:color="auto"/>
        <w:bottom w:val="none" w:sz="0" w:space="0" w:color="auto"/>
        <w:right w:val="none" w:sz="0" w:space="0" w:color="auto"/>
      </w:divBdr>
    </w:div>
    <w:div w:id="311184132">
      <w:bodyDiv w:val="1"/>
      <w:marLeft w:val="0"/>
      <w:marRight w:val="0"/>
      <w:marTop w:val="0"/>
      <w:marBottom w:val="0"/>
      <w:divBdr>
        <w:top w:val="none" w:sz="0" w:space="0" w:color="auto"/>
        <w:left w:val="none" w:sz="0" w:space="0" w:color="auto"/>
        <w:bottom w:val="none" w:sz="0" w:space="0" w:color="auto"/>
        <w:right w:val="none" w:sz="0" w:space="0" w:color="auto"/>
      </w:divBdr>
    </w:div>
    <w:div w:id="916355643">
      <w:bodyDiv w:val="1"/>
      <w:marLeft w:val="0"/>
      <w:marRight w:val="0"/>
      <w:marTop w:val="0"/>
      <w:marBottom w:val="0"/>
      <w:divBdr>
        <w:top w:val="none" w:sz="0" w:space="0" w:color="auto"/>
        <w:left w:val="none" w:sz="0" w:space="0" w:color="auto"/>
        <w:bottom w:val="none" w:sz="0" w:space="0" w:color="auto"/>
        <w:right w:val="none" w:sz="0" w:space="0" w:color="auto"/>
      </w:divBdr>
      <w:divsChild>
        <w:div w:id="736628652">
          <w:marLeft w:val="0"/>
          <w:marRight w:val="0"/>
          <w:marTop w:val="0"/>
          <w:marBottom w:val="0"/>
          <w:divBdr>
            <w:top w:val="none" w:sz="0" w:space="0" w:color="auto"/>
            <w:left w:val="none" w:sz="0" w:space="0" w:color="auto"/>
            <w:bottom w:val="none" w:sz="0" w:space="0" w:color="auto"/>
            <w:right w:val="none" w:sz="0" w:space="0" w:color="auto"/>
          </w:divBdr>
          <w:divsChild>
            <w:div w:id="505556256">
              <w:marLeft w:val="0"/>
              <w:marRight w:val="0"/>
              <w:marTop w:val="0"/>
              <w:marBottom w:val="0"/>
              <w:divBdr>
                <w:top w:val="none" w:sz="0" w:space="0" w:color="auto"/>
                <w:left w:val="none" w:sz="0" w:space="0" w:color="auto"/>
                <w:bottom w:val="none" w:sz="0" w:space="0" w:color="auto"/>
                <w:right w:val="none" w:sz="0" w:space="0" w:color="auto"/>
              </w:divBdr>
              <w:divsChild>
                <w:div w:id="1750736518">
                  <w:marLeft w:val="0"/>
                  <w:marRight w:val="0"/>
                  <w:marTop w:val="375"/>
                  <w:marBottom w:val="0"/>
                  <w:divBdr>
                    <w:top w:val="none" w:sz="0" w:space="0" w:color="auto"/>
                    <w:left w:val="none" w:sz="0" w:space="0" w:color="auto"/>
                    <w:bottom w:val="none" w:sz="0" w:space="0" w:color="auto"/>
                    <w:right w:val="none" w:sz="0" w:space="0" w:color="auto"/>
                  </w:divBdr>
                  <w:divsChild>
                    <w:div w:id="395058564">
                      <w:marLeft w:val="0"/>
                      <w:marRight w:val="0"/>
                      <w:marTop w:val="0"/>
                      <w:marBottom w:val="0"/>
                      <w:divBdr>
                        <w:top w:val="none" w:sz="0" w:space="0" w:color="auto"/>
                        <w:left w:val="none" w:sz="0" w:space="0" w:color="auto"/>
                        <w:bottom w:val="none" w:sz="0" w:space="0" w:color="auto"/>
                        <w:right w:val="none" w:sz="0" w:space="0" w:color="auto"/>
                      </w:divBdr>
                      <w:divsChild>
                        <w:div w:id="2067102185">
                          <w:marLeft w:val="0"/>
                          <w:marRight w:val="0"/>
                          <w:marTop w:val="225"/>
                          <w:marBottom w:val="0"/>
                          <w:divBdr>
                            <w:top w:val="none" w:sz="0" w:space="0" w:color="auto"/>
                            <w:left w:val="none" w:sz="0" w:space="0" w:color="auto"/>
                            <w:bottom w:val="none" w:sz="0" w:space="0" w:color="auto"/>
                            <w:right w:val="none" w:sz="0" w:space="0" w:color="auto"/>
                          </w:divBdr>
                          <w:divsChild>
                            <w:div w:id="35711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662273">
      <w:bodyDiv w:val="1"/>
      <w:marLeft w:val="0"/>
      <w:marRight w:val="0"/>
      <w:marTop w:val="0"/>
      <w:marBottom w:val="0"/>
      <w:divBdr>
        <w:top w:val="none" w:sz="0" w:space="0" w:color="auto"/>
        <w:left w:val="none" w:sz="0" w:space="0" w:color="auto"/>
        <w:bottom w:val="none" w:sz="0" w:space="0" w:color="auto"/>
        <w:right w:val="none" w:sz="0" w:space="0" w:color="auto"/>
      </w:divBdr>
    </w:div>
    <w:div w:id="1322851713">
      <w:bodyDiv w:val="1"/>
      <w:marLeft w:val="0"/>
      <w:marRight w:val="0"/>
      <w:marTop w:val="0"/>
      <w:marBottom w:val="0"/>
      <w:divBdr>
        <w:top w:val="none" w:sz="0" w:space="0" w:color="auto"/>
        <w:left w:val="none" w:sz="0" w:space="0" w:color="auto"/>
        <w:bottom w:val="none" w:sz="0" w:space="0" w:color="auto"/>
        <w:right w:val="none" w:sz="0" w:space="0" w:color="auto"/>
      </w:divBdr>
    </w:div>
    <w:div w:id="1660882292">
      <w:bodyDiv w:val="1"/>
      <w:marLeft w:val="0"/>
      <w:marRight w:val="0"/>
      <w:marTop w:val="0"/>
      <w:marBottom w:val="0"/>
      <w:divBdr>
        <w:top w:val="none" w:sz="0" w:space="0" w:color="auto"/>
        <w:left w:val="none" w:sz="0" w:space="0" w:color="auto"/>
        <w:bottom w:val="none" w:sz="0" w:space="0" w:color="auto"/>
        <w:right w:val="none" w:sz="0" w:space="0" w:color="auto"/>
      </w:divBdr>
    </w:div>
    <w:div w:id="186339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328</Words>
  <Characters>1875</Characters>
  <Application>Microsoft Office Word</Application>
  <DocSecurity>4</DocSecurity>
  <Lines>15</Lines>
  <Paragraphs>4</Paragraphs>
  <ScaleCrop>false</ScaleCrop>
  <Company>ccbfund</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关于旗下部分开放式基金通过中国工商银行开办基金定投业务暨参加基金定投优惠活动的公告</dc:title>
  <dc:subject/>
  <dc:creator>赵思捷</dc:creator>
  <cp:keywords/>
  <cp:lastModifiedBy>ZHONGM</cp:lastModifiedBy>
  <cp:revision>2</cp:revision>
  <cp:lastPrinted>2023-08-15T07:07:00Z</cp:lastPrinted>
  <dcterms:created xsi:type="dcterms:W3CDTF">2023-08-17T16:02:00Z</dcterms:created>
  <dcterms:modified xsi:type="dcterms:W3CDTF">2023-08-17T16:02:00Z</dcterms:modified>
</cp:coreProperties>
</file>