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B0" w:rsidRDefault="00D824F2">
      <w:pPr>
        <w:jc w:val="center"/>
        <w:rPr>
          <w:rFonts w:ascii="Times New Roman" w:eastAsia="楷体_GB2312" w:hAnsi="Times New Roman" w:cs="Times New Roman"/>
          <w:b/>
          <w:sz w:val="30"/>
          <w:szCs w:val="30"/>
        </w:rPr>
      </w:pPr>
      <w:r>
        <w:rPr>
          <w:rFonts w:ascii="Times New Roman" w:eastAsia="楷体_GB2312" w:hAnsi="Times New Roman" w:cs="Times New Roman"/>
          <w:b/>
          <w:sz w:val="30"/>
          <w:szCs w:val="30"/>
        </w:rPr>
        <w:t>关于</w:t>
      </w:r>
      <w:r>
        <w:rPr>
          <w:rFonts w:ascii="Times New Roman" w:eastAsia="楷体_GB2312" w:hAnsi="Times New Roman" w:cs="Times New Roman" w:hint="eastAsia"/>
          <w:b/>
          <w:sz w:val="30"/>
          <w:szCs w:val="30"/>
        </w:rPr>
        <w:t>中金兴元</w:t>
      </w:r>
      <w:r>
        <w:rPr>
          <w:rFonts w:ascii="Times New Roman" w:eastAsia="楷体_GB2312" w:hAnsi="Times New Roman" w:cs="Times New Roman" w:hint="eastAsia"/>
          <w:b/>
          <w:sz w:val="30"/>
          <w:szCs w:val="30"/>
        </w:rPr>
        <w:t>6</w:t>
      </w:r>
      <w:r>
        <w:rPr>
          <w:rFonts w:ascii="Times New Roman" w:eastAsia="楷体_GB2312" w:hAnsi="Times New Roman" w:cs="Times New Roman" w:hint="eastAsia"/>
          <w:b/>
          <w:sz w:val="30"/>
          <w:szCs w:val="30"/>
        </w:rPr>
        <w:t>个月持有期混合型证券投资基金</w:t>
      </w:r>
    </w:p>
    <w:p w:rsidR="007849B0" w:rsidRDefault="00D824F2">
      <w:pPr>
        <w:jc w:val="center"/>
        <w:rPr>
          <w:rFonts w:ascii="Times New Roman" w:eastAsia="楷体_GB2312" w:hAnsi="Times New Roman" w:cs="Times New Roman"/>
          <w:b/>
          <w:sz w:val="30"/>
          <w:szCs w:val="30"/>
        </w:rPr>
      </w:pPr>
      <w:r>
        <w:rPr>
          <w:rFonts w:ascii="Times New Roman" w:eastAsia="楷体_GB2312" w:hAnsi="Times New Roman" w:cs="Times New Roman"/>
          <w:b/>
          <w:sz w:val="30"/>
          <w:szCs w:val="30"/>
        </w:rPr>
        <w:t>开放申购</w:t>
      </w:r>
      <w:r>
        <w:rPr>
          <w:rFonts w:ascii="Times New Roman" w:eastAsia="楷体_GB2312" w:hAnsi="Times New Roman" w:cs="Times New Roman" w:hint="eastAsia"/>
          <w:b/>
          <w:sz w:val="30"/>
          <w:szCs w:val="30"/>
        </w:rPr>
        <w:t>、</w:t>
      </w:r>
      <w:r>
        <w:rPr>
          <w:rFonts w:ascii="Times New Roman" w:eastAsia="楷体_GB2312" w:hAnsi="Times New Roman" w:cs="Times New Roman"/>
          <w:b/>
          <w:sz w:val="30"/>
          <w:szCs w:val="30"/>
        </w:rPr>
        <w:t>转换转入</w:t>
      </w:r>
      <w:r>
        <w:rPr>
          <w:rFonts w:ascii="Times New Roman" w:eastAsia="楷体_GB2312" w:hAnsi="Times New Roman" w:cs="Times New Roman" w:hint="eastAsia"/>
          <w:b/>
          <w:sz w:val="30"/>
          <w:szCs w:val="30"/>
        </w:rPr>
        <w:t>、</w:t>
      </w:r>
      <w:r>
        <w:rPr>
          <w:rFonts w:ascii="Times New Roman" w:eastAsia="楷体_GB2312" w:hAnsi="Times New Roman" w:cs="Times New Roman"/>
          <w:b/>
          <w:sz w:val="30"/>
          <w:szCs w:val="30"/>
        </w:rPr>
        <w:t>定期定额投资业务的公告</w:t>
      </w:r>
    </w:p>
    <w:p w:rsidR="007849B0" w:rsidRDefault="007849B0">
      <w:pPr>
        <w:jc w:val="center"/>
        <w:rPr>
          <w:rFonts w:ascii="Times New Roman" w:eastAsia="楷体_GB2312" w:hAnsi="Times New Roman" w:cs="Times New Roman"/>
          <w:sz w:val="24"/>
          <w:szCs w:val="24"/>
        </w:rPr>
      </w:pPr>
    </w:p>
    <w:p w:rsidR="007849B0" w:rsidRDefault="00D824F2">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公告送出日期：</w:t>
      </w:r>
      <w:r>
        <w:rPr>
          <w:rFonts w:ascii="Times New Roman" w:eastAsia="楷体_GB2312" w:hAnsi="Times New Roman" w:cs="Times New Roman" w:hint="eastAsia"/>
          <w:sz w:val="24"/>
          <w:szCs w:val="24"/>
        </w:rPr>
        <w:t>2023</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8</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17</w:t>
      </w:r>
      <w:r>
        <w:rPr>
          <w:rFonts w:ascii="Times New Roman" w:eastAsia="楷体_GB2312" w:hAnsi="Times New Roman" w:cs="Times New Roman"/>
          <w:sz w:val="24"/>
          <w:szCs w:val="24"/>
        </w:rPr>
        <w:t>日</w:t>
      </w:r>
    </w:p>
    <w:p w:rsidR="007849B0" w:rsidRDefault="007849B0">
      <w:pPr>
        <w:rPr>
          <w:rFonts w:ascii="Times New Roman" w:eastAsia="楷体_GB2312" w:hAnsi="Times New Roman" w:cs="Times New Roman"/>
          <w:sz w:val="24"/>
          <w:szCs w:val="24"/>
        </w:rPr>
      </w:pPr>
    </w:p>
    <w:p w:rsidR="007849B0" w:rsidRDefault="00D824F2">
      <w:pPr>
        <w:pStyle w:val="1"/>
        <w:ind w:firstLine="482"/>
        <w:rPr>
          <w:rFonts w:cs="Times New Roman"/>
        </w:rPr>
      </w:pPr>
      <w:r>
        <w:rPr>
          <w:rFonts w:cs="Times New Roman"/>
        </w:rPr>
        <w:t>1</w:t>
      </w:r>
      <w:r>
        <w:rPr>
          <w:rFonts w:cs="Times New Roman"/>
        </w:rPr>
        <w:t>、公告基本信息</w:t>
      </w:r>
    </w:p>
    <w:tbl>
      <w:tblPr>
        <w:tblW w:w="8447" w:type="dxa"/>
        <w:jc w:val="center"/>
        <w:tblLayout w:type="fixed"/>
        <w:tblCellMar>
          <w:left w:w="0" w:type="dxa"/>
          <w:right w:w="0" w:type="dxa"/>
        </w:tblCellMar>
        <w:tblLook w:val="04A0"/>
      </w:tblPr>
      <w:tblGrid>
        <w:gridCol w:w="2891"/>
        <w:gridCol w:w="2850"/>
        <w:gridCol w:w="2706"/>
      </w:tblGrid>
      <w:tr w:rsidR="007849B0">
        <w:trPr>
          <w:jc w:val="center"/>
        </w:trPr>
        <w:tc>
          <w:tcPr>
            <w:tcW w:w="2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基金名称</w:t>
            </w:r>
          </w:p>
        </w:tc>
        <w:tc>
          <w:tcPr>
            <w:tcW w:w="555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中金兴元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个月持有期混合型证券投资基金</w:t>
            </w:r>
          </w:p>
        </w:tc>
      </w:tr>
      <w:tr w:rsidR="007849B0">
        <w:trPr>
          <w:jc w:val="center"/>
        </w:trPr>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基金简称</w:t>
            </w:r>
          </w:p>
        </w:tc>
        <w:tc>
          <w:tcPr>
            <w:tcW w:w="5556" w:type="dxa"/>
            <w:gridSpan w:val="2"/>
            <w:tcBorders>
              <w:top w:val="nil"/>
              <w:left w:val="nil"/>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中金兴元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个月持有混合</w:t>
            </w:r>
          </w:p>
        </w:tc>
      </w:tr>
      <w:tr w:rsidR="007849B0">
        <w:trPr>
          <w:jc w:val="center"/>
        </w:trPr>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基金主代码</w:t>
            </w:r>
          </w:p>
        </w:tc>
        <w:tc>
          <w:tcPr>
            <w:tcW w:w="5556" w:type="dxa"/>
            <w:gridSpan w:val="2"/>
            <w:tcBorders>
              <w:top w:val="nil"/>
              <w:left w:val="nil"/>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018628</w:t>
            </w:r>
          </w:p>
        </w:tc>
      </w:tr>
      <w:tr w:rsidR="007849B0">
        <w:trPr>
          <w:jc w:val="center"/>
        </w:trPr>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基金运作方式</w:t>
            </w:r>
          </w:p>
        </w:tc>
        <w:tc>
          <w:tcPr>
            <w:tcW w:w="5556" w:type="dxa"/>
            <w:gridSpan w:val="2"/>
            <w:tcBorders>
              <w:top w:val="nil"/>
              <w:left w:val="nil"/>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契约型开放式</w:t>
            </w:r>
          </w:p>
        </w:tc>
      </w:tr>
      <w:tr w:rsidR="007849B0">
        <w:trPr>
          <w:jc w:val="center"/>
        </w:trPr>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基金合同生效日</w:t>
            </w:r>
          </w:p>
        </w:tc>
        <w:tc>
          <w:tcPr>
            <w:tcW w:w="5556" w:type="dxa"/>
            <w:gridSpan w:val="2"/>
            <w:tcBorders>
              <w:top w:val="nil"/>
              <w:left w:val="nil"/>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2023</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7</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18</w:t>
            </w:r>
            <w:r>
              <w:rPr>
                <w:rFonts w:ascii="Times New Roman" w:eastAsia="楷体_GB2312" w:hAnsi="Times New Roman" w:cs="Times New Roman" w:hint="eastAsia"/>
                <w:sz w:val="24"/>
                <w:szCs w:val="24"/>
              </w:rPr>
              <w:t>日</w:t>
            </w:r>
          </w:p>
        </w:tc>
      </w:tr>
      <w:tr w:rsidR="007849B0">
        <w:trPr>
          <w:jc w:val="center"/>
        </w:trPr>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基金管理人名称</w:t>
            </w:r>
          </w:p>
        </w:tc>
        <w:tc>
          <w:tcPr>
            <w:tcW w:w="5556" w:type="dxa"/>
            <w:gridSpan w:val="2"/>
            <w:tcBorders>
              <w:top w:val="nil"/>
              <w:left w:val="nil"/>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中金基金管理有限公司</w:t>
            </w:r>
          </w:p>
        </w:tc>
      </w:tr>
      <w:tr w:rsidR="007849B0">
        <w:trPr>
          <w:jc w:val="center"/>
        </w:trPr>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基金托管人名称</w:t>
            </w:r>
          </w:p>
        </w:tc>
        <w:tc>
          <w:tcPr>
            <w:tcW w:w="5556" w:type="dxa"/>
            <w:gridSpan w:val="2"/>
            <w:tcBorders>
              <w:top w:val="nil"/>
              <w:left w:val="nil"/>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兴业银行股份有限公司</w:t>
            </w:r>
          </w:p>
        </w:tc>
      </w:tr>
      <w:tr w:rsidR="007849B0">
        <w:trPr>
          <w:jc w:val="center"/>
        </w:trPr>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基金注册登记机构名称</w:t>
            </w:r>
          </w:p>
        </w:tc>
        <w:tc>
          <w:tcPr>
            <w:tcW w:w="5556" w:type="dxa"/>
            <w:gridSpan w:val="2"/>
            <w:tcBorders>
              <w:top w:val="nil"/>
              <w:left w:val="nil"/>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中金基金管理有限公司</w:t>
            </w:r>
          </w:p>
        </w:tc>
      </w:tr>
      <w:tr w:rsidR="007849B0">
        <w:trPr>
          <w:jc w:val="center"/>
        </w:trPr>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公告依据</w:t>
            </w:r>
          </w:p>
        </w:tc>
        <w:tc>
          <w:tcPr>
            <w:tcW w:w="5556" w:type="dxa"/>
            <w:gridSpan w:val="2"/>
            <w:tcBorders>
              <w:top w:val="nil"/>
              <w:left w:val="nil"/>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《中华人民共和国证券投资基金法》、《公开募集证券投资基金运作管理办法》、《公开募集证券投资基金信息披露管理办法》等法律法规以及《中金兴元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个月持有期混合型证券投资基金基金合同》、《中金兴元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个月持有期混合型证券投资基金招募说明书》</w:t>
            </w:r>
          </w:p>
        </w:tc>
      </w:tr>
      <w:tr w:rsidR="007849B0">
        <w:trPr>
          <w:jc w:val="center"/>
        </w:trPr>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申购起始日</w:t>
            </w:r>
          </w:p>
        </w:tc>
        <w:tc>
          <w:tcPr>
            <w:tcW w:w="5556" w:type="dxa"/>
            <w:gridSpan w:val="2"/>
            <w:tcBorders>
              <w:top w:val="nil"/>
              <w:left w:val="nil"/>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2023</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8</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22</w:t>
            </w:r>
            <w:r>
              <w:rPr>
                <w:rFonts w:ascii="Times New Roman" w:eastAsia="楷体_GB2312" w:hAnsi="Times New Roman" w:cs="Times New Roman" w:hint="eastAsia"/>
                <w:sz w:val="24"/>
                <w:szCs w:val="24"/>
              </w:rPr>
              <w:t>日</w:t>
            </w:r>
          </w:p>
        </w:tc>
      </w:tr>
      <w:tr w:rsidR="007849B0">
        <w:trPr>
          <w:jc w:val="center"/>
        </w:trPr>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转换转入起始日</w:t>
            </w:r>
          </w:p>
        </w:tc>
        <w:tc>
          <w:tcPr>
            <w:tcW w:w="5556" w:type="dxa"/>
            <w:gridSpan w:val="2"/>
            <w:tcBorders>
              <w:top w:val="nil"/>
              <w:left w:val="nil"/>
              <w:bottom w:val="single" w:sz="8" w:space="0" w:color="auto"/>
              <w:right w:val="single" w:sz="8" w:space="0" w:color="auto"/>
            </w:tcBorders>
            <w:tcMar>
              <w:top w:w="0" w:type="dxa"/>
              <w:left w:w="108" w:type="dxa"/>
              <w:bottom w:w="0" w:type="dxa"/>
              <w:right w:w="108" w:type="dxa"/>
            </w:tcMar>
          </w:tcPr>
          <w:p w:rsidR="007849B0" w:rsidRDefault="00D824F2">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2023</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8</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22</w:t>
            </w:r>
            <w:r>
              <w:rPr>
                <w:rFonts w:ascii="Times New Roman" w:eastAsia="楷体_GB2312" w:hAnsi="Times New Roman" w:cs="Times New Roman" w:hint="eastAsia"/>
                <w:sz w:val="24"/>
                <w:szCs w:val="24"/>
              </w:rPr>
              <w:t>日</w:t>
            </w:r>
          </w:p>
        </w:tc>
      </w:tr>
      <w:tr w:rsidR="007849B0">
        <w:trPr>
          <w:jc w:val="center"/>
        </w:trPr>
        <w:tc>
          <w:tcPr>
            <w:tcW w:w="28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849B0" w:rsidRDefault="00D824F2">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定期定额投资起始日</w:t>
            </w:r>
          </w:p>
        </w:tc>
        <w:tc>
          <w:tcPr>
            <w:tcW w:w="555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849B0" w:rsidRDefault="00D824F2">
            <w:pPr>
              <w:rPr>
                <w:rFonts w:ascii="Times New Roman" w:eastAsia="楷体_GB2312" w:hAnsi="Times New Roman" w:cs="Times New Roman"/>
                <w:sz w:val="24"/>
                <w:szCs w:val="24"/>
              </w:rPr>
            </w:pPr>
            <w:bookmarkStart w:id="0" w:name="t_2_1_2795_a1_fm1"/>
            <w:bookmarkEnd w:id="0"/>
            <w:r>
              <w:rPr>
                <w:rFonts w:ascii="Times New Roman" w:eastAsia="楷体_GB2312" w:hAnsi="Times New Roman" w:cs="Times New Roman" w:hint="eastAsia"/>
                <w:sz w:val="24"/>
                <w:szCs w:val="24"/>
              </w:rPr>
              <w:t>2023</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8</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22</w:t>
            </w:r>
            <w:r>
              <w:rPr>
                <w:rFonts w:ascii="Times New Roman" w:eastAsia="楷体_GB2312" w:hAnsi="Times New Roman" w:cs="Times New Roman" w:hint="eastAsia"/>
                <w:sz w:val="24"/>
                <w:szCs w:val="24"/>
              </w:rPr>
              <w:t>日</w:t>
            </w:r>
          </w:p>
        </w:tc>
      </w:tr>
      <w:tr w:rsidR="007849B0">
        <w:trPr>
          <w:jc w:val="center"/>
        </w:trPr>
        <w:tc>
          <w:tcPr>
            <w:tcW w:w="289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7849B0" w:rsidRDefault="00D824F2">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下属基金份额的基金简称</w:t>
            </w:r>
          </w:p>
        </w:tc>
        <w:tc>
          <w:tcPr>
            <w:tcW w:w="2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49B0" w:rsidRDefault="00D824F2">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中金兴元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个月持有混合</w:t>
            </w:r>
            <w:r>
              <w:rPr>
                <w:rFonts w:ascii="Times New Roman" w:eastAsia="楷体_GB2312" w:hAnsi="Times New Roman" w:cs="Times New Roman" w:hint="eastAsia"/>
                <w:sz w:val="24"/>
                <w:szCs w:val="24"/>
              </w:rPr>
              <w:t>A</w:t>
            </w:r>
          </w:p>
        </w:tc>
        <w:tc>
          <w:tcPr>
            <w:tcW w:w="2706" w:type="dxa"/>
            <w:tcBorders>
              <w:top w:val="single" w:sz="4" w:space="0" w:color="auto"/>
              <w:left w:val="single" w:sz="4" w:space="0" w:color="auto"/>
              <w:bottom w:val="single" w:sz="4" w:space="0" w:color="auto"/>
              <w:right w:val="single" w:sz="4" w:space="0" w:color="auto"/>
            </w:tcBorders>
            <w:vAlign w:val="center"/>
          </w:tcPr>
          <w:p w:rsidR="007849B0" w:rsidRDefault="00D824F2">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中金兴元</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个月持有混合</w:t>
            </w:r>
            <w:r>
              <w:rPr>
                <w:rFonts w:ascii="Times New Roman" w:eastAsia="楷体_GB2312" w:hAnsi="Times New Roman" w:cs="Times New Roman" w:hint="eastAsia"/>
                <w:sz w:val="24"/>
                <w:szCs w:val="24"/>
              </w:rPr>
              <w:t>C</w:t>
            </w:r>
          </w:p>
        </w:tc>
      </w:tr>
      <w:tr w:rsidR="007849B0">
        <w:trPr>
          <w:jc w:val="center"/>
        </w:trPr>
        <w:tc>
          <w:tcPr>
            <w:tcW w:w="289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7849B0" w:rsidRDefault="00D824F2">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下属基金份额的交易代码</w:t>
            </w:r>
          </w:p>
        </w:tc>
        <w:tc>
          <w:tcPr>
            <w:tcW w:w="2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49B0" w:rsidRDefault="00D824F2">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018628</w:t>
            </w:r>
          </w:p>
        </w:tc>
        <w:tc>
          <w:tcPr>
            <w:tcW w:w="2706" w:type="dxa"/>
            <w:tcBorders>
              <w:top w:val="single" w:sz="4" w:space="0" w:color="auto"/>
              <w:left w:val="single" w:sz="4" w:space="0" w:color="auto"/>
              <w:bottom w:val="single" w:sz="4" w:space="0" w:color="auto"/>
              <w:right w:val="single" w:sz="4" w:space="0" w:color="auto"/>
            </w:tcBorders>
            <w:vAlign w:val="center"/>
          </w:tcPr>
          <w:p w:rsidR="007849B0" w:rsidRDefault="00D824F2">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018629</w:t>
            </w:r>
          </w:p>
        </w:tc>
      </w:tr>
      <w:tr w:rsidR="007849B0">
        <w:trPr>
          <w:jc w:val="center"/>
        </w:trPr>
        <w:tc>
          <w:tcPr>
            <w:tcW w:w="2891"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7849B0" w:rsidRDefault="00D824F2">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该基金份额是否开放上述业务</w:t>
            </w:r>
          </w:p>
        </w:tc>
        <w:tc>
          <w:tcPr>
            <w:tcW w:w="2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49B0" w:rsidRDefault="00D824F2">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是</w:t>
            </w:r>
          </w:p>
        </w:tc>
        <w:tc>
          <w:tcPr>
            <w:tcW w:w="2706" w:type="dxa"/>
            <w:tcBorders>
              <w:top w:val="single" w:sz="4" w:space="0" w:color="auto"/>
              <w:left w:val="single" w:sz="4" w:space="0" w:color="auto"/>
              <w:bottom w:val="single" w:sz="4" w:space="0" w:color="auto"/>
              <w:right w:val="single" w:sz="4" w:space="0" w:color="auto"/>
            </w:tcBorders>
            <w:vAlign w:val="center"/>
          </w:tcPr>
          <w:p w:rsidR="007849B0" w:rsidRDefault="00D824F2">
            <w:pP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是</w:t>
            </w:r>
          </w:p>
        </w:tc>
      </w:tr>
    </w:tbl>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注：（</w:t>
      </w:r>
      <w:r>
        <w:rPr>
          <w:rFonts w:ascii="Times New Roman" w:eastAsia="楷体_GB2312" w:hAnsi="Times New Roman" w:cs="Times New Roman"/>
          <w:sz w:val="24"/>
          <w:szCs w:val="24"/>
        </w:rPr>
        <w:t>1</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本基金对每份基金份额设置</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的最短持有期限。在每份基金份额的最短持有期限内，投资者不能就该基金份额提出赎回申请或转换转出申请；每份基金份额的最短持有期限届满后的下一个工作日（含）起，基金份额持有人可就该份额提出赎回申请及转换转出申请。对于每份基金份额，最短持有期限指自基金合同生效日（含）（对于认购份额而言）、基金份额申购确认日（含）（对于申购份额而言）或基金份额转换转入确认日（含）（对于转换转入份额而言）起至</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个月后对应日（不含）（如该对应日为非工作日或无该对应日，则顺延至下一个工作日）的期间。</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lastRenderedPageBreak/>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）认购份额可于</w:t>
      </w:r>
      <w:r>
        <w:rPr>
          <w:rFonts w:ascii="Times New Roman" w:eastAsia="楷体_GB2312" w:hAnsi="Times New Roman" w:cs="Times New Roman" w:hint="eastAsia"/>
          <w:sz w:val="24"/>
          <w:szCs w:val="24"/>
        </w:rPr>
        <w:t>2024</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18</w:t>
      </w:r>
      <w:r>
        <w:rPr>
          <w:rFonts w:ascii="Times New Roman" w:eastAsia="楷体_GB2312" w:hAnsi="Times New Roman" w:cs="Times New Roman"/>
          <w:sz w:val="24"/>
          <w:szCs w:val="24"/>
        </w:rPr>
        <w:t>日起申请赎回，申购份额在持有本基金满</w:t>
      </w: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个月</w:t>
      </w:r>
      <w:r>
        <w:rPr>
          <w:rFonts w:ascii="Times New Roman" w:eastAsia="楷体_GB2312" w:hAnsi="Times New Roman" w:cs="Times New Roman"/>
          <w:sz w:val="24"/>
          <w:szCs w:val="24"/>
        </w:rPr>
        <w:t>后可申请赎回。</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）投资者范围为</w:t>
      </w:r>
      <w:r>
        <w:rPr>
          <w:rFonts w:ascii="Times New Roman" w:eastAsia="楷体_GB2312" w:hAnsi="Times New Roman" w:cs="Times New Roman" w:hint="eastAsia"/>
          <w:sz w:val="24"/>
          <w:szCs w:val="24"/>
        </w:rPr>
        <w:t>符合法律法规规定的可投资于证券投资基金的个人投资者、机构投资者、合格境外投资者以及法律法规或中国证监会允许购买证券投资基金的其他投资人。</w:t>
      </w:r>
    </w:p>
    <w:p w:rsidR="007849B0" w:rsidRDefault="007849B0">
      <w:pPr>
        <w:spacing w:line="360" w:lineRule="auto"/>
        <w:ind w:firstLineChars="300" w:firstLine="720"/>
        <w:rPr>
          <w:rFonts w:ascii="Times New Roman" w:eastAsia="楷体_GB2312" w:hAnsi="Times New Roman" w:cs="Times New Roman"/>
          <w:sz w:val="24"/>
          <w:szCs w:val="24"/>
        </w:rPr>
      </w:pPr>
    </w:p>
    <w:p w:rsidR="007849B0" w:rsidRDefault="00D824F2">
      <w:pPr>
        <w:pStyle w:val="1"/>
        <w:ind w:firstLine="482"/>
        <w:rPr>
          <w:rFonts w:cs="Times New Roman"/>
        </w:rPr>
      </w:pPr>
      <w:r>
        <w:rPr>
          <w:rFonts w:cs="Times New Roman"/>
        </w:rPr>
        <w:t>2</w:t>
      </w:r>
      <w:r>
        <w:rPr>
          <w:rFonts w:cs="Times New Roman"/>
        </w:rPr>
        <w:t>、申购、转换转入</w:t>
      </w:r>
      <w:r>
        <w:rPr>
          <w:rFonts w:cs="Times New Roman" w:hint="eastAsia"/>
        </w:rPr>
        <w:t>、</w:t>
      </w:r>
      <w:r>
        <w:rPr>
          <w:rFonts w:cs="Times New Roman"/>
        </w:rPr>
        <w:t>定期定额投资业务的办理时间</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中金兴元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个月持有期混合型证券投资基金（以下简称</w:t>
      </w:r>
      <w:r>
        <w:rPr>
          <w:rFonts w:ascii="Times New Roman" w:eastAsia="楷体_GB2312" w:hAnsi="Times New Roman" w:cs="Times New Roman"/>
          <w:sz w:val="24"/>
          <w:szCs w:val="24"/>
        </w:rPr>
        <w:t>“</w:t>
      </w:r>
      <w:r>
        <w:rPr>
          <w:rFonts w:ascii="Times New Roman" w:eastAsia="楷体_GB2312" w:hAnsi="Times New Roman" w:cs="Times New Roman"/>
          <w:sz w:val="24"/>
          <w:szCs w:val="24"/>
        </w:rPr>
        <w:t>本基金</w:t>
      </w:r>
      <w:r>
        <w:rPr>
          <w:rFonts w:ascii="Times New Roman" w:eastAsia="楷体_GB2312" w:hAnsi="Times New Roman" w:cs="Times New Roman"/>
          <w:sz w:val="24"/>
          <w:szCs w:val="24"/>
        </w:rPr>
        <w:t>”</w:t>
      </w:r>
      <w:r>
        <w:rPr>
          <w:rFonts w:ascii="Times New Roman" w:eastAsia="楷体_GB2312" w:hAnsi="Times New Roman" w:cs="Times New Roman"/>
          <w:sz w:val="24"/>
          <w:szCs w:val="24"/>
        </w:rPr>
        <w:t>）自</w:t>
      </w:r>
      <w:r>
        <w:rPr>
          <w:rFonts w:ascii="Times New Roman" w:eastAsia="楷体_GB2312" w:hAnsi="Times New Roman" w:cs="Times New Roman" w:hint="eastAsia"/>
          <w:sz w:val="24"/>
          <w:szCs w:val="24"/>
        </w:rPr>
        <w:t>2023</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8</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22</w:t>
      </w:r>
      <w:r>
        <w:rPr>
          <w:rFonts w:ascii="Times New Roman" w:eastAsia="楷体_GB2312" w:hAnsi="Times New Roman" w:cs="Times New Roman"/>
          <w:sz w:val="24"/>
          <w:szCs w:val="24"/>
        </w:rPr>
        <w:t>日起开放日常申购</w:t>
      </w:r>
      <w:r>
        <w:rPr>
          <w:rFonts w:ascii="Times New Roman" w:eastAsia="楷体_GB2312" w:hAnsi="Times New Roman" w:cs="Times New Roman" w:hint="eastAsia"/>
          <w:sz w:val="24"/>
          <w:szCs w:val="24"/>
        </w:rPr>
        <w:t>、转换转入、</w:t>
      </w:r>
      <w:r>
        <w:rPr>
          <w:rFonts w:ascii="Times New Roman" w:eastAsia="楷体_GB2312" w:hAnsi="Times New Roman" w:cs="Times New Roman"/>
          <w:sz w:val="24"/>
          <w:szCs w:val="24"/>
        </w:rPr>
        <w:t>定期定额投资业务。投资者在开放日办理本基金份额的申购</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转换转入</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定期定额投资业务。具体办理时间为上海证券交易所、深圳证券交易所的正常交易日的交易时间（</w:t>
      </w:r>
      <w:r>
        <w:rPr>
          <w:rFonts w:ascii="Times New Roman" w:eastAsia="楷体_GB2312" w:hAnsi="Times New Roman" w:cs="Times New Roman" w:hint="eastAsia"/>
          <w:sz w:val="24"/>
          <w:szCs w:val="24"/>
        </w:rPr>
        <w:t>若本基金投资港股通标的股票且该工作日为非港股通交易日，则基金管理人可根据实际情况决定本基金是否开放申购、转换准入、定期定额投资业务，具体以届时发布的公告为准</w:t>
      </w:r>
      <w:r>
        <w:rPr>
          <w:rFonts w:ascii="Times New Roman" w:eastAsia="楷体_GB2312" w:hAnsi="Times New Roman" w:cs="Times New Roman"/>
          <w:sz w:val="24"/>
          <w:szCs w:val="24"/>
        </w:rPr>
        <w:t>），但基金管理人根据法律法规、中国证监会的要求或基金合同的规定公告暂停申购</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转换转入</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定期定额投资时除外。</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本公告发出后，若出现新的证券</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期货</w:t>
      </w:r>
      <w:r>
        <w:rPr>
          <w:rFonts w:ascii="Times New Roman" w:eastAsia="楷体_GB2312" w:hAnsi="Times New Roman" w:cs="Times New Roman"/>
          <w:sz w:val="24"/>
          <w:szCs w:val="24"/>
        </w:rPr>
        <w:t>交易市场、证券</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期货</w:t>
      </w:r>
      <w:r>
        <w:rPr>
          <w:rFonts w:ascii="Times New Roman" w:eastAsia="楷体_GB2312" w:hAnsi="Times New Roman" w:cs="Times New Roman"/>
          <w:sz w:val="24"/>
          <w:szCs w:val="24"/>
        </w:rPr>
        <w:t>交易所交易时间变更或其他特殊情况，基金管理人将视情况对前述开放日及开放时间进行相应的调整，但应在实施日前依照《公开募集证券投资基金信息披露管理办法》（以下简称</w:t>
      </w:r>
      <w:r>
        <w:rPr>
          <w:rFonts w:ascii="Times New Roman" w:eastAsia="楷体_GB2312" w:hAnsi="Times New Roman" w:cs="Times New Roman"/>
          <w:sz w:val="24"/>
          <w:szCs w:val="24"/>
        </w:rPr>
        <w:t>“</w:t>
      </w:r>
      <w:r>
        <w:rPr>
          <w:rFonts w:ascii="Times New Roman" w:eastAsia="楷体_GB2312" w:hAnsi="Times New Roman" w:cs="Times New Roman"/>
          <w:sz w:val="24"/>
          <w:szCs w:val="24"/>
        </w:rPr>
        <w:t>《信息披露办法》</w:t>
      </w:r>
      <w:r>
        <w:rPr>
          <w:rFonts w:ascii="Times New Roman" w:eastAsia="楷体_GB2312" w:hAnsi="Times New Roman" w:cs="Times New Roman"/>
          <w:sz w:val="24"/>
          <w:szCs w:val="24"/>
        </w:rPr>
        <w:t>”</w:t>
      </w:r>
      <w:r>
        <w:rPr>
          <w:rFonts w:ascii="Times New Roman" w:eastAsia="楷体_GB2312" w:hAnsi="Times New Roman" w:cs="Times New Roman"/>
          <w:sz w:val="24"/>
          <w:szCs w:val="24"/>
        </w:rPr>
        <w:t>）的有关规定在规定媒介上公告。</w:t>
      </w:r>
    </w:p>
    <w:p w:rsidR="007849B0" w:rsidRDefault="007849B0">
      <w:pPr>
        <w:spacing w:line="360" w:lineRule="auto"/>
        <w:ind w:firstLineChars="200" w:firstLine="480"/>
        <w:rPr>
          <w:rFonts w:ascii="Times New Roman" w:eastAsia="楷体_GB2312" w:hAnsi="Times New Roman" w:cs="Times New Roman"/>
          <w:sz w:val="24"/>
          <w:szCs w:val="24"/>
        </w:rPr>
      </w:pPr>
    </w:p>
    <w:p w:rsidR="007849B0" w:rsidRDefault="00D824F2">
      <w:pPr>
        <w:pStyle w:val="1"/>
        <w:ind w:firstLine="482"/>
        <w:rPr>
          <w:rFonts w:cs="Times New Roman"/>
        </w:rPr>
      </w:pPr>
      <w:r>
        <w:rPr>
          <w:rFonts w:cs="Times New Roman"/>
        </w:rPr>
        <w:t>3</w:t>
      </w:r>
      <w:r>
        <w:rPr>
          <w:rFonts w:cs="Times New Roman"/>
        </w:rPr>
        <w:t>、日常申购业务</w:t>
      </w:r>
    </w:p>
    <w:p w:rsidR="007849B0" w:rsidRDefault="00D824F2">
      <w:pPr>
        <w:pStyle w:val="2"/>
        <w:ind w:firstLine="482"/>
      </w:pPr>
      <w:r>
        <w:t xml:space="preserve">3.1 </w:t>
      </w:r>
      <w:r>
        <w:t>申购金额限制</w:t>
      </w:r>
    </w:p>
    <w:p w:rsidR="007849B0" w:rsidRDefault="00D824F2">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hint="eastAsia"/>
          <w:sz w:val="24"/>
        </w:rPr>
        <w:t>（</w:t>
      </w:r>
      <w:r>
        <w:rPr>
          <w:rFonts w:ascii="Times New Roman" w:eastAsia="楷体_GB2312" w:hAnsi="Times New Roman" w:cs="Times New Roman" w:hint="eastAsia"/>
          <w:sz w:val="24"/>
        </w:rPr>
        <w:t>1</w:t>
      </w:r>
      <w:r>
        <w:rPr>
          <w:rFonts w:ascii="Times New Roman" w:eastAsia="楷体_GB2312" w:hAnsi="Times New Roman" w:cs="Times New Roman" w:hint="eastAsia"/>
          <w:sz w:val="24"/>
        </w:rPr>
        <w:t>）通过基金管理人的直销柜台进行申购，单个基金交易账户首次申购最低金额为</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元（含申购费），追加申购最低金额为单笔</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w:t>
      </w:r>
    </w:p>
    <w:p w:rsidR="007849B0" w:rsidRDefault="00D824F2">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hint="eastAsia"/>
          <w:sz w:val="24"/>
        </w:rPr>
        <w:t>（</w:t>
      </w:r>
      <w:r>
        <w:rPr>
          <w:rFonts w:ascii="Times New Roman" w:eastAsia="楷体_GB2312" w:hAnsi="Times New Roman" w:cs="Times New Roman" w:hint="eastAsia"/>
          <w:sz w:val="24"/>
        </w:rPr>
        <w:t>2</w:t>
      </w:r>
      <w:r>
        <w:rPr>
          <w:rFonts w:ascii="Times New Roman" w:eastAsia="楷体_GB2312" w:hAnsi="Times New Roman" w:cs="Times New Roman" w:hint="eastAsia"/>
          <w:sz w:val="24"/>
        </w:rPr>
        <w:t>）通过基金管理人网上直销进行申购，单个基金交易账户首次最低申购金额为</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元（含申购费），追加申购最低金额为单笔</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元（含申购费），网上直销单笔交易上限及单日累计交易上限请参照网上直销说明。</w:t>
      </w:r>
    </w:p>
    <w:p w:rsidR="007849B0" w:rsidRDefault="00D824F2">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hint="eastAsia"/>
          <w:sz w:val="24"/>
        </w:rPr>
        <w:t>（</w:t>
      </w:r>
      <w:r>
        <w:rPr>
          <w:rFonts w:ascii="Times New Roman" w:eastAsia="楷体_GB2312" w:hAnsi="Times New Roman" w:cs="Times New Roman" w:hint="eastAsia"/>
          <w:sz w:val="24"/>
        </w:rPr>
        <w:t>3</w:t>
      </w:r>
      <w:r>
        <w:rPr>
          <w:rFonts w:ascii="Times New Roman" w:eastAsia="楷体_GB2312" w:hAnsi="Times New Roman" w:cs="Times New Roman" w:hint="eastAsia"/>
          <w:sz w:val="24"/>
        </w:rPr>
        <w:t>）通过本基金其他销售机构进行申购，首次申购最低金额为人民币</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元（含申购费），追加申购的最低金额为单笔</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元（含申购费）；各销售机构对</w:t>
      </w:r>
      <w:r>
        <w:rPr>
          <w:rFonts w:ascii="Times New Roman" w:eastAsia="楷体_GB2312" w:hAnsi="Times New Roman" w:cs="Times New Roman" w:hint="eastAsia"/>
          <w:sz w:val="24"/>
        </w:rPr>
        <w:lastRenderedPageBreak/>
        <w:t>最低申购限额及交易级差有其他规定的，以各销售机构的业务规定为准。</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rPr>
        <w:t>（</w:t>
      </w:r>
      <w:r>
        <w:rPr>
          <w:rFonts w:ascii="Times New Roman" w:eastAsia="楷体_GB2312" w:hAnsi="Times New Roman" w:cs="Times New Roman" w:hint="eastAsia"/>
          <w:sz w:val="24"/>
        </w:rPr>
        <w:t>4</w:t>
      </w:r>
      <w:r>
        <w:rPr>
          <w:rFonts w:ascii="Times New Roman" w:eastAsia="楷体_GB2312" w:hAnsi="Times New Roman" w:cs="Times New Roman" w:hint="eastAsia"/>
          <w:sz w:val="24"/>
        </w:rPr>
        <w:t>）</w:t>
      </w:r>
      <w:r>
        <w:rPr>
          <w:rFonts w:ascii="Times New Roman" w:eastAsia="楷体_GB2312" w:hAnsi="Times New Roman" w:cs="Times New Roman"/>
          <w:sz w:val="24"/>
        </w:rPr>
        <w:t>基金管理人可在法律法规允许的情况下，调整上述规定申购金额等数量限制。基金管理人必须在调整实施前依照《信息披露办法》的有关规定在规定媒介上公告。</w:t>
      </w:r>
    </w:p>
    <w:p w:rsidR="007849B0" w:rsidRDefault="00D824F2">
      <w:pPr>
        <w:pStyle w:val="2"/>
        <w:ind w:firstLine="482"/>
      </w:pPr>
      <w:r>
        <w:t xml:space="preserve">3.2 </w:t>
      </w:r>
      <w:r>
        <w:t>申购费率</w:t>
      </w:r>
    </w:p>
    <w:p w:rsidR="007849B0" w:rsidRDefault="00D824F2">
      <w:pPr>
        <w:snapToGrid w:val="0"/>
        <w:spacing w:line="360" w:lineRule="auto"/>
        <w:ind w:firstLineChars="200" w:firstLine="480"/>
        <w:rPr>
          <w:rFonts w:ascii="Times New Roman" w:eastAsia="楷体_GB2312" w:hAnsi="Times New Roman" w:cs="Times New Roman"/>
          <w:bCs/>
          <w:color w:val="000000"/>
          <w:sz w:val="24"/>
        </w:rPr>
      </w:pPr>
      <w:r>
        <w:rPr>
          <w:rFonts w:ascii="Times New Roman" w:eastAsia="楷体_GB2312" w:hAnsi="Times New Roman" w:cs="Times New Roman" w:hint="eastAsia"/>
          <w:kern w:val="0"/>
          <w:sz w:val="24"/>
        </w:rPr>
        <w:t>本基金</w:t>
      </w:r>
      <w:r>
        <w:rPr>
          <w:rFonts w:ascii="Times New Roman" w:eastAsia="楷体_GB2312" w:hAnsi="Times New Roman" w:cs="Times New Roman" w:hint="eastAsia"/>
          <w:kern w:val="0"/>
          <w:sz w:val="24"/>
        </w:rPr>
        <w:t>A</w:t>
      </w:r>
      <w:r>
        <w:rPr>
          <w:rFonts w:ascii="Times New Roman" w:eastAsia="楷体_GB2312" w:hAnsi="Times New Roman" w:cs="Times New Roman" w:hint="eastAsia"/>
          <w:kern w:val="0"/>
          <w:sz w:val="24"/>
        </w:rPr>
        <w:t>类基金份额采用前端收费模式收取基金申购费用；</w:t>
      </w:r>
      <w:r>
        <w:rPr>
          <w:rFonts w:ascii="Times New Roman" w:eastAsia="楷体_GB2312" w:hAnsi="Times New Roman" w:cs="Times New Roman" w:hint="eastAsia"/>
          <w:kern w:val="0"/>
          <w:sz w:val="24"/>
        </w:rPr>
        <w:t>C</w:t>
      </w:r>
      <w:r>
        <w:rPr>
          <w:rFonts w:ascii="Times New Roman" w:eastAsia="楷体_GB2312" w:hAnsi="Times New Roman" w:cs="Times New Roman" w:hint="eastAsia"/>
          <w:kern w:val="0"/>
          <w:sz w:val="24"/>
        </w:rPr>
        <w:t>类基金份额不收取申购费。</w:t>
      </w:r>
      <w:r>
        <w:rPr>
          <w:rFonts w:ascii="Times New Roman" w:eastAsia="楷体_GB2312" w:hAnsi="Times New Roman" w:cs="Times New Roman" w:hint="eastAsia"/>
          <w:kern w:val="0"/>
          <w:sz w:val="24"/>
        </w:rPr>
        <w:t>A</w:t>
      </w:r>
      <w:r>
        <w:rPr>
          <w:rFonts w:ascii="Times New Roman" w:eastAsia="楷体_GB2312" w:hAnsi="Times New Roman" w:cs="Times New Roman" w:hint="eastAsia"/>
          <w:kern w:val="0"/>
          <w:sz w:val="24"/>
        </w:rPr>
        <w:t>类基金份额具体申购费率见下表：</w:t>
      </w:r>
    </w:p>
    <w:tbl>
      <w:tblPr>
        <w:tblW w:w="538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2693"/>
      </w:tblGrid>
      <w:tr w:rsidR="007849B0">
        <w:trPr>
          <w:trHeight w:val="370"/>
        </w:trPr>
        <w:tc>
          <w:tcPr>
            <w:tcW w:w="2694" w:type="dxa"/>
            <w:shd w:val="clear" w:color="auto" w:fill="auto"/>
            <w:vAlign w:val="center"/>
          </w:tcPr>
          <w:p w:rsidR="007849B0" w:rsidRDefault="00D824F2">
            <w:pPr>
              <w:widowControl/>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color w:val="000000"/>
                <w:kern w:val="0"/>
                <w:sz w:val="24"/>
                <w:szCs w:val="24"/>
              </w:rPr>
              <w:t>申购金额（</w:t>
            </w:r>
            <w:r>
              <w:rPr>
                <w:rFonts w:ascii="Times New Roman" w:eastAsia="楷体_GB2312" w:hAnsi="Times New Roman" w:cs="Times New Roman" w:hint="eastAsia"/>
                <w:color w:val="000000"/>
                <w:kern w:val="0"/>
                <w:sz w:val="24"/>
                <w:szCs w:val="24"/>
              </w:rPr>
              <w:t>M</w:t>
            </w:r>
            <w:r>
              <w:rPr>
                <w:rFonts w:ascii="Times New Roman" w:eastAsia="楷体_GB2312" w:hAnsi="Times New Roman" w:cs="Times New Roman" w:hint="eastAsia"/>
                <w:color w:val="000000"/>
                <w:kern w:val="0"/>
                <w:sz w:val="24"/>
                <w:szCs w:val="24"/>
              </w:rPr>
              <w:t>）</w:t>
            </w:r>
          </w:p>
        </w:tc>
        <w:tc>
          <w:tcPr>
            <w:tcW w:w="2693" w:type="dxa"/>
            <w:shd w:val="clear" w:color="auto" w:fill="auto"/>
            <w:vAlign w:val="center"/>
          </w:tcPr>
          <w:p w:rsidR="007849B0" w:rsidRDefault="00D824F2">
            <w:pPr>
              <w:widowControl/>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color w:val="000000"/>
                <w:kern w:val="0"/>
                <w:sz w:val="24"/>
                <w:szCs w:val="24"/>
              </w:rPr>
              <w:t>申购费率</w:t>
            </w:r>
          </w:p>
        </w:tc>
      </w:tr>
      <w:tr w:rsidR="007849B0">
        <w:trPr>
          <w:trHeight w:val="277"/>
        </w:trPr>
        <w:tc>
          <w:tcPr>
            <w:tcW w:w="2694" w:type="dxa"/>
            <w:shd w:val="clear" w:color="auto" w:fill="auto"/>
          </w:tcPr>
          <w:p w:rsidR="007849B0" w:rsidRDefault="00D824F2">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M&lt;100</w:t>
            </w:r>
            <w:r>
              <w:rPr>
                <w:rFonts w:ascii="Times New Roman" w:eastAsia="楷体_GB2312" w:hAnsi="Times New Roman" w:cs="Times New Roman" w:hint="eastAsia"/>
                <w:sz w:val="24"/>
                <w:szCs w:val="24"/>
              </w:rPr>
              <w:t>万</w:t>
            </w:r>
          </w:p>
        </w:tc>
        <w:tc>
          <w:tcPr>
            <w:tcW w:w="2693" w:type="dxa"/>
            <w:shd w:val="clear" w:color="auto" w:fill="auto"/>
          </w:tcPr>
          <w:p w:rsidR="007849B0" w:rsidRDefault="00D824F2">
            <w:pPr>
              <w:widowControl/>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sz w:val="24"/>
                <w:szCs w:val="24"/>
              </w:rPr>
              <w:t>0.80%</w:t>
            </w:r>
          </w:p>
        </w:tc>
      </w:tr>
      <w:tr w:rsidR="007849B0">
        <w:trPr>
          <w:trHeight w:val="239"/>
        </w:trPr>
        <w:tc>
          <w:tcPr>
            <w:tcW w:w="2694" w:type="dxa"/>
            <w:shd w:val="clear" w:color="auto" w:fill="auto"/>
          </w:tcPr>
          <w:p w:rsidR="007849B0" w:rsidRDefault="00D824F2">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100</w:t>
            </w:r>
            <w:r>
              <w:rPr>
                <w:rFonts w:ascii="Times New Roman" w:eastAsia="楷体_GB2312" w:hAnsi="Times New Roman" w:cs="Times New Roman" w:hint="eastAsia"/>
                <w:sz w:val="24"/>
                <w:szCs w:val="24"/>
              </w:rPr>
              <w:t>万≤</w:t>
            </w:r>
            <w:r>
              <w:rPr>
                <w:rFonts w:ascii="Times New Roman" w:eastAsia="楷体_GB2312" w:hAnsi="Times New Roman" w:cs="Times New Roman" w:hint="eastAsia"/>
                <w:sz w:val="24"/>
                <w:szCs w:val="24"/>
              </w:rPr>
              <w:t>M&lt;300</w:t>
            </w:r>
            <w:r>
              <w:rPr>
                <w:rFonts w:ascii="Times New Roman" w:eastAsia="楷体_GB2312" w:hAnsi="Times New Roman" w:cs="Times New Roman" w:hint="eastAsia"/>
                <w:sz w:val="24"/>
                <w:szCs w:val="24"/>
              </w:rPr>
              <w:t>万</w:t>
            </w:r>
          </w:p>
        </w:tc>
        <w:tc>
          <w:tcPr>
            <w:tcW w:w="2693" w:type="dxa"/>
            <w:shd w:val="clear" w:color="auto" w:fill="auto"/>
          </w:tcPr>
          <w:p w:rsidR="007849B0" w:rsidRDefault="00D824F2">
            <w:pPr>
              <w:widowControl/>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sz w:val="24"/>
                <w:szCs w:val="24"/>
              </w:rPr>
              <w:t>0.60%</w:t>
            </w:r>
          </w:p>
        </w:tc>
      </w:tr>
      <w:tr w:rsidR="007849B0">
        <w:trPr>
          <w:trHeight w:val="239"/>
        </w:trPr>
        <w:tc>
          <w:tcPr>
            <w:tcW w:w="2694" w:type="dxa"/>
            <w:shd w:val="clear" w:color="auto" w:fill="auto"/>
          </w:tcPr>
          <w:p w:rsidR="007849B0" w:rsidRDefault="00D824F2">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300</w:t>
            </w:r>
            <w:r>
              <w:rPr>
                <w:rFonts w:ascii="Times New Roman" w:eastAsia="楷体_GB2312" w:hAnsi="Times New Roman" w:cs="Times New Roman" w:hint="eastAsia"/>
                <w:sz w:val="24"/>
                <w:szCs w:val="24"/>
              </w:rPr>
              <w:t>万≤</w:t>
            </w:r>
            <w:r>
              <w:rPr>
                <w:rFonts w:ascii="Times New Roman" w:eastAsia="楷体_GB2312" w:hAnsi="Times New Roman" w:cs="Times New Roman" w:hint="eastAsia"/>
                <w:sz w:val="24"/>
                <w:szCs w:val="24"/>
              </w:rPr>
              <w:t>M&lt;500</w:t>
            </w:r>
            <w:r>
              <w:rPr>
                <w:rFonts w:ascii="Times New Roman" w:eastAsia="楷体_GB2312" w:hAnsi="Times New Roman" w:cs="Times New Roman" w:hint="eastAsia"/>
                <w:sz w:val="24"/>
                <w:szCs w:val="24"/>
              </w:rPr>
              <w:t>万</w:t>
            </w:r>
          </w:p>
        </w:tc>
        <w:tc>
          <w:tcPr>
            <w:tcW w:w="2693" w:type="dxa"/>
            <w:shd w:val="clear" w:color="auto" w:fill="auto"/>
          </w:tcPr>
          <w:p w:rsidR="007849B0" w:rsidRDefault="00D824F2">
            <w:pPr>
              <w:widowControl/>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0.30%</w:t>
            </w:r>
          </w:p>
        </w:tc>
      </w:tr>
      <w:tr w:rsidR="007849B0">
        <w:trPr>
          <w:trHeight w:val="286"/>
        </w:trPr>
        <w:tc>
          <w:tcPr>
            <w:tcW w:w="2694" w:type="dxa"/>
            <w:shd w:val="clear" w:color="auto" w:fill="auto"/>
          </w:tcPr>
          <w:p w:rsidR="007849B0" w:rsidRDefault="00D824F2">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M</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500</w:t>
            </w:r>
            <w:r>
              <w:rPr>
                <w:rFonts w:ascii="Times New Roman" w:eastAsia="楷体_GB2312" w:hAnsi="Times New Roman" w:cs="Times New Roman" w:hint="eastAsia"/>
                <w:sz w:val="24"/>
                <w:szCs w:val="24"/>
              </w:rPr>
              <w:t>万</w:t>
            </w:r>
          </w:p>
        </w:tc>
        <w:tc>
          <w:tcPr>
            <w:tcW w:w="2693" w:type="dxa"/>
            <w:shd w:val="clear" w:color="auto" w:fill="auto"/>
          </w:tcPr>
          <w:p w:rsidR="007849B0" w:rsidRDefault="00D824F2">
            <w:pPr>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1000</w:t>
            </w:r>
            <w:r>
              <w:rPr>
                <w:rFonts w:ascii="Times New Roman" w:eastAsia="楷体_GB2312" w:hAnsi="Times New Roman" w:cs="Times New Roman" w:hint="eastAsia"/>
                <w:sz w:val="24"/>
                <w:szCs w:val="24"/>
              </w:rPr>
              <w:t>元</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笔</w:t>
            </w:r>
          </w:p>
        </w:tc>
      </w:tr>
    </w:tbl>
    <w:p w:rsidR="007849B0" w:rsidRDefault="00D824F2">
      <w:pPr>
        <w:pStyle w:val="2"/>
        <w:ind w:firstLine="482"/>
      </w:pPr>
      <w:r>
        <w:t xml:space="preserve">3.3 </w:t>
      </w:r>
      <w:r>
        <w:t>其他与申购相关的事项</w:t>
      </w:r>
    </w:p>
    <w:p w:rsidR="007849B0" w:rsidRDefault="00D824F2">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rPr>
        <w:t>本基金</w:t>
      </w:r>
      <w:r>
        <w:rPr>
          <w:rFonts w:ascii="Times New Roman" w:eastAsia="楷体_GB2312" w:hAnsi="Times New Roman" w:cs="Times New Roman" w:hint="eastAsia"/>
          <w:sz w:val="24"/>
        </w:rPr>
        <w:t>A</w:t>
      </w:r>
      <w:r>
        <w:rPr>
          <w:rFonts w:ascii="Times New Roman" w:eastAsia="楷体_GB2312" w:hAnsi="Times New Roman" w:cs="Times New Roman" w:hint="eastAsia"/>
          <w:sz w:val="24"/>
        </w:rPr>
        <w:t>类基金份额的申购费用由申购本基金</w:t>
      </w:r>
      <w:r>
        <w:rPr>
          <w:rFonts w:ascii="Times New Roman" w:eastAsia="楷体_GB2312" w:hAnsi="Times New Roman" w:cs="Times New Roman" w:hint="eastAsia"/>
          <w:sz w:val="24"/>
        </w:rPr>
        <w:t>A</w:t>
      </w:r>
      <w:r>
        <w:rPr>
          <w:rFonts w:ascii="Times New Roman" w:eastAsia="楷体_GB2312" w:hAnsi="Times New Roman" w:cs="Times New Roman" w:hint="eastAsia"/>
          <w:sz w:val="24"/>
        </w:rPr>
        <w:t>类基金份额的投资者承担，不列入基金资产，主要用于本基金的市场推广、登记和销售等各项费用。</w:t>
      </w:r>
    </w:p>
    <w:p w:rsidR="007849B0" w:rsidRDefault="00D824F2">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2</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rPr>
        <w:t>如果投资人多次申购，申购费适用单笔申购金额所对应的费率。</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3</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基金管理人可以在基金合同约定的范围内调整费率或收费方式，并最迟应于新的费率或收费方式实施日前依照《信息披露办法》的有关规定在规定媒介上公告。</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4</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基金管理人在不违反法律法规规定及基金合同约定的情形下且对基金份额持有人利益无实质性不利影响的前提下，可以根据市场情况制定基金促销计划，定期或不定期地开展基金促销活动。在基金促销活动期间，基金管理人可以按中国证监会要求履行必要手续后，对投资人适当调低基金申购费率。</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5</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当本基金各类基金份额发生大额申购情形时，基金管理人可以采用摆动定价机制，以确保基金估值的公平性。具体处理原则与操作规范遵循相关法律法规以及监管部门、自律规则的规定。</w:t>
      </w:r>
    </w:p>
    <w:p w:rsidR="007849B0" w:rsidRDefault="007849B0">
      <w:pPr>
        <w:rPr>
          <w:rFonts w:ascii="Times New Roman" w:eastAsia="楷体_GB2312" w:hAnsi="Times New Roman" w:cs="Times New Roman"/>
          <w:sz w:val="24"/>
          <w:szCs w:val="24"/>
        </w:rPr>
      </w:pPr>
    </w:p>
    <w:p w:rsidR="007849B0" w:rsidRDefault="00D824F2">
      <w:pPr>
        <w:pStyle w:val="1"/>
        <w:ind w:firstLine="482"/>
        <w:rPr>
          <w:rFonts w:cs="Times New Roman"/>
        </w:rPr>
      </w:pPr>
      <w:r>
        <w:rPr>
          <w:rFonts w:cs="Times New Roman" w:hint="eastAsia"/>
        </w:rPr>
        <w:t>4</w:t>
      </w:r>
      <w:r>
        <w:rPr>
          <w:rFonts w:cs="Times New Roman"/>
        </w:rPr>
        <w:t>、转换业务</w:t>
      </w:r>
      <w:r>
        <w:rPr>
          <w:rFonts w:cs="Times New Roman"/>
        </w:rPr>
        <w:t xml:space="preserve"> </w:t>
      </w:r>
    </w:p>
    <w:p w:rsidR="007849B0" w:rsidRDefault="00D824F2">
      <w:pPr>
        <w:pStyle w:val="2"/>
        <w:ind w:firstLine="482"/>
      </w:pPr>
      <w:r>
        <w:rPr>
          <w:rFonts w:hint="eastAsia"/>
        </w:rPr>
        <w:t>4</w:t>
      </w:r>
      <w:r>
        <w:t xml:space="preserve">.1 </w:t>
      </w:r>
      <w:r>
        <w:t>转换费率</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）本基金在本公司直销机构（包括直销中心和网上直销交易系统）开通本基金与以下基金之间的转换：</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w:t>
      </w:r>
      <w:r>
        <w:rPr>
          <w:rFonts w:ascii="Times New Roman" w:eastAsia="楷体_GB2312" w:hAnsi="Times New Roman" w:cs="Times New Roman" w:hint="eastAsia"/>
          <w:sz w:val="24"/>
          <w:szCs w:val="24"/>
        </w:rPr>
        <w:t>）中金纯债债券型证券投资基金（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000801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000802</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hint="eastAsia"/>
          <w:sz w:val="24"/>
          <w:szCs w:val="24"/>
        </w:rPr>
        <w:t>）中金现金管家货币市场基金（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000882</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B</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000883</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3</w:t>
      </w:r>
      <w:r>
        <w:rPr>
          <w:rFonts w:ascii="Times New Roman" w:eastAsia="楷体_GB2312" w:hAnsi="Times New Roman" w:cs="Times New Roman" w:hint="eastAsia"/>
          <w:sz w:val="24"/>
          <w:szCs w:val="24"/>
        </w:rPr>
        <w:t>）中金消费升级股票型证券投资基金（</w:t>
      </w:r>
      <w:r>
        <w:rPr>
          <w:rFonts w:ascii="Times New Roman" w:eastAsia="楷体_GB2312" w:hAnsi="Times New Roman" w:cs="Times New Roman" w:hint="eastAsia"/>
          <w:sz w:val="24"/>
          <w:szCs w:val="24"/>
        </w:rPr>
        <w:t>001193</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4</w:t>
      </w:r>
      <w:r>
        <w:rPr>
          <w:rFonts w:ascii="Times New Roman" w:eastAsia="楷体_GB2312" w:hAnsi="Times New Roman" w:cs="Times New Roman" w:hint="eastAsia"/>
          <w:sz w:val="24"/>
          <w:szCs w:val="24"/>
        </w:rPr>
        <w:t>）中金沪深</w:t>
      </w:r>
      <w:r>
        <w:rPr>
          <w:rFonts w:ascii="Times New Roman" w:eastAsia="楷体_GB2312" w:hAnsi="Times New Roman" w:cs="Times New Roman" w:hint="eastAsia"/>
          <w:sz w:val="24"/>
          <w:szCs w:val="24"/>
        </w:rPr>
        <w:t>300</w:t>
      </w:r>
      <w:r>
        <w:rPr>
          <w:rFonts w:ascii="Times New Roman" w:eastAsia="楷体_GB2312" w:hAnsi="Times New Roman" w:cs="Times New Roman" w:hint="eastAsia"/>
          <w:sz w:val="24"/>
          <w:szCs w:val="24"/>
        </w:rPr>
        <w:t>指数增强型发起式证券投资基金（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003015</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003579</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5</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500</w:t>
      </w:r>
      <w:r>
        <w:rPr>
          <w:rFonts w:ascii="Times New Roman" w:eastAsia="楷体_GB2312" w:hAnsi="Times New Roman" w:cs="Times New Roman" w:hint="eastAsia"/>
          <w:sz w:val="24"/>
          <w:szCs w:val="24"/>
        </w:rPr>
        <w:t>指数增强型发起式证券投资基金（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003016</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003578</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）中金金利债券型证券投资基金（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003811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003812</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7</w:t>
      </w:r>
      <w:r>
        <w:rPr>
          <w:rFonts w:ascii="Times New Roman" w:eastAsia="楷体_GB2312" w:hAnsi="Times New Roman" w:cs="Times New Roman" w:hint="eastAsia"/>
          <w:sz w:val="24"/>
          <w:szCs w:val="24"/>
        </w:rPr>
        <w:t>）中金金泽量化精选混合型发起式证券投资基金（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005005</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005006</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8</w:t>
      </w:r>
      <w:r>
        <w:rPr>
          <w:rFonts w:ascii="Times New Roman" w:eastAsia="楷体_GB2312" w:hAnsi="Times New Roman" w:cs="Times New Roman" w:hint="eastAsia"/>
          <w:sz w:val="24"/>
          <w:szCs w:val="24"/>
        </w:rPr>
        <w:t>）中金衡优灵活配置混合型证券投资基金（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005489</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005490</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9</w:t>
      </w:r>
      <w:r>
        <w:rPr>
          <w:rFonts w:ascii="Times New Roman" w:eastAsia="楷体_GB2312" w:hAnsi="Times New Roman" w:cs="Times New Roman" w:hint="eastAsia"/>
          <w:sz w:val="24"/>
          <w:szCs w:val="24"/>
        </w:rPr>
        <w:t>）中金金元债券型证券投资基金（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006570</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006571</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10</w:t>
      </w:r>
      <w:r>
        <w:rPr>
          <w:rFonts w:ascii="Times New Roman" w:eastAsia="楷体_GB2312" w:hAnsi="Times New Roman" w:cs="Times New Roman" w:hint="eastAsia"/>
          <w:sz w:val="24"/>
          <w:szCs w:val="24"/>
        </w:rPr>
        <w:t>）中金瑞和灵活配置混合型证券投资基金（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006277</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006278</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11</w:t>
      </w:r>
      <w:r>
        <w:rPr>
          <w:rFonts w:ascii="Times New Roman" w:eastAsia="楷体_GB2312" w:hAnsi="Times New Roman" w:cs="Times New Roman" w:hint="eastAsia"/>
          <w:sz w:val="24"/>
          <w:szCs w:val="24"/>
        </w:rPr>
        <w:t>）中金</w:t>
      </w:r>
      <w:r>
        <w:rPr>
          <w:rFonts w:ascii="Times New Roman" w:eastAsia="楷体_GB2312" w:hAnsi="Times New Roman" w:cs="Times New Roman" w:hint="eastAsia"/>
          <w:sz w:val="24"/>
          <w:szCs w:val="24"/>
        </w:rPr>
        <w:t>MSCI</w:t>
      </w:r>
      <w:r>
        <w:rPr>
          <w:rFonts w:ascii="Times New Roman" w:eastAsia="楷体_GB2312" w:hAnsi="Times New Roman" w:cs="Times New Roman" w:hint="eastAsia"/>
          <w:sz w:val="24"/>
          <w:szCs w:val="24"/>
        </w:rPr>
        <w:t>中国</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股国际质量指数发起式证券投资基金（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006341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006342</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12</w:t>
      </w:r>
      <w:r>
        <w:rPr>
          <w:rFonts w:ascii="Times New Roman" w:eastAsia="楷体_GB2312" w:hAnsi="Times New Roman" w:cs="Times New Roman" w:hint="eastAsia"/>
          <w:sz w:val="24"/>
          <w:szCs w:val="24"/>
        </w:rPr>
        <w:t>）中金新医药股票型证券投资基金（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006981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007005</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13</w:t>
      </w:r>
      <w:r>
        <w:rPr>
          <w:rFonts w:ascii="Times New Roman" w:eastAsia="楷体_GB2312" w:hAnsi="Times New Roman" w:cs="Times New Roman" w:hint="eastAsia"/>
          <w:sz w:val="24"/>
          <w:szCs w:val="24"/>
        </w:rPr>
        <w:t>）中金成长精选混合型证券投资基金（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010951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010952</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14</w:t>
      </w:r>
      <w:r>
        <w:rPr>
          <w:rFonts w:ascii="Times New Roman" w:eastAsia="楷体_GB2312" w:hAnsi="Times New Roman" w:cs="Times New Roman" w:hint="eastAsia"/>
          <w:sz w:val="24"/>
          <w:szCs w:val="24"/>
        </w:rPr>
        <w:t>）中金恒远一年持有期混合型证券投资基金（</w:t>
      </w:r>
      <w:r>
        <w:rPr>
          <w:rFonts w:ascii="Times New Roman" w:eastAsia="楷体_GB2312" w:hAnsi="Times New Roman" w:cs="Times New Roman" w:hint="eastAsia"/>
          <w:sz w:val="24"/>
          <w:szCs w:val="24"/>
        </w:rPr>
        <w:t>011293</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15</w:t>
      </w:r>
      <w:r>
        <w:rPr>
          <w:rFonts w:ascii="Times New Roman" w:eastAsia="楷体_GB2312" w:hAnsi="Times New Roman" w:cs="Times New Roman" w:hint="eastAsia"/>
          <w:sz w:val="24"/>
          <w:szCs w:val="24"/>
        </w:rPr>
        <w:t>）中金鑫瑞优选一年持有期灵活配置混合型证券投资基金（</w:t>
      </w:r>
      <w:r>
        <w:rPr>
          <w:rFonts w:ascii="Times New Roman" w:eastAsia="楷体_GB2312" w:hAnsi="Times New Roman" w:cs="Times New Roman" w:hint="eastAsia"/>
          <w:sz w:val="24"/>
          <w:szCs w:val="24"/>
        </w:rPr>
        <w:t>011703</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16</w:t>
      </w:r>
      <w:r>
        <w:rPr>
          <w:rFonts w:ascii="Times New Roman" w:eastAsia="楷体_GB2312" w:hAnsi="Times New Roman" w:cs="Times New Roman" w:hint="eastAsia"/>
          <w:sz w:val="24"/>
          <w:szCs w:val="24"/>
        </w:rPr>
        <w:t>）中金安益</w:t>
      </w:r>
      <w:r>
        <w:rPr>
          <w:rFonts w:ascii="Times New Roman" w:eastAsia="楷体_GB2312" w:hAnsi="Times New Roman" w:cs="Times New Roman" w:hint="eastAsia"/>
          <w:sz w:val="24"/>
          <w:szCs w:val="24"/>
        </w:rPr>
        <w:t>30</w:t>
      </w:r>
      <w:r>
        <w:rPr>
          <w:rFonts w:ascii="Times New Roman" w:eastAsia="楷体_GB2312" w:hAnsi="Times New Roman" w:cs="Times New Roman" w:hint="eastAsia"/>
          <w:sz w:val="24"/>
          <w:szCs w:val="24"/>
        </w:rPr>
        <w:t>天滚动持有短债债券型发起式证券投资基金（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013111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013112</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17</w:t>
      </w:r>
      <w:r>
        <w:rPr>
          <w:rFonts w:ascii="Times New Roman" w:eastAsia="楷体_GB2312" w:hAnsi="Times New Roman" w:cs="Times New Roman" w:hint="eastAsia"/>
          <w:sz w:val="24"/>
          <w:szCs w:val="24"/>
        </w:rPr>
        <w:t>）中金金信债券型证券投资基金（</w:t>
      </w:r>
      <w:r>
        <w:rPr>
          <w:rFonts w:ascii="Times New Roman" w:eastAsia="楷体_GB2312" w:hAnsi="Times New Roman" w:cs="Times New Roman" w:hint="eastAsia"/>
          <w:sz w:val="24"/>
          <w:szCs w:val="24"/>
        </w:rPr>
        <w:t>013140</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18</w:t>
      </w:r>
      <w:r>
        <w:rPr>
          <w:rFonts w:ascii="Times New Roman" w:eastAsia="楷体_GB2312" w:hAnsi="Times New Roman" w:cs="Times New Roman" w:hint="eastAsia"/>
          <w:sz w:val="24"/>
          <w:szCs w:val="24"/>
        </w:rPr>
        <w:t>）中金稳健增长混合型证券投资基金（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013983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013984</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19</w:t>
      </w:r>
      <w:r>
        <w:rPr>
          <w:rFonts w:ascii="Times New Roman" w:eastAsia="楷体_GB2312" w:hAnsi="Times New Roman" w:cs="Times New Roman"/>
          <w:sz w:val="24"/>
          <w:szCs w:val="24"/>
        </w:rPr>
        <w:t>）中金景气驱动混合型发起式证券投资基金（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015633</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015634</w:t>
      </w:r>
      <w:r>
        <w:rPr>
          <w:rFonts w:ascii="Times New Roman" w:eastAsia="楷体_GB2312" w:hAnsi="Times New Roman" w:cs="Times New Roman"/>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w:t>
      </w:r>
      <w:r>
        <w:rPr>
          <w:rFonts w:ascii="Times New Roman" w:eastAsia="楷体_GB2312" w:hAnsi="Times New Roman" w:cs="Times New Roman" w:hint="eastAsia"/>
          <w:sz w:val="24"/>
          <w:szCs w:val="24"/>
        </w:rPr>
        <w:t>）中金中证同业存单</w:t>
      </w:r>
      <w:r>
        <w:rPr>
          <w:rFonts w:ascii="Times New Roman" w:eastAsia="楷体_GB2312" w:hAnsi="Times New Roman" w:cs="Times New Roman" w:hint="eastAsia"/>
          <w:sz w:val="24"/>
          <w:szCs w:val="24"/>
        </w:rPr>
        <w:t>AAA</w:t>
      </w:r>
      <w:r>
        <w:rPr>
          <w:rFonts w:ascii="Times New Roman" w:eastAsia="楷体_GB2312" w:hAnsi="Times New Roman" w:cs="Times New Roman" w:hint="eastAsia"/>
          <w:sz w:val="24"/>
          <w:szCs w:val="24"/>
        </w:rPr>
        <w:t>指数</w:t>
      </w:r>
      <w:r>
        <w:rPr>
          <w:rFonts w:ascii="Times New Roman" w:eastAsia="楷体_GB2312" w:hAnsi="Times New Roman" w:cs="Times New Roman" w:hint="eastAsia"/>
          <w:sz w:val="24"/>
          <w:szCs w:val="24"/>
        </w:rPr>
        <w:t>7</w:t>
      </w:r>
      <w:r>
        <w:rPr>
          <w:rFonts w:ascii="Times New Roman" w:eastAsia="楷体_GB2312" w:hAnsi="Times New Roman" w:cs="Times New Roman" w:hint="eastAsia"/>
          <w:sz w:val="24"/>
          <w:szCs w:val="24"/>
        </w:rPr>
        <w:t>天持有期发起式证券投资基金（</w:t>
      </w:r>
      <w:r>
        <w:rPr>
          <w:rFonts w:ascii="Times New Roman" w:eastAsia="楷体_GB2312" w:hAnsi="Times New Roman" w:cs="Times New Roman" w:hint="eastAsia"/>
          <w:sz w:val="24"/>
          <w:szCs w:val="24"/>
        </w:rPr>
        <w:t>015646</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21</w:t>
      </w:r>
      <w:r>
        <w:rPr>
          <w:rFonts w:ascii="Times New Roman" w:eastAsia="楷体_GB2312" w:hAnsi="Times New Roman" w:cs="Times New Roman" w:hint="eastAsia"/>
          <w:sz w:val="24"/>
          <w:szCs w:val="24"/>
        </w:rPr>
        <w:t>）中金金誉债券型证券投资基金（</w:t>
      </w:r>
      <w:r>
        <w:rPr>
          <w:rFonts w:ascii="Times New Roman" w:eastAsia="楷体_GB2312" w:hAnsi="Times New Roman" w:cs="Times New Roman" w:hint="eastAsia"/>
          <w:sz w:val="24"/>
          <w:szCs w:val="24"/>
        </w:rPr>
        <w:t>015580</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22</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500ESG</w:t>
      </w:r>
      <w:r>
        <w:rPr>
          <w:rFonts w:ascii="Times New Roman" w:eastAsia="楷体_GB2312" w:hAnsi="Times New Roman" w:cs="Times New Roman" w:hint="eastAsia"/>
          <w:sz w:val="24"/>
          <w:szCs w:val="24"/>
        </w:rPr>
        <w:t>基准指数增强型证券投资基金（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016680</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016681</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23</w:t>
      </w:r>
      <w:r>
        <w:rPr>
          <w:rFonts w:ascii="Times New Roman" w:eastAsia="楷体_GB2312" w:hAnsi="Times New Roman" w:cs="Times New Roman" w:hint="eastAsia"/>
          <w:sz w:val="24"/>
          <w:szCs w:val="24"/>
        </w:rPr>
        <w:t>）中金华证清洁能源主题指数发起式证券投资基金（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016915</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016916</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24</w:t>
      </w:r>
      <w:r>
        <w:rPr>
          <w:rFonts w:ascii="Times New Roman" w:eastAsia="楷体_GB2312" w:hAnsi="Times New Roman" w:cs="Times New Roman"/>
          <w:sz w:val="24"/>
          <w:szCs w:val="24"/>
        </w:rPr>
        <w:t>）中金安盈</w:t>
      </w:r>
      <w:r>
        <w:rPr>
          <w:rFonts w:ascii="Times New Roman" w:eastAsia="楷体_GB2312" w:hAnsi="Times New Roman" w:cs="Times New Roman"/>
          <w:sz w:val="24"/>
          <w:szCs w:val="24"/>
        </w:rPr>
        <w:t>90</w:t>
      </w:r>
      <w:r>
        <w:rPr>
          <w:rFonts w:ascii="Times New Roman" w:eastAsia="楷体_GB2312" w:hAnsi="Times New Roman" w:cs="Times New Roman"/>
          <w:sz w:val="24"/>
          <w:szCs w:val="24"/>
        </w:rPr>
        <w:t>天持有期中短债债券型证券投资基金（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016607</w:t>
      </w:r>
      <w:r>
        <w:rPr>
          <w:rFonts w:ascii="Times New Roman" w:eastAsia="楷体_GB2312" w:hAnsi="Times New Roman" w:cs="Times New Roman"/>
          <w:sz w:val="24"/>
          <w:szCs w:val="24"/>
        </w:rPr>
        <w:t>，</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w:t>
      </w:r>
      <w:r>
        <w:rPr>
          <w:rFonts w:ascii="Times New Roman" w:eastAsia="楷体_GB2312" w:hAnsi="Times New Roman" w:cs="Times New Roman"/>
          <w:sz w:val="24"/>
          <w:szCs w:val="24"/>
        </w:rPr>
        <w:t>016608</w:t>
      </w:r>
      <w:r>
        <w:rPr>
          <w:rFonts w:ascii="Times New Roman" w:eastAsia="楷体_GB2312" w:hAnsi="Times New Roman" w:cs="Times New Roman"/>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25</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1000</w:t>
      </w:r>
      <w:r>
        <w:rPr>
          <w:rFonts w:ascii="Times New Roman" w:eastAsia="楷体_GB2312" w:hAnsi="Times New Roman" w:cs="Times New Roman" w:hint="eastAsia"/>
          <w:sz w:val="24"/>
          <w:szCs w:val="24"/>
        </w:rPr>
        <w:t>指数增强型发起式证券投资基金（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017733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017734</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26</w:t>
      </w:r>
      <w:r>
        <w:rPr>
          <w:rFonts w:ascii="Times New Roman" w:eastAsia="楷体_GB2312" w:hAnsi="Times New Roman" w:cs="Times New Roman" w:hint="eastAsia"/>
          <w:sz w:val="24"/>
          <w:szCs w:val="24"/>
        </w:rPr>
        <w:t>）中金恒新</w:t>
      </w:r>
      <w:r>
        <w:rPr>
          <w:rFonts w:ascii="Times New Roman" w:eastAsia="楷体_GB2312" w:hAnsi="Times New Roman" w:cs="Times New Roman" w:hint="eastAsia"/>
          <w:sz w:val="24"/>
          <w:szCs w:val="24"/>
        </w:rPr>
        <w:t>90</w:t>
      </w:r>
      <w:r>
        <w:rPr>
          <w:rFonts w:ascii="Times New Roman" w:eastAsia="楷体_GB2312" w:hAnsi="Times New Roman" w:cs="Times New Roman" w:hint="eastAsia"/>
          <w:sz w:val="24"/>
          <w:szCs w:val="24"/>
        </w:rPr>
        <w:t>天持有期债券型发起式证券投资基金（</w:t>
      </w:r>
      <w:r>
        <w:rPr>
          <w:rFonts w:ascii="Times New Roman" w:eastAsia="楷体_GB2312" w:hAnsi="Times New Roman" w:cs="Times New Roman" w:hint="eastAsia"/>
          <w:sz w:val="24"/>
          <w:szCs w:val="24"/>
        </w:rPr>
        <w:t>018481</w:t>
      </w:r>
      <w:r>
        <w:rPr>
          <w:rFonts w:ascii="Times New Roman" w:eastAsia="楷体_GB2312" w:hAnsi="Times New Roman" w:cs="Times New Roman" w:hint="eastAsia"/>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本基金管理人今后新发行的其他开放式证券投资基金将视具体情况决定是否开展基金转换业务，届时将另行公告。</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）投资者办理本基金转换业务时，基金转换费用的计算将按照本公司于</w:t>
      </w:r>
      <w:r>
        <w:rPr>
          <w:rFonts w:ascii="Times New Roman" w:eastAsia="楷体_GB2312" w:hAnsi="Times New Roman" w:cs="Times New Roman"/>
          <w:sz w:val="24"/>
          <w:szCs w:val="24"/>
        </w:rPr>
        <w:t>2014</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12</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25</w:t>
      </w:r>
      <w:r>
        <w:rPr>
          <w:rFonts w:ascii="Times New Roman" w:eastAsia="楷体_GB2312" w:hAnsi="Times New Roman" w:cs="Times New Roman"/>
          <w:sz w:val="24"/>
          <w:szCs w:val="24"/>
        </w:rPr>
        <w:t>日刊登的《中金基金管理有限公司关于直销</w:t>
      </w:r>
      <w:r>
        <w:rPr>
          <w:rFonts w:ascii="Times New Roman" w:eastAsia="楷体_GB2312" w:hAnsi="Times New Roman" w:cs="Times New Roman" w:hint="eastAsia"/>
          <w:sz w:val="24"/>
          <w:szCs w:val="24"/>
        </w:rPr>
        <w:t>中心</w:t>
      </w:r>
      <w:r>
        <w:rPr>
          <w:rFonts w:ascii="Times New Roman" w:eastAsia="楷体_GB2312" w:hAnsi="Times New Roman" w:cs="Times New Roman"/>
          <w:sz w:val="24"/>
          <w:szCs w:val="24"/>
        </w:rPr>
        <w:t>开通旗下部分基金转换业务的公告》及相关公告执行。</w:t>
      </w:r>
    </w:p>
    <w:p w:rsidR="007849B0" w:rsidRDefault="00D824F2">
      <w:pPr>
        <w:pStyle w:val="2"/>
        <w:ind w:firstLine="482"/>
      </w:pPr>
      <w:r>
        <w:rPr>
          <w:rFonts w:hint="eastAsia"/>
        </w:rPr>
        <w:t>4</w:t>
      </w:r>
      <w:r>
        <w:t xml:space="preserve">.2 </w:t>
      </w:r>
      <w:r>
        <w:t>其他与转换相关的事项</w:t>
      </w:r>
      <w:r>
        <w:t xml:space="preserve"> </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）基金转换业务涉及的两只基金必须都是由同一销售机构销售、同一基金管理人管理、并在同一注册登记机构处注册登记的基金。</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）投资者提出的基金转换申请，在当日交易时间结束之前可以撤销，交易时间结束后不得撤销。</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）基金转换的业务规则将按照本基金管理人于</w:t>
      </w:r>
      <w:r>
        <w:rPr>
          <w:rFonts w:ascii="Times New Roman" w:eastAsia="楷体_GB2312" w:hAnsi="Times New Roman" w:cs="Times New Roman"/>
          <w:sz w:val="24"/>
          <w:szCs w:val="24"/>
        </w:rPr>
        <w:t>2014</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12</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25</w:t>
      </w:r>
      <w:r>
        <w:rPr>
          <w:rFonts w:ascii="Times New Roman" w:eastAsia="楷体_GB2312" w:hAnsi="Times New Roman" w:cs="Times New Roman"/>
          <w:sz w:val="24"/>
          <w:szCs w:val="24"/>
        </w:rPr>
        <w:t>日在规定媒介刊登的《中金基金管理有限公司关于直销</w:t>
      </w:r>
      <w:r>
        <w:rPr>
          <w:rFonts w:ascii="Times New Roman" w:eastAsia="楷体_GB2312" w:hAnsi="Times New Roman" w:cs="Times New Roman" w:hint="eastAsia"/>
          <w:sz w:val="24"/>
          <w:szCs w:val="24"/>
        </w:rPr>
        <w:t>中心</w:t>
      </w:r>
      <w:r>
        <w:rPr>
          <w:rFonts w:ascii="Times New Roman" w:eastAsia="楷体_GB2312" w:hAnsi="Times New Roman" w:cs="Times New Roman"/>
          <w:sz w:val="24"/>
          <w:szCs w:val="24"/>
        </w:rPr>
        <w:t>开通旗下部分基金转换业务的公告》执行，其他未尽规则详见公司官网披露的相关公告或规则。</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）本基金管理人所管理基金转换业务的解释权归本基金管理人。</w:t>
      </w:r>
    </w:p>
    <w:p w:rsidR="007849B0" w:rsidRDefault="007849B0">
      <w:pPr>
        <w:rPr>
          <w:rFonts w:ascii="Times New Roman" w:eastAsia="楷体_GB2312" w:hAnsi="Times New Roman" w:cs="Times New Roman"/>
          <w:sz w:val="24"/>
          <w:szCs w:val="24"/>
        </w:rPr>
      </w:pPr>
    </w:p>
    <w:p w:rsidR="007849B0" w:rsidRDefault="00D824F2">
      <w:pPr>
        <w:pStyle w:val="1"/>
        <w:ind w:firstLine="482"/>
        <w:rPr>
          <w:rFonts w:cs="Times New Roman"/>
        </w:rPr>
      </w:pPr>
      <w:r>
        <w:rPr>
          <w:rFonts w:cs="Times New Roman" w:hint="eastAsia"/>
        </w:rPr>
        <w:t>5</w:t>
      </w:r>
      <w:r>
        <w:rPr>
          <w:rFonts w:cs="Times New Roman"/>
        </w:rPr>
        <w:t>、定期定额投资业务</w:t>
      </w:r>
      <w:r>
        <w:rPr>
          <w:rFonts w:cs="Times New Roman"/>
        </w:rPr>
        <w:t xml:space="preserve"> </w:t>
      </w:r>
    </w:p>
    <w:p w:rsidR="007849B0" w:rsidRDefault="00D824F2">
      <w:pPr>
        <w:pStyle w:val="2"/>
        <w:ind w:firstLine="482"/>
      </w:pPr>
      <w:r>
        <w:rPr>
          <w:rFonts w:hint="eastAsia"/>
        </w:rPr>
        <w:t>5</w:t>
      </w:r>
      <w:r>
        <w:t xml:space="preserve">.1 </w:t>
      </w:r>
      <w:r>
        <w:t>适用投资者范围</w:t>
      </w:r>
      <w:r>
        <w:t xml:space="preserve"> </w:t>
      </w:r>
    </w:p>
    <w:p w:rsidR="007849B0" w:rsidRDefault="00D824F2">
      <w:pPr>
        <w:spacing w:line="360" w:lineRule="auto"/>
        <w:ind w:firstLineChars="200" w:firstLine="480"/>
        <w:jc w:val="left"/>
        <w:rPr>
          <w:rFonts w:ascii="Times New Roman" w:eastAsia="楷体_GB2312" w:hAnsi="Times New Roman" w:cs="Times New Roman"/>
          <w:sz w:val="24"/>
          <w:szCs w:val="24"/>
        </w:rPr>
      </w:pPr>
      <w:r>
        <w:rPr>
          <w:rFonts w:ascii="Times New Roman" w:eastAsia="楷体_GB2312" w:hAnsi="Times New Roman" w:cs="Times New Roman"/>
          <w:sz w:val="24"/>
          <w:szCs w:val="24"/>
        </w:rPr>
        <w:t>定期定额投资业务是基金申购业务的一种方式，指投资者通过有关销售机构提出申请，约定每期扣款日、扣款金额及扣款方式，由销售机构于每期约定的扣款日在投资者指定银行账户内自动完成扣款及基金申购申请的一种投资方式。</w:t>
      </w:r>
      <w:r>
        <w:rPr>
          <w:rFonts w:ascii="Times New Roman" w:eastAsia="楷体_GB2312" w:hAnsi="Times New Roman" w:cs="Times New Roman"/>
          <w:sz w:val="24"/>
          <w:szCs w:val="24"/>
        </w:rPr>
        <w:t xml:space="preserve"> </w:t>
      </w:r>
    </w:p>
    <w:p w:rsidR="007849B0" w:rsidRDefault="00D824F2">
      <w:pPr>
        <w:spacing w:line="360" w:lineRule="auto"/>
        <w:ind w:firstLineChars="200" w:firstLine="480"/>
        <w:jc w:val="left"/>
        <w:rPr>
          <w:rFonts w:ascii="Times New Roman" w:eastAsia="楷体_GB2312" w:hAnsi="Times New Roman" w:cs="Times New Roman"/>
          <w:sz w:val="24"/>
          <w:szCs w:val="24"/>
        </w:rPr>
      </w:pPr>
      <w:r>
        <w:rPr>
          <w:rFonts w:ascii="Times New Roman" w:eastAsia="楷体_GB2312" w:hAnsi="Times New Roman" w:cs="Times New Roman"/>
          <w:sz w:val="24"/>
          <w:szCs w:val="24"/>
        </w:rPr>
        <w:t>本基金的定期定额投资业务仅限于开通网上交易的个人投资者。</w:t>
      </w:r>
      <w:r>
        <w:rPr>
          <w:rFonts w:ascii="Times New Roman" w:eastAsia="楷体_GB2312" w:hAnsi="Times New Roman" w:cs="Times New Roman"/>
          <w:sz w:val="24"/>
          <w:szCs w:val="24"/>
        </w:rPr>
        <w:t xml:space="preserve"> </w:t>
      </w:r>
    </w:p>
    <w:p w:rsidR="007849B0" w:rsidRDefault="00D824F2">
      <w:pPr>
        <w:pStyle w:val="2"/>
        <w:ind w:firstLine="482"/>
      </w:pPr>
      <w:r>
        <w:rPr>
          <w:rFonts w:hint="eastAsia"/>
        </w:rPr>
        <w:t>5</w:t>
      </w:r>
      <w:r>
        <w:t xml:space="preserve">.2 </w:t>
      </w:r>
      <w:r>
        <w:t>申购费率</w:t>
      </w:r>
      <w:r>
        <w:t xml:space="preserve"> </w:t>
      </w:r>
    </w:p>
    <w:p w:rsidR="007849B0" w:rsidRDefault="00D824F2">
      <w:pPr>
        <w:spacing w:line="360" w:lineRule="auto"/>
        <w:ind w:firstLineChars="200" w:firstLine="480"/>
        <w:jc w:val="left"/>
        <w:rPr>
          <w:rFonts w:ascii="Times New Roman" w:eastAsia="楷体_GB2312" w:hAnsi="Times New Roman" w:cs="Times New Roman"/>
          <w:sz w:val="24"/>
          <w:szCs w:val="24"/>
        </w:rPr>
      </w:pPr>
      <w:r>
        <w:rPr>
          <w:rFonts w:ascii="Times New Roman" w:eastAsia="楷体_GB2312" w:hAnsi="Times New Roman" w:cs="Times New Roman"/>
          <w:sz w:val="24"/>
          <w:szCs w:val="24"/>
        </w:rPr>
        <w:t>本基金定期定额投资的申购费率与普通申购业务的费率相同。</w:t>
      </w:r>
    </w:p>
    <w:p w:rsidR="007849B0" w:rsidRDefault="00D824F2">
      <w:pPr>
        <w:pStyle w:val="2"/>
        <w:ind w:firstLine="482"/>
      </w:pPr>
      <w:r>
        <w:rPr>
          <w:rFonts w:hint="eastAsia"/>
        </w:rPr>
        <w:t>5</w:t>
      </w:r>
      <w:r>
        <w:t xml:space="preserve">.3 </w:t>
      </w:r>
      <w:r>
        <w:t>重要提示</w:t>
      </w:r>
      <w:r>
        <w:t xml:space="preserve"> </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投资者办理定期定额申购业务前，请登录本公司网上直销交易系统，仔细阅读《中金基金管理有限公司开放式证券投资基金业务规则》、《中金基金管理有限公司网上交易定投业务规则》等文件。本公告未尽事宜均以上述业务规则或相关公告为准。</w:t>
      </w:r>
    </w:p>
    <w:p w:rsidR="007849B0" w:rsidRDefault="007849B0">
      <w:pPr>
        <w:rPr>
          <w:rFonts w:ascii="Times New Roman" w:eastAsia="楷体_GB2312" w:hAnsi="Times New Roman" w:cs="Times New Roman"/>
          <w:sz w:val="24"/>
          <w:szCs w:val="24"/>
        </w:rPr>
      </w:pPr>
    </w:p>
    <w:p w:rsidR="007849B0" w:rsidRDefault="00D824F2">
      <w:pPr>
        <w:pStyle w:val="1"/>
        <w:ind w:firstLine="482"/>
        <w:rPr>
          <w:rFonts w:cs="Times New Roman"/>
        </w:rPr>
      </w:pPr>
      <w:r>
        <w:rPr>
          <w:rFonts w:cs="Times New Roman" w:hint="eastAsia"/>
        </w:rPr>
        <w:t>6</w:t>
      </w:r>
      <w:r>
        <w:rPr>
          <w:rFonts w:cs="Times New Roman"/>
        </w:rPr>
        <w:t>、基金销售机构</w:t>
      </w:r>
    </w:p>
    <w:p w:rsidR="007849B0" w:rsidRDefault="00D824F2">
      <w:pPr>
        <w:pStyle w:val="2"/>
        <w:ind w:firstLine="482"/>
      </w:pPr>
      <w:r>
        <w:rPr>
          <w:rFonts w:hint="eastAsia"/>
        </w:rPr>
        <w:t>6</w:t>
      </w:r>
      <w:r>
        <w:t>.1</w:t>
      </w:r>
      <w:r>
        <w:t>直销机构</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1</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中金基金管理有限公司直销柜台</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住所：北京市朝阳区建国门外大街</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号国贸写字楼</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座</w:t>
      </w:r>
      <w:r>
        <w:rPr>
          <w:rFonts w:ascii="Times New Roman" w:eastAsia="楷体_GB2312" w:hAnsi="Times New Roman" w:cs="Times New Roman"/>
          <w:sz w:val="24"/>
          <w:szCs w:val="24"/>
        </w:rPr>
        <w:t>26</w:t>
      </w:r>
      <w:r>
        <w:rPr>
          <w:rFonts w:ascii="Times New Roman" w:eastAsia="楷体_GB2312" w:hAnsi="Times New Roman" w:cs="Times New Roman"/>
          <w:sz w:val="24"/>
          <w:szCs w:val="24"/>
        </w:rPr>
        <w:t>层</w:t>
      </w:r>
      <w:r>
        <w:rPr>
          <w:rFonts w:ascii="Times New Roman" w:eastAsia="楷体_GB2312" w:hAnsi="Times New Roman" w:cs="Times New Roman"/>
          <w:sz w:val="24"/>
          <w:szCs w:val="24"/>
        </w:rPr>
        <w:t>05</w:t>
      </w:r>
      <w:r>
        <w:rPr>
          <w:rFonts w:ascii="Times New Roman" w:eastAsia="楷体_GB2312" w:hAnsi="Times New Roman" w:cs="Times New Roman"/>
          <w:sz w:val="24"/>
          <w:szCs w:val="24"/>
        </w:rPr>
        <w:t>室</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办公地址：</w:t>
      </w:r>
      <w:r>
        <w:rPr>
          <w:rFonts w:ascii="Times New Roman" w:eastAsia="楷体_GB2312" w:hAnsi="Times New Roman" w:cs="Times New Roman"/>
          <w:kern w:val="0"/>
          <w:sz w:val="24"/>
        </w:rPr>
        <w:t>北京市朝阳区建国门外大街</w:t>
      </w:r>
      <w:r>
        <w:rPr>
          <w:rFonts w:ascii="Times New Roman" w:eastAsia="楷体_GB2312" w:hAnsi="Times New Roman" w:cs="Times New Roman"/>
          <w:kern w:val="0"/>
          <w:sz w:val="24"/>
        </w:rPr>
        <w:t>1</w:t>
      </w:r>
      <w:r>
        <w:rPr>
          <w:rFonts w:ascii="Times New Roman" w:eastAsia="楷体_GB2312" w:hAnsi="Times New Roman" w:cs="Times New Roman"/>
          <w:kern w:val="0"/>
          <w:sz w:val="24"/>
        </w:rPr>
        <w:t>号国贸大厦</w:t>
      </w:r>
      <w:r>
        <w:rPr>
          <w:rFonts w:ascii="Times New Roman" w:eastAsia="楷体_GB2312" w:hAnsi="Times New Roman" w:cs="Times New Roman"/>
          <w:kern w:val="0"/>
          <w:sz w:val="24"/>
        </w:rPr>
        <w:t>B</w:t>
      </w:r>
      <w:r>
        <w:rPr>
          <w:rFonts w:ascii="Times New Roman" w:eastAsia="楷体_GB2312" w:hAnsi="Times New Roman" w:cs="Times New Roman"/>
          <w:kern w:val="0"/>
          <w:sz w:val="24"/>
        </w:rPr>
        <w:t>座</w:t>
      </w:r>
      <w:r>
        <w:rPr>
          <w:rFonts w:ascii="Times New Roman" w:eastAsia="楷体_GB2312" w:hAnsi="Times New Roman" w:cs="Times New Roman"/>
          <w:kern w:val="0"/>
          <w:sz w:val="24"/>
        </w:rPr>
        <w:t>43</w:t>
      </w:r>
      <w:r>
        <w:rPr>
          <w:rFonts w:ascii="Times New Roman" w:eastAsia="楷体_GB2312" w:hAnsi="Times New Roman" w:cs="Times New Roman"/>
          <w:kern w:val="0"/>
          <w:sz w:val="24"/>
        </w:rPr>
        <w:t>层</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联系人：中金基金客服组</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客户服务电话：</w:t>
      </w:r>
      <w:r>
        <w:rPr>
          <w:rFonts w:ascii="Times New Roman" w:eastAsia="楷体_GB2312" w:hAnsi="Times New Roman" w:cs="Times New Roman"/>
          <w:sz w:val="24"/>
          <w:szCs w:val="24"/>
        </w:rPr>
        <w:t>400-868-1166</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传真：</w:t>
      </w:r>
      <w:r>
        <w:rPr>
          <w:rFonts w:ascii="Times New Roman" w:eastAsia="楷体_GB2312" w:hAnsi="Times New Roman" w:cs="Times New Roman"/>
          <w:sz w:val="24"/>
          <w:szCs w:val="24"/>
        </w:rPr>
        <w:t>010-66159121</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公司网站：</w:t>
      </w:r>
      <w:r>
        <w:rPr>
          <w:rFonts w:ascii="Times New Roman" w:eastAsia="楷体_GB2312" w:hAnsi="Times New Roman" w:cs="Times New Roman"/>
          <w:sz w:val="24"/>
          <w:szCs w:val="24"/>
        </w:rPr>
        <w:t>http://www.ciccfund.com</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2</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中金基金管理有限公司网上直销</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微信公众号：中金基金</w:t>
      </w:r>
    </w:p>
    <w:p w:rsidR="007849B0" w:rsidRDefault="00D824F2">
      <w:pPr>
        <w:pStyle w:val="2"/>
        <w:ind w:firstLine="482"/>
      </w:pPr>
      <w:r>
        <w:rPr>
          <w:rFonts w:hint="eastAsia"/>
        </w:rPr>
        <w:t>6</w:t>
      </w:r>
      <w:r>
        <w:t>.2</w:t>
      </w:r>
      <w:r>
        <w:t>其他销售机构</w:t>
      </w:r>
    </w:p>
    <w:p w:rsidR="007849B0" w:rsidRPr="00D824F2" w:rsidRDefault="00D824F2" w:rsidP="00D824F2">
      <w:pPr>
        <w:spacing w:line="360" w:lineRule="auto"/>
        <w:ind w:firstLine="480"/>
        <w:rPr>
          <w:rFonts w:ascii="Times New Roman" w:eastAsia="楷体_GB2312" w:hAnsi="Times New Roman" w:cs="Times New Roman"/>
          <w:sz w:val="24"/>
          <w:szCs w:val="24"/>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1</w:t>
      </w:r>
      <w:r w:rsidRPr="00D824F2">
        <w:rPr>
          <w:rFonts w:ascii="Times New Roman" w:eastAsia="楷体_GB2312" w:hAnsi="Times New Roman" w:cs="Times New Roman"/>
          <w:sz w:val="24"/>
          <w:szCs w:val="24"/>
          <w:lang/>
        </w:rPr>
        <w:t>）腾安基金销售（深圳）有限公司</w:t>
      </w:r>
    </w:p>
    <w:p w:rsidR="007849B0" w:rsidRPr="00D824F2" w:rsidRDefault="00D824F2" w:rsidP="00D824F2">
      <w:pPr>
        <w:spacing w:line="360" w:lineRule="auto"/>
        <w:ind w:firstLine="480"/>
        <w:rPr>
          <w:rFonts w:ascii="Times New Roman" w:eastAsia="楷体_GB2312" w:hAnsi="Times New Roman" w:cs="Times New Roman"/>
          <w:sz w:val="24"/>
          <w:szCs w:val="24"/>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www.txfund.com</w:t>
      </w:r>
    </w:p>
    <w:p w:rsidR="007849B0" w:rsidRPr="00D824F2" w:rsidRDefault="00D824F2" w:rsidP="00D824F2">
      <w:pPr>
        <w:spacing w:line="360" w:lineRule="auto"/>
        <w:ind w:firstLine="480"/>
        <w:rPr>
          <w:rFonts w:ascii="Times New Roman" w:eastAsia="楷体_GB2312" w:hAnsi="Times New Roman" w:cs="Times New Roman"/>
          <w:sz w:val="24"/>
          <w:szCs w:val="24"/>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95017</w:t>
      </w:r>
    </w:p>
    <w:p w:rsidR="007849B0" w:rsidRPr="00D824F2" w:rsidRDefault="00D824F2" w:rsidP="00D824F2">
      <w:pPr>
        <w:spacing w:line="360" w:lineRule="auto"/>
        <w:ind w:firstLine="480"/>
        <w:rPr>
          <w:rFonts w:ascii="Times New Roman" w:eastAsia="楷体_GB2312" w:hAnsi="Times New Roman" w:cs="Times New Roman"/>
          <w:sz w:val="24"/>
          <w:szCs w:val="24"/>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2</w:t>
      </w:r>
      <w:r w:rsidRPr="00D824F2">
        <w:rPr>
          <w:rFonts w:ascii="Times New Roman" w:eastAsia="楷体_GB2312" w:hAnsi="Times New Roman" w:cs="Times New Roman"/>
          <w:sz w:val="24"/>
          <w:szCs w:val="24"/>
          <w:lang/>
        </w:rPr>
        <w:t>）上海天天基金销售有限公司</w:t>
      </w:r>
    </w:p>
    <w:p w:rsidR="007849B0" w:rsidRPr="00D824F2" w:rsidRDefault="00D824F2" w:rsidP="00D824F2">
      <w:pPr>
        <w:spacing w:line="360" w:lineRule="auto"/>
        <w:ind w:firstLine="480"/>
        <w:rPr>
          <w:rFonts w:ascii="Times New Roman" w:eastAsia="楷体_GB2312" w:hAnsi="Times New Roman" w:cs="Times New Roman"/>
          <w:sz w:val="24"/>
          <w:szCs w:val="24"/>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fund.eastmoney.com</w:t>
      </w:r>
    </w:p>
    <w:p w:rsidR="007849B0" w:rsidRPr="00D824F2" w:rsidRDefault="00D824F2" w:rsidP="00D824F2">
      <w:pPr>
        <w:spacing w:line="360" w:lineRule="auto"/>
        <w:ind w:firstLine="480"/>
        <w:rPr>
          <w:rFonts w:ascii="Times New Roman" w:eastAsia="楷体_GB2312" w:hAnsi="Times New Roman" w:cs="Times New Roman"/>
          <w:sz w:val="24"/>
          <w:szCs w:val="24"/>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95021</w:t>
      </w:r>
    </w:p>
    <w:p w:rsidR="007849B0" w:rsidRPr="00D824F2" w:rsidRDefault="00D824F2" w:rsidP="00D824F2">
      <w:pPr>
        <w:spacing w:line="360" w:lineRule="auto"/>
        <w:ind w:firstLine="480"/>
        <w:rPr>
          <w:rFonts w:ascii="Times New Roman" w:eastAsia="楷体_GB2312" w:hAnsi="Times New Roman" w:cs="Times New Roman"/>
          <w:sz w:val="24"/>
          <w:szCs w:val="24"/>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3</w:t>
      </w:r>
      <w:r w:rsidRPr="00D824F2">
        <w:rPr>
          <w:rFonts w:ascii="Times New Roman" w:eastAsia="楷体_GB2312" w:hAnsi="Times New Roman" w:cs="Times New Roman"/>
          <w:sz w:val="24"/>
          <w:szCs w:val="24"/>
          <w:lang/>
        </w:rPr>
        <w:t>）蚂蚁（杭州）基金销售有限公司</w:t>
      </w:r>
    </w:p>
    <w:p w:rsidR="007849B0" w:rsidRPr="00D824F2" w:rsidRDefault="00D824F2" w:rsidP="00D824F2">
      <w:pPr>
        <w:spacing w:line="360" w:lineRule="auto"/>
        <w:ind w:firstLine="480"/>
        <w:rPr>
          <w:rFonts w:ascii="Times New Roman" w:eastAsia="楷体_GB2312" w:hAnsi="Times New Roman" w:cs="Times New Roman"/>
          <w:sz w:val="24"/>
          <w:szCs w:val="24"/>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www.fund123.cn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95188-8</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4</w:t>
      </w:r>
      <w:r w:rsidRPr="00D824F2">
        <w:rPr>
          <w:rFonts w:ascii="Times New Roman" w:eastAsia="楷体_GB2312" w:hAnsi="Times New Roman" w:cs="Times New Roman"/>
          <w:sz w:val="24"/>
          <w:szCs w:val="24"/>
          <w:lang/>
        </w:rPr>
        <w:t>）兴业银行股份有限公司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http://www.cib.com.cn/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95561</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5</w:t>
      </w:r>
      <w:r w:rsidRPr="00D824F2">
        <w:rPr>
          <w:rFonts w:ascii="Times New Roman" w:eastAsia="楷体_GB2312" w:hAnsi="Times New Roman" w:cs="Times New Roman"/>
          <w:sz w:val="24"/>
          <w:szCs w:val="24"/>
          <w:lang/>
        </w:rPr>
        <w:t>）中信期货有限公司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http://www.citicsf.com/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400-990-8826</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6</w:t>
      </w:r>
      <w:r w:rsidRPr="00D824F2">
        <w:rPr>
          <w:rFonts w:ascii="Times New Roman" w:eastAsia="楷体_GB2312" w:hAnsi="Times New Roman" w:cs="Times New Roman"/>
          <w:sz w:val="24"/>
          <w:szCs w:val="24"/>
          <w:lang/>
        </w:rPr>
        <w:t>）国泰君安证券股份有限公司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http://www.gtja.com/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95521</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7</w:t>
      </w:r>
      <w:r w:rsidRPr="00D824F2">
        <w:rPr>
          <w:rFonts w:ascii="Times New Roman" w:eastAsia="楷体_GB2312" w:hAnsi="Times New Roman" w:cs="Times New Roman"/>
          <w:sz w:val="24"/>
          <w:szCs w:val="24"/>
          <w:lang/>
        </w:rPr>
        <w:t>）中信建投证券股份有限公司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http://www.csc108.com/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400-888-8108</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8</w:t>
      </w:r>
      <w:r w:rsidRPr="00D824F2">
        <w:rPr>
          <w:rFonts w:ascii="Times New Roman" w:eastAsia="楷体_GB2312" w:hAnsi="Times New Roman" w:cs="Times New Roman"/>
          <w:sz w:val="24"/>
          <w:szCs w:val="24"/>
          <w:lang/>
        </w:rPr>
        <w:t>）招商证券股份有限公司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http://www.cmschina.com/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95565</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9</w:t>
      </w:r>
      <w:r w:rsidRPr="00D824F2">
        <w:rPr>
          <w:rFonts w:ascii="Times New Roman" w:eastAsia="楷体_GB2312" w:hAnsi="Times New Roman" w:cs="Times New Roman"/>
          <w:sz w:val="24"/>
          <w:szCs w:val="24"/>
          <w:lang/>
        </w:rPr>
        <w:t>）中信证券股份有限公司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http://www.cs.ecitic.com/newsite/</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95548</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10</w:t>
      </w:r>
      <w:r w:rsidRPr="00D824F2">
        <w:rPr>
          <w:rFonts w:ascii="Times New Roman" w:eastAsia="楷体_GB2312" w:hAnsi="Times New Roman" w:cs="Times New Roman"/>
          <w:sz w:val="24"/>
          <w:szCs w:val="24"/>
          <w:lang/>
        </w:rPr>
        <w:t>）中国银河证券股份有限公司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http://www.chinastock.com.cn/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95551</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11</w:t>
      </w:r>
      <w:r w:rsidRPr="00D824F2">
        <w:rPr>
          <w:rFonts w:ascii="Times New Roman" w:eastAsia="楷体_GB2312" w:hAnsi="Times New Roman" w:cs="Times New Roman"/>
          <w:sz w:val="24"/>
          <w:szCs w:val="24"/>
          <w:lang/>
        </w:rPr>
        <w:t>）海通证券股份有限公司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http://www.htsec.com/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95553</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12</w:t>
      </w:r>
      <w:r w:rsidRPr="00D824F2">
        <w:rPr>
          <w:rFonts w:ascii="Times New Roman" w:eastAsia="楷体_GB2312" w:hAnsi="Times New Roman" w:cs="Times New Roman"/>
          <w:sz w:val="24"/>
          <w:szCs w:val="24"/>
          <w:lang/>
        </w:rPr>
        <w:t>）申万宏源证券有限公司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https://www.swhysc.com/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95523</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13</w:t>
      </w:r>
      <w:r w:rsidRPr="00D824F2">
        <w:rPr>
          <w:rFonts w:ascii="Times New Roman" w:eastAsia="楷体_GB2312" w:hAnsi="Times New Roman" w:cs="Times New Roman"/>
          <w:sz w:val="24"/>
          <w:szCs w:val="24"/>
          <w:lang/>
        </w:rPr>
        <w:t>）兴业证券股份有限公司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https://www.xyzq.com.cn/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95562</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14</w:t>
      </w:r>
      <w:r w:rsidRPr="00D824F2">
        <w:rPr>
          <w:rFonts w:ascii="Times New Roman" w:eastAsia="楷体_GB2312" w:hAnsi="Times New Roman" w:cs="Times New Roman"/>
          <w:sz w:val="24"/>
          <w:szCs w:val="24"/>
          <w:lang/>
        </w:rPr>
        <w:t>）长江证券股份有</w:t>
      </w:r>
      <w:bookmarkStart w:id="1" w:name="_GoBack"/>
      <w:bookmarkEnd w:id="1"/>
      <w:r w:rsidRPr="00D824F2">
        <w:rPr>
          <w:rFonts w:ascii="Times New Roman" w:eastAsia="楷体_GB2312" w:hAnsi="Times New Roman" w:cs="Times New Roman"/>
          <w:sz w:val="24"/>
          <w:szCs w:val="24"/>
          <w:lang/>
        </w:rPr>
        <w:t>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https://www.95579.com/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95579</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15</w:t>
      </w:r>
      <w:r w:rsidRPr="00D824F2">
        <w:rPr>
          <w:rFonts w:ascii="Times New Roman" w:eastAsia="楷体_GB2312" w:hAnsi="Times New Roman" w:cs="Times New Roman"/>
          <w:sz w:val="24"/>
          <w:szCs w:val="24"/>
          <w:lang/>
        </w:rPr>
        <w:t>）安信证券股份有限公司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http://www.essence.com.cn/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95517</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16</w:t>
      </w:r>
      <w:r w:rsidRPr="00D824F2">
        <w:rPr>
          <w:rFonts w:ascii="Times New Roman" w:eastAsia="楷体_GB2312" w:hAnsi="Times New Roman" w:cs="Times New Roman"/>
          <w:sz w:val="24"/>
          <w:szCs w:val="24"/>
          <w:lang/>
        </w:rPr>
        <w:t>）湘财证券股份有限公司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https://www.xcsc.com/main/index/index.shtml</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95351</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17</w:t>
      </w:r>
      <w:r w:rsidRPr="00D824F2">
        <w:rPr>
          <w:rFonts w:ascii="Times New Roman" w:eastAsia="楷体_GB2312" w:hAnsi="Times New Roman" w:cs="Times New Roman"/>
          <w:sz w:val="24"/>
          <w:szCs w:val="24"/>
          <w:lang/>
        </w:rPr>
        <w:t>）华泰证券股份有限公司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https://www.htsc.com.cn/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95597</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18</w:t>
      </w:r>
      <w:r w:rsidRPr="00D824F2">
        <w:rPr>
          <w:rFonts w:ascii="Times New Roman" w:eastAsia="楷体_GB2312" w:hAnsi="Times New Roman" w:cs="Times New Roman"/>
          <w:sz w:val="24"/>
          <w:szCs w:val="24"/>
          <w:lang/>
        </w:rPr>
        <w:t>）中信证券（山东）有限责任公司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http://sd.citics.com/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95548</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19</w:t>
      </w:r>
      <w:r w:rsidRPr="00D824F2">
        <w:rPr>
          <w:rFonts w:ascii="Times New Roman" w:eastAsia="楷体_GB2312" w:hAnsi="Times New Roman" w:cs="Times New Roman"/>
          <w:sz w:val="24"/>
          <w:szCs w:val="24"/>
          <w:lang/>
        </w:rPr>
        <w:t>）光大证券股份有限公司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http://www.ebscn.com/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95525</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20</w:t>
      </w:r>
      <w:r w:rsidRPr="00D824F2">
        <w:rPr>
          <w:rFonts w:ascii="Times New Roman" w:eastAsia="楷体_GB2312" w:hAnsi="Times New Roman" w:cs="Times New Roman"/>
          <w:sz w:val="24"/>
          <w:szCs w:val="24"/>
          <w:lang/>
        </w:rPr>
        <w:t>）中信证券华南股份有限公司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http://www.gzs.com.cn/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95548</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21</w:t>
      </w:r>
      <w:r w:rsidRPr="00D824F2">
        <w:rPr>
          <w:rFonts w:ascii="Times New Roman" w:eastAsia="楷体_GB2312" w:hAnsi="Times New Roman" w:cs="Times New Roman"/>
          <w:sz w:val="24"/>
          <w:szCs w:val="24"/>
          <w:lang/>
        </w:rPr>
        <w:t>）东北证券股份有限公司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https://www.nesc.cn/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95360</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22</w:t>
      </w:r>
      <w:r w:rsidRPr="00D824F2">
        <w:rPr>
          <w:rFonts w:ascii="Times New Roman" w:eastAsia="楷体_GB2312" w:hAnsi="Times New Roman" w:cs="Times New Roman"/>
          <w:sz w:val="24"/>
          <w:szCs w:val="24"/>
          <w:lang/>
        </w:rPr>
        <w:t>）大同证券有限责任公司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http://www.dtsbc.com.cn/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4007-121212</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23</w:t>
      </w:r>
      <w:r w:rsidRPr="00D824F2">
        <w:rPr>
          <w:rFonts w:ascii="Times New Roman" w:eastAsia="楷体_GB2312" w:hAnsi="Times New Roman" w:cs="Times New Roman"/>
          <w:sz w:val="24"/>
          <w:szCs w:val="24"/>
          <w:lang/>
        </w:rPr>
        <w:t>）国联证券股份有限公司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http://www.glsc.com.cn/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95570</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24</w:t>
      </w:r>
      <w:r w:rsidRPr="00D824F2">
        <w:rPr>
          <w:rFonts w:ascii="Times New Roman" w:eastAsia="楷体_GB2312" w:hAnsi="Times New Roman" w:cs="Times New Roman"/>
          <w:sz w:val="24"/>
          <w:szCs w:val="24"/>
          <w:lang/>
        </w:rPr>
        <w:t>）华安证券股份有限公司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http://www.hazq.com/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95318</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25</w:t>
      </w:r>
      <w:r w:rsidRPr="00D824F2">
        <w:rPr>
          <w:rFonts w:ascii="Times New Roman" w:eastAsia="楷体_GB2312" w:hAnsi="Times New Roman" w:cs="Times New Roman"/>
          <w:sz w:val="24"/>
          <w:szCs w:val="24"/>
          <w:lang/>
        </w:rPr>
        <w:t>）东海证券股份有限公司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https://www.longone.com.cn/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95531</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26</w:t>
      </w:r>
      <w:r w:rsidRPr="00D824F2">
        <w:rPr>
          <w:rFonts w:ascii="Times New Roman" w:eastAsia="楷体_GB2312" w:hAnsi="Times New Roman" w:cs="Times New Roman"/>
          <w:sz w:val="24"/>
          <w:szCs w:val="24"/>
          <w:lang/>
        </w:rPr>
        <w:t>）申万宏源西部证券有限公司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https://www.swhysc.com/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400-889-5523</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27</w:t>
      </w:r>
      <w:r w:rsidRPr="00D824F2">
        <w:rPr>
          <w:rFonts w:ascii="Times New Roman" w:eastAsia="楷体_GB2312" w:hAnsi="Times New Roman" w:cs="Times New Roman"/>
          <w:sz w:val="24"/>
          <w:szCs w:val="24"/>
          <w:lang/>
        </w:rPr>
        <w:t>）西部证券股份有限公司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https://www.west95582.com/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95582</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28</w:t>
      </w:r>
      <w:r w:rsidRPr="00D824F2">
        <w:rPr>
          <w:rFonts w:ascii="Times New Roman" w:eastAsia="楷体_GB2312" w:hAnsi="Times New Roman" w:cs="Times New Roman"/>
          <w:sz w:val="24"/>
          <w:szCs w:val="24"/>
          <w:lang/>
        </w:rPr>
        <w:t>）中国中金财富证券有限公司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http://www.ciccwm.com/</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95532</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w:t>
      </w:r>
      <w:r w:rsidRPr="00D824F2">
        <w:rPr>
          <w:rFonts w:ascii="Times New Roman" w:eastAsia="楷体_GB2312" w:hAnsi="Times New Roman" w:cs="Times New Roman"/>
          <w:sz w:val="24"/>
          <w:szCs w:val="24"/>
          <w:lang/>
        </w:rPr>
        <w:t>29</w:t>
      </w:r>
      <w:r w:rsidRPr="00D824F2">
        <w:rPr>
          <w:rFonts w:ascii="Times New Roman" w:eastAsia="楷体_GB2312" w:hAnsi="Times New Roman" w:cs="Times New Roman"/>
          <w:sz w:val="24"/>
          <w:szCs w:val="24"/>
          <w:lang/>
        </w:rPr>
        <w:t>）国金证券股份有限公司</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网址：</w:t>
      </w:r>
      <w:r w:rsidRPr="00D824F2">
        <w:rPr>
          <w:rFonts w:ascii="Times New Roman" w:eastAsia="楷体_GB2312" w:hAnsi="Times New Roman" w:cs="Times New Roman"/>
          <w:sz w:val="24"/>
          <w:szCs w:val="24"/>
          <w:lang/>
        </w:rPr>
        <w:t>http://www.gjzq.com.cn/</w:t>
      </w:r>
    </w:p>
    <w:p w:rsidR="007849B0" w:rsidRPr="00D824F2" w:rsidRDefault="00D824F2" w:rsidP="00D824F2">
      <w:pPr>
        <w:spacing w:line="360" w:lineRule="auto"/>
        <w:ind w:firstLine="480"/>
        <w:rPr>
          <w:rFonts w:ascii="Times New Roman" w:eastAsia="楷体_GB2312" w:hAnsi="Times New Roman" w:cs="Times New Roman"/>
          <w:sz w:val="24"/>
          <w:szCs w:val="24"/>
          <w:lang/>
        </w:rPr>
      </w:pPr>
      <w:r w:rsidRPr="00D824F2">
        <w:rPr>
          <w:rFonts w:ascii="Times New Roman" w:eastAsia="楷体_GB2312" w:hAnsi="Times New Roman" w:cs="Times New Roman"/>
          <w:sz w:val="24"/>
          <w:szCs w:val="24"/>
          <w:lang/>
        </w:rPr>
        <w:t>电话：</w:t>
      </w:r>
      <w:r w:rsidRPr="00D824F2">
        <w:rPr>
          <w:rFonts w:ascii="Times New Roman" w:eastAsia="楷体_GB2312" w:hAnsi="Times New Roman" w:cs="Times New Roman"/>
          <w:sz w:val="24"/>
          <w:szCs w:val="24"/>
          <w:lang/>
        </w:rPr>
        <w:t xml:space="preserve">95310 </w:t>
      </w:r>
    </w:p>
    <w:p w:rsidR="007849B0" w:rsidRPr="00D824F2" w:rsidRDefault="007849B0" w:rsidP="00D824F2">
      <w:pPr>
        <w:spacing w:line="360" w:lineRule="auto"/>
        <w:ind w:firstLineChars="200" w:firstLine="480"/>
        <w:rPr>
          <w:rFonts w:ascii="楷体_GB2312" w:eastAsia="楷体_GB2312" w:hAnsi="楷体_GB2312" w:cs="楷体_GB2312"/>
          <w:sz w:val="24"/>
          <w:szCs w:val="24"/>
        </w:rPr>
      </w:pPr>
    </w:p>
    <w:p w:rsidR="007849B0" w:rsidRDefault="00D824F2">
      <w:pPr>
        <w:pStyle w:val="2"/>
        <w:ind w:firstLine="482"/>
      </w:pPr>
      <w:r>
        <w:rPr>
          <w:rFonts w:hint="eastAsia"/>
        </w:rPr>
        <w:t>6</w:t>
      </w:r>
      <w:r>
        <w:t>.3</w:t>
      </w:r>
      <w:r>
        <w:t>其他与基金销售机构相关的事项</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1</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本基金销售机构的转换及定期定额投资业务开通情况以基金管理人或销售机构相关公告为准。</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2</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各销售机构网点的地址、营业时间等信息，请参照各销售机构的规定。</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3</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基金管理人可以根据情况增加或者减少销售机构</w:t>
      </w:r>
      <w:r>
        <w:rPr>
          <w:rFonts w:ascii="Times New Roman" w:eastAsia="楷体_GB2312" w:hAnsi="Times New Roman" w:cs="Times New Roman" w:hint="eastAsia"/>
          <w:sz w:val="24"/>
          <w:szCs w:val="24"/>
        </w:rPr>
        <w:t>，并在基金管理人网站公示。销售机构可以根据情况增加或者减少其销售城市、网点，并另行披露。敬请投资者留意。</w:t>
      </w:r>
    </w:p>
    <w:p w:rsidR="007849B0" w:rsidRDefault="007849B0">
      <w:pPr>
        <w:spacing w:line="360" w:lineRule="auto"/>
        <w:ind w:firstLineChars="200" w:firstLine="480"/>
        <w:rPr>
          <w:rFonts w:ascii="Times New Roman" w:eastAsia="楷体_GB2312" w:hAnsi="Times New Roman" w:cs="Times New Roman"/>
          <w:sz w:val="24"/>
          <w:szCs w:val="24"/>
        </w:rPr>
      </w:pPr>
    </w:p>
    <w:p w:rsidR="007849B0" w:rsidRDefault="00D824F2">
      <w:pPr>
        <w:pStyle w:val="1"/>
        <w:ind w:firstLine="482"/>
        <w:rPr>
          <w:rFonts w:cs="Times New Roman"/>
        </w:rPr>
      </w:pPr>
      <w:r>
        <w:rPr>
          <w:rFonts w:cs="Times New Roman" w:hint="eastAsia"/>
        </w:rPr>
        <w:t>7</w:t>
      </w:r>
      <w:r>
        <w:rPr>
          <w:rFonts w:cs="Times New Roman"/>
        </w:rPr>
        <w:t>、基金份额净值公告的披露安排</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在开始办理基金份额申购或者赎回后，基金管理人应当在不晚于每个开放日的次日，通过规定网站、基金销售机构网站或者营业网点披露开放日的各类基金份额的基金份额净值和各类基金份额的基金份额累计净值。</w:t>
      </w:r>
    </w:p>
    <w:p w:rsidR="007849B0" w:rsidRPr="00D824F2"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基金管理人应当在不晚于半年度和年度最后一日的次日，在规定网站披露半年度和年度最后一日的各类基金份额的基金份额净值和各类基金份额的基金份额累计净值。</w:t>
      </w:r>
    </w:p>
    <w:p w:rsidR="007849B0" w:rsidRDefault="007849B0">
      <w:pPr>
        <w:spacing w:line="360" w:lineRule="auto"/>
        <w:ind w:firstLineChars="200" w:firstLine="480"/>
        <w:rPr>
          <w:rFonts w:ascii="Times New Roman" w:eastAsia="楷体_GB2312" w:hAnsi="Times New Roman" w:cs="Times New Roman"/>
          <w:sz w:val="24"/>
          <w:szCs w:val="24"/>
        </w:rPr>
      </w:pPr>
    </w:p>
    <w:p w:rsidR="007849B0" w:rsidRDefault="00D824F2">
      <w:pPr>
        <w:pStyle w:val="1"/>
        <w:ind w:firstLine="482"/>
        <w:rPr>
          <w:rFonts w:cs="Times New Roman"/>
        </w:rPr>
      </w:pPr>
      <w:r>
        <w:rPr>
          <w:rFonts w:cs="Times New Roman" w:hint="eastAsia"/>
        </w:rPr>
        <w:t>8</w:t>
      </w:r>
      <w:r>
        <w:rPr>
          <w:rFonts w:cs="Times New Roman"/>
        </w:rPr>
        <w:t>、其他需要提示的事项</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1</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本基金为契约型开放式运作的证券投资基金，基金管理人为中金基金管理有限公司，注册登记机构为中金基金管理有限公司，基金托管人为</w:t>
      </w:r>
      <w:r>
        <w:rPr>
          <w:rFonts w:ascii="Times New Roman" w:eastAsia="楷体_GB2312" w:hAnsi="Times New Roman" w:cs="Times New Roman" w:hint="eastAsia"/>
          <w:sz w:val="24"/>
          <w:szCs w:val="24"/>
        </w:rPr>
        <w:t>兴业银行股份有限公司</w:t>
      </w:r>
      <w:r>
        <w:rPr>
          <w:rFonts w:ascii="Times New Roman" w:eastAsia="楷体_GB2312" w:hAnsi="Times New Roman" w:cs="Times New Roman"/>
          <w:sz w:val="24"/>
          <w:szCs w:val="24"/>
        </w:rPr>
        <w:t>。</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2</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本公告仅对本基金开放申购</w:t>
      </w:r>
      <w:r>
        <w:rPr>
          <w:rFonts w:ascii="Times New Roman" w:eastAsia="楷体_GB2312" w:hAnsi="Times New Roman" w:cs="Times New Roman" w:hint="eastAsia"/>
          <w:sz w:val="24"/>
          <w:szCs w:val="24"/>
        </w:rPr>
        <w:t>、转换转入、</w:t>
      </w:r>
      <w:r>
        <w:rPr>
          <w:rFonts w:ascii="Times New Roman" w:eastAsia="楷体_GB2312" w:hAnsi="Times New Roman" w:cs="Times New Roman"/>
          <w:sz w:val="24"/>
          <w:szCs w:val="24"/>
        </w:rPr>
        <w:t>定期定额投资业务的有关事项予以说明。投资者欲了解本基金相关业务规则的详细情况，请阅读《中金兴元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个月持有期混合型证券投资基金招募说明书》、《中金兴元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个月持有期混合型证券投资基金基金合同》等相关法律文件，或拨打本基金管理人客户服务电话</w:t>
      </w:r>
      <w:r>
        <w:rPr>
          <w:rFonts w:ascii="Times New Roman" w:eastAsia="楷体_GB2312" w:hAnsi="Times New Roman" w:cs="Times New Roman"/>
          <w:sz w:val="24"/>
          <w:szCs w:val="24"/>
        </w:rPr>
        <w:t>400-868-1166</w:t>
      </w:r>
      <w:r>
        <w:rPr>
          <w:rFonts w:ascii="Times New Roman" w:eastAsia="楷体_GB2312" w:hAnsi="Times New Roman" w:cs="Times New Roman"/>
          <w:sz w:val="24"/>
          <w:szCs w:val="24"/>
        </w:rPr>
        <w:t>咨询。</w:t>
      </w:r>
    </w:p>
    <w:p w:rsidR="007849B0" w:rsidRDefault="00D824F2">
      <w:pPr>
        <w:spacing w:line="360" w:lineRule="auto"/>
        <w:ind w:firstLineChars="200" w:firstLine="480"/>
        <w:rPr>
          <w:bCs/>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3</w:t>
      </w:r>
      <w:r>
        <w:rPr>
          <w:rFonts w:ascii="Times New Roman" w:eastAsia="楷体_GB2312" w:hAnsi="Times New Roman" w:cs="Times New Roman" w:hint="eastAsia"/>
          <w:sz w:val="24"/>
          <w:szCs w:val="24"/>
        </w:rPr>
        <w:t>）</w:t>
      </w:r>
      <w:r>
        <w:rPr>
          <w:rFonts w:ascii="Times New Roman" w:eastAsia="楷体_GB2312" w:hAnsi="Times New Roman" w:cs="楷体_GB2312" w:hint="eastAsia"/>
          <w:bCs/>
          <w:kern w:val="0"/>
          <w:sz w:val="24"/>
          <w:szCs w:val="20"/>
          <w:lang/>
        </w:rPr>
        <w:t>基金管理人应以交易时间结束前受理有效申购和赎回申请的当天作为申购或赎回申请日（</w:t>
      </w:r>
      <w:r>
        <w:rPr>
          <w:rFonts w:ascii="Times New Roman" w:eastAsia="楷体_GB2312" w:hAnsi="Times New Roman" w:cs="楷体_GB2312" w:hint="eastAsia"/>
          <w:bCs/>
          <w:kern w:val="0"/>
          <w:sz w:val="24"/>
          <w:szCs w:val="20"/>
          <w:lang/>
        </w:rPr>
        <w:t>T</w:t>
      </w:r>
      <w:r>
        <w:rPr>
          <w:rFonts w:ascii="Times New Roman" w:eastAsia="楷体_GB2312" w:hAnsi="Times New Roman" w:cs="楷体_GB2312" w:hint="eastAsia"/>
          <w:bCs/>
          <w:kern w:val="0"/>
          <w:sz w:val="24"/>
          <w:szCs w:val="20"/>
          <w:lang/>
        </w:rPr>
        <w:t>日），在正常情况下，本基金登记机构在</w:t>
      </w:r>
      <w:r>
        <w:rPr>
          <w:rFonts w:ascii="Times New Roman" w:eastAsia="楷体_GB2312" w:hAnsi="Times New Roman" w:cs="楷体_GB2312" w:hint="eastAsia"/>
          <w:bCs/>
          <w:kern w:val="0"/>
          <w:sz w:val="24"/>
          <w:szCs w:val="20"/>
          <w:lang/>
        </w:rPr>
        <w:t>T+1</w:t>
      </w:r>
      <w:r>
        <w:rPr>
          <w:rFonts w:ascii="Times New Roman" w:eastAsia="楷体_GB2312" w:hAnsi="Times New Roman" w:cs="楷体_GB2312" w:hint="eastAsia"/>
          <w:bCs/>
          <w:kern w:val="0"/>
          <w:sz w:val="24"/>
          <w:szCs w:val="20"/>
          <w:lang/>
        </w:rPr>
        <w:t>日内对该交易的有效性进行确认。</w:t>
      </w:r>
      <w:r>
        <w:rPr>
          <w:rFonts w:ascii="Times New Roman" w:eastAsia="楷体_GB2312" w:hAnsi="Times New Roman" w:cs="楷体_GB2312" w:hint="eastAsia"/>
          <w:bCs/>
          <w:kern w:val="0"/>
          <w:sz w:val="24"/>
          <w:szCs w:val="20"/>
          <w:lang/>
        </w:rPr>
        <w:t>T</w:t>
      </w:r>
      <w:r>
        <w:rPr>
          <w:rFonts w:ascii="Times New Roman" w:eastAsia="楷体_GB2312" w:hAnsi="Times New Roman" w:cs="楷体_GB2312" w:hint="eastAsia"/>
          <w:bCs/>
          <w:kern w:val="0"/>
          <w:sz w:val="24"/>
          <w:szCs w:val="20"/>
          <w:lang/>
        </w:rPr>
        <w:t>日提交的有效申请，投资人应在</w:t>
      </w:r>
      <w:r>
        <w:rPr>
          <w:rFonts w:ascii="Times New Roman" w:eastAsia="楷体_GB2312" w:hAnsi="Times New Roman" w:cs="楷体_GB2312" w:hint="eastAsia"/>
          <w:bCs/>
          <w:kern w:val="0"/>
          <w:sz w:val="24"/>
          <w:szCs w:val="20"/>
          <w:lang/>
        </w:rPr>
        <w:t>T+2</w:t>
      </w:r>
      <w:r>
        <w:rPr>
          <w:rFonts w:ascii="Times New Roman" w:eastAsia="楷体_GB2312" w:hAnsi="Times New Roman" w:cs="楷体_GB2312" w:hint="eastAsia"/>
          <w:bCs/>
          <w:kern w:val="0"/>
          <w:sz w:val="24"/>
          <w:szCs w:val="20"/>
          <w:lang/>
        </w:rPr>
        <w:t>日后（包括该日）及时到销售网点柜台或以销售机构规定的其他方式查询申请的确认情况。若申购不成功，则申购款项退还给投资人。</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lang/>
        </w:rPr>
        <w:t>基金销售机构对申购或赎回申请的受理并不代表申请一定成功，而仅代表销售机构确实接收到申请。申购或赎回申请的确认以登记机构的确认结果为准。对于申请的确认情况，投资人应及时查询。</w:t>
      </w:r>
      <w:r>
        <w:rPr>
          <w:rFonts w:ascii="Times New Roman" w:eastAsia="楷体_GB2312" w:hAnsi="Times New Roman" w:cs="Times New Roman"/>
          <w:sz w:val="24"/>
          <w:szCs w:val="24"/>
          <w:lang/>
        </w:rPr>
        <w:t xml:space="preserve"> </w:t>
      </w:r>
    </w:p>
    <w:p w:rsidR="007849B0" w:rsidRDefault="00D824F2">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4</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风险提示：基金管理人承诺以诚实信用、勤勉尽责的原则管理和运用基金资产，但不保证基金一定盈利，也不保证最低收益。基金的过往业绩并不预示其未来表现，基金管理人管理的其他基金的业绩并不构成基金业绩表现的保证。请投资者投资本基金前认真阅读本基金的基金合同和招募说明书，并根据自身风险承受能力选择适合自己的基金产品。敬请投资者注意投资风险。</w:t>
      </w:r>
    </w:p>
    <w:p w:rsidR="007849B0" w:rsidRDefault="007849B0">
      <w:pPr>
        <w:rPr>
          <w:rFonts w:ascii="Times New Roman" w:eastAsia="楷体_GB2312" w:hAnsi="Times New Roman" w:cs="Times New Roman"/>
          <w:sz w:val="24"/>
          <w:szCs w:val="24"/>
        </w:rPr>
      </w:pPr>
    </w:p>
    <w:p w:rsidR="007849B0" w:rsidRDefault="007849B0">
      <w:pPr>
        <w:spacing w:line="360" w:lineRule="auto"/>
        <w:rPr>
          <w:rFonts w:ascii="Times New Roman" w:eastAsia="楷体_GB2312" w:hAnsi="Times New Roman" w:cs="Times New Roman"/>
          <w:sz w:val="24"/>
          <w:szCs w:val="24"/>
        </w:rPr>
      </w:pPr>
    </w:p>
    <w:p w:rsidR="007849B0" w:rsidRDefault="00D824F2">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中金基金管理有限公司</w:t>
      </w:r>
    </w:p>
    <w:p w:rsidR="007849B0" w:rsidRDefault="00D824F2">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202</w:t>
      </w:r>
      <w:r>
        <w:rPr>
          <w:rFonts w:ascii="Times New Roman" w:eastAsia="楷体_GB2312" w:hAnsi="Times New Roman" w:cs="Times New Roman" w:hint="eastAsia"/>
          <w:sz w:val="24"/>
          <w:szCs w:val="24"/>
        </w:rPr>
        <w:t>3</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8</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17</w:t>
      </w:r>
      <w:r>
        <w:rPr>
          <w:rFonts w:ascii="Times New Roman" w:eastAsia="楷体_GB2312" w:hAnsi="Times New Roman" w:cs="Times New Roman"/>
          <w:sz w:val="24"/>
          <w:szCs w:val="24"/>
        </w:rPr>
        <w:t>日</w:t>
      </w:r>
    </w:p>
    <w:sectPr w:rsidR="007849B0" w:rsidSect="002F584B">
      <w:footerReference w:type="default" r:id="rId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4B9C71" w15:done="0"/>
  <w15:commentEx w15:paraId="7FEAB91D" w15:done="0"/>
  <w15:commentEx w15:paraId="A83AC7F0" w15:done="0"/>
  <w15:commentEx w15:paraId="EF630B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84B" w:rsidRDefault="00D824F2">
      <w:r>
        <w:separator/>
      </w:r>
    </w:p>
  </w:endnote>
  <w:endnote w:type="continuationSeparator" w:id="0">
    <w:p w:rsidR="002F584B" w:rsidRDefault="00D824F2">
      <w:r>
        <w:continuationSeparator/>
      </w:r>
    </w:p>
  </w:endnote>
</w:endnotes>
</file>

<file path=word/fontTable.xml><?xml version="1.0" encoding="utf-8"?>
<w:fonts xmlns:r="http://schemas.openxmlformats.org/officeDocument/2006/relationships" xmlns:w="http://schemas.openxmlformats.org/wordprocessingml/2006/main">
  <w:font w:name="等线">
    <w:altName w:val="汉仪中等线KW"/>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汉仪楷体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7849B0" w:rsidRDefault="002F584B">
        <w:pPr>
          <w:pStyle w:val="a5"/>
          <w:jc w:val="center"/>
        </w:pPr>
        <w:r>
          <w:fldChar w:fldCharType="begin"/>
        </w:r>
        <w:r w:rsidR="00D824F2">
          <w:instrText>PAGE   \* MERGEFORMAT</w:instrText>
        </w:r>
        <w:r>
          <w:fldChar w:fldCharType="separate"/>
        </w:r>
        <w:r w:rsidR="009D7073" w:rsidRPr="009D7073">
          <w:rPr>
            <w:noProof/>
            <w:lang w:val="zh-CN"/>
          </w:rPr>
          <w:t>1</w:t>
        </w:r>
        <w:r>
          <w:fldChar w:fldCharType="end"/>
        </w:r>
      </w:p>
    </w:sdtContent>
  </w:sdt>
  <w:p w:rsidR="007849B0" w:rsidRDefault="007849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84B" w:rsidRDefault="00D824F2">
      <w:r>
        <w:separator/>
      </w:r>
    </w:p>
  </w:footnote>
  <w:footnote w:type="continuationSeparator" w:id="0">
    <w:p w:rsidR="002F584B" w:rsidRDefault="00D824F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n Jiang">
    <w15:presenceInfo w15:providerId="None" w15:userId="Shan Jiang"/>
  </w15:person>
  <w15:person w15:author="张聪">
    <w15:presenceInfo w15:providerId="None" w15:userId="张聪"/>
  </w15:person>
  <w15:person w15:author="徐嘉青">
    <w15:presenceInfo w15:providerId="None" w15:userId="徐嘉青"/>
  </w15:person>
  <w15:person w15:author="邸嘉妮">
    <w15:presenceInfo w15:providerId="None" w15:userId="邸嘉妮"/>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087DFC"/>
    <w:rsid w:val="ADFF65BC"/>
    <w:rsid w:val="EB7F3027"/>
    <w:rsid w:val="F95FA8E6"/>
    <w:rsid w:val="00003CB3"/>
    <w:rsid w:val="00007CB6"/>
    <w:rsid w:val="000108CE"/>
    <w:rsid w:val="00011F1C"/>
    <w:rsid w:val="00020467"/>
    <w:rsid w:val="00026500"/>
    <w:rsid w:val="00031203"/>
    <w:rsid w:val="00031FBF"/>
    <w:rsid w:val="000354AA"/>
    <w:rsid w:val="000526BC"/>
    <w:rsid w:val="000533A6"/>
    <w:rsid w:val="00063098"/>
    <w:rsid w:val="0006448F"/>
    <w:rsid w:val="00082C9E"/>
    <w:rsid w:val="00087DFC"/>
    <w:rsid w:val="0009071F"/>
    <w:rsid w:val="000912BB"/>
    <w:rsid w:val="000A7030"/>
    <w:rsid w:val="000A7410"/>
    <w:rsid w:val="000B27F8"/>
    <w:rsid w:val="000B5E2F"/>
    <w:rsid w:val="000C4208"/>
    <w:rsid w:val="000C708D"/>
    <w:rsid w:val="000D13BE"/>
    <w:rsid w:val="000D55C2"/>
    <w:rsid w:val="000D6FB5"/>
    <w:rsid w:val="000D7902"/>
    <w:rsid w:val="000E0AE1"/>
    <w:rsid w:val="000F0911"/>
    <w:rsid w:val="000F2DB8"/>
    <w:rsid w:val="000F6803"/>
    <w:rsid w:val="00100243"/>
    <w:rsid w:val="00110499"/>
    <w:rsid w:val="0012110B"/>
    <w:rsid w:val="001246C7"/>
    <w:rsid w:val="00124ACA"/>
    <w:rsid w:val="00133D1F"/>
    <w:rsid w:val="001348DE"/>
    <w:rsid w:val="00135111"/>
    <w:rsid w:val="00140AAC"/>
    <w:rsid w:val="00144707"/>
    <w:rsid w:val="0014699A"/>
    <w:rsid w:val="00151AA6"/>
    <w:rsid w:val="00160417"/>
    <w:rsid w:val="00161075"/>
    <w:rsid w:val="001633E1"/>
    <w:rsid w:val="00166124"/>
    <w:rsid w:val="00181B44"/>
    <w:rsid w:val="001830C1"/>
    <w:rsid w:val="0019114E"/>
    <w:rsid w:val="001914C0"/>
    <w:rsid w:val="001918FE"/>
    <w:rsid w:val="0019323F"/>
    <w:rsid w:val="001A14B4"/>
    <w:rsid w:val="001A23F4"/>
    <w:rsid w:val="001A264C"/>
    <w:rsid w:val="001A362A"/>
    <w:rsid w:val="001A4869"/>
    <w:rsid w:val="001B2146"/>
    <w:rsid w:val="001B26B5"/>
    <w:rsid w:val="001C205D"/>
    <w:rsid w:val="001F174D"/>
    <w:rsid w:val="001F62A7"/>
    <w:rsid w:val="002000CB"/>
    <w:rsid w:val="00217383"/>
    <w:rsid w:val="0022337C"/>
    <w:rsid w:val="00231504"/>
    <w:rsid w:val="00234A5D"/>
    <w:rsid w:val="00237C48"/>
    <w:rsid w:val="00243F54"/>
    <w:rsid w:val="002566C5"/>
    <w:rsid w:val="0026253F"/>
    <w:rsid w:val="00272088"/>
    <w:rsid w:val="00282398"/>
    <w:rsid w:val="002858E2"/>
    <w:rsid w:val="00294D97"/>
    <w:rsid w:val="002B57B9"/>
    <w:rsid w:val="002B7BB1"/>
    <w:rsid w:val="002C1DD1"/>
    <w:rsid w:val="002C3CE5"/>
    <w:rsid w:val="002D3962"/>
    <w:rsid w:val="002D3DBD"/>
    <w:rsid w:val="002E7D1D"/>
    <w:rsid w:val="002F02D7"/>
    <w:rsid w:val="002F1CDD"/>
    <w:rsid w:val="002F452F"/>
    <w:rsid w:val="002F584B"/>
    <w:rsid w:val="00300419"/>
    <w:rsid w:val="00302FEA"/>
    <w:rsid w:val="00313BEB"/>
    <w:rsid w:val="00314BBF"/>
    <w:rsid w:val="00315511"/>
    <w:rsid w:val="00325400"/>
    <w:rsid w:val="00346EB0"/>
    <w:rsid w:val="00350336"/>
    <w:rsid w:val="003518F8"/>
    <w:rsid w:val="00354A90"/>
    <w:rsid w:val="00355577"/>
    <w:rsid w:val="00360DCE"/>
    <w:rsid w:val="003660BC"/>
    <w:rsid w:val="00370AF8"/>
    <w:rsid w:val="003727FD"/>
    <w:rsid w:val="00372CE9"/>
    <w:rsid w:val="00373201"/>
    <w:rsid w:val="00377DFB"/>
    <w:rsid w:val="00390075"/>
    <w:rsid w:val="00393DCA"/>
    <w:rsid w:val="00394A7C"/>
    <w:rsid w:val="003A370C"/>
    <w:rsid w:val="003A41C1"/>
    <w:rsid w:val="003A68A8"/>
    <w:rsid w:val="003C6B7B"/>
    <w:rsid w:val="003D60D5"/>
    <w:rsid w:val="003E2996"/>
    <w:rsid w:val="003E3767"/>
    <w:rsid w:val="003F0BA3"/>
    <w:rsid w:val="003F2133"/>
    <w:rsid w:val="003F2DE2"/>
    <w:rsid w:val="003F519D"/>
    <w:rsid w:val="00412927"/>
    <w:rsid w:val="00430567"/>
    <w:rsid w:val="00431105"/>
    <w:rsid w:val="00433660"/>
    <w:rsid w:val="00436688"/>
    <w:rsid w:val="00436E60"/>
    <w:rsid w:val="00436FE0"/>
    <w:rsid w:val="00445575"/>
    <w:rsid w:val="0045315A"/>
    <w:rsid w:val="00453703"/>
    <w:rsid w:val="00454620"/>
    <w:rsid w:val="00456E06"/>
    <w:rsid w:val="004618E1"/>
    <w:rsid w:val="00462804"/>
    <w:rsid w:val="00467AD2"/>
    <w:rsid w:val="00471013"/>
    <w:rsid w:val="00474A91"/>
    <w:rsid w:val="004752A1"/>
    <w:rsid w:val="004817FF"/>
    <w:rsid w:val="00490289"/>
    <w:rsid w:val="0049199C"/>
    <w:rsid w:val="0049462C"/>
    <w:rsid w:val="004A072D"/>
    <w:rsid w:val="004A0BC4"/>
    <w:rsid w:val="004A51DE"/>
    <w:rsid w:val="004B03B5"/>
    <w:rsid w:val="004B5C8D"/>
    <w:rsid w:val="004C31E4"/>
    <w:rsid w:val="004C5333"/>
    <w:rsid w:val="004D0732"/>
    <w:rsid w:val="004D5939"/>
    <w:rsid w:val="004D6BDD"/>
    <w:rsid w:val="004D7E04"/>
    <w:rsid w:val="004E1A70"/>
    <w:rsid w:val="004E24BB"/>
    <w:rsid w:val="004E50F8"/>
    <w:rsid w:val="004F277F"/>
    <w:rsid w:val="004F5E2A"/>
    <w:rsid w:val="004F6858"/>
    <w:rsid w:val="005041DF"/>
    <w:rsid w:val="005137E3"/>
    <w:rsid w:val="00513CF4"/>
    <w:rsid w:val="005152D2"/>
    <w:rsid w:val="00523946"/>
    <w:rsid w:val="0053438E"/>
    <w:rsid w:val="005376F3"/>
    <w:rsid w:val="005406B5"/>
    <w:rsid w:val="00541219"/>
    <w:rsid w:val="005471C0"/>
    <w:rsid w:val="00550E18"/>
    <w:rsid w:val="0055352D"/>
    <w:rsid w:val="0056555E"/>
    <w:rsid w:val="00571EED"/>
    <w:rsid w:val="00574EB0"/>
    <w:rsid w:val="00576C55"/>
    <w:rsid w:val="00586D10"/>
    <w:rsid w:val="005878AE"/>
    <w:rsid w:val="00590A50"/>
    <w:rsid w:val="005919CE"/>
    <w:rsid w:val="005A7AC4"/>
    <w:rsid w:val="005B3FC7"/>
    <w:rsid w:val="005B5D1C"/>
    <w:rsid w:val="005B63A0"/>
    <w:rsid w:val="005C3C8A"/>
    <w:rsid w:val="005C499A"/>
    <w:rsid w:val="005C4B00"/>
    <w:rsid w:val="005C7929"/>
    <w:rsid w:val="005E55B2"/>
    <w:rsid w:val="005E621D"/>
    <w:rsid w:val="005E6436"/>
    <w:rsid w:val="005F2ADB"/>
    <w:rsid w:val="00604EB5"/>
    <w:rsid w:val="00615877"/>
    <w:rsid w:val="006241F9"/>
    <w:rsid w:val="0062591A"/>
    <w:rsid w:val="00626519"/>
    <w:rsid w:val="00634797"/>
    <w:rsid w:val="006353DC"/>
    <w:rsid w:val="00644971"/>
    <w:rsid w:val="00650286"/>
    <w:rsid w:val="006525F3"/>
    <w:rsid w:val="00653D0E"/>
    <w:rsid w:val="00655ACE"/>
    <w:rsid w:val="00656D0C"/>
    <w:rsid w:val="006600C8"/>
    <w:rsid w:val="0068116A"/>
    <w:rsid w:val="00684D8A"/>
    <w:rsid w:val="0068515F"/>
    <w:rsid w:val="006865DC"/>
    <w:rsid w:val="00696517"/>
    <w:rsid w:val="006A1D6C"/>
    <w:rsid w:val="006A38DE"/>
    <w:rsid w:val="006B0651"/>
    <w:rsid w:val="006B3977"/>
    <w:rsid w:val="006B50C1"/>
    <w:rsid w:val="006C1BC2"/>
    <w:rsid w:val="006C1DEE"/>
    <w:rsid w:val="006C43B6"/>
    <w:rsid w:val="006C6658"/>
    <w:rsid w:val="006D3167"/>
    <w:rsid w:val="006D60A7"/>
    <w:rsid w:val="00711485"/>
    <w:rsid w:val="00726489"/>
    <w:rsid w:val="00733B4F"/>
    <w:rsid w:val="00737A3A"/>
    <w:rsid w:val="0074159D"/>
    <w:rsid w:val="00742D7E"/>
    <w:rsid w:val="00743990"/>
    <w:rsid w:val="0075638C"/>
    <w:rsid w:val="007627A5"/>
    <w:rsid w:val="007700F5"/>
    <w:rsid w:val="00773BA0"/>
    <w:rsid w:val="007820CB"/>
    <w:rsid w:val="007849B0"/>
    <w:rsid w:val="00786B6F"/>
    <w:rsid w:val="00787B30"/>
    <w:rsid w:val="00796982"/>
    <w:rsid w:val="00797616"/>
    <w:rsid w:val="007A34E2"/>
    <w:rsid w:val="007A4D0A"/>
    <w:rsid w:val="007A6F2E"/>
    <w:rsid w:val="007B12B6"/>
    <w:rsid w:val="007B1F65"/>
    <w:rsid w:val="007B718F"/>
    <w:rsid w:val="007C30C4"/>
    <w:rsid w:val="007C491F"/>
    <w:rsid w:val="007D1CE0"/>
    <w:rsid w:val="007E2119"/>
    <w:rsid w:val="007E45D4"/>
    <w:rsid w:val="007E76DC"/>
    <w:rsid w:val="007F3521"/>
    <w:rsid w:val="007F3BA5"/>
    <w:rsid w:val="0080251A"/>
    <w:rsid w:val="00802A38"/>
    <w:rsid w:val="00813C2B"/>
    <w:rsid w:val="00822496"/>
    <w:rsid w:val="00827897"/>
    <w:rsid w:val="008325DA"/>
    <w:rsid w:val="00833A0C"/>
    <w:rsid w:val="008441A8"/>
    <w:rsid w:val="0084449B"/>
    <w:rsid w:val="00846051"/>
    <w:rsid w:val="00846E9A"/>
    <w:rsid w:val="00851069"/>
    <w:rsid w:val="00854147"/>
    <w:rsid w:val="008573F4"/>
    <w:rsid w:val="00865278"/>
    <w:rsid w:val="008665F4"/>
    <w:rsid w:val="008717D6"/>
    <w:rsid w:val="00871AF5"/>
    <w:rsid w:val="00881C2A"/>
    <w:rsid w:val="00884D10"/>
    <w:rsid w:val="00890BD3"/>
    <w:rsid w:val="0089167D"/>
    <w:rsid w:val="008951A7"/>
    <w:rsid w:val="00896D09"/>
    <w:rsid w:val="008971CD"/>
    <w:rsid w:val="008A7B43"/>
    <w:rsid w:val="008B2697"/>
    <w:rsid w:val="008C1DC1"/>
    <w:rsid w:val="008C463F"/>
    <w:rsid w:val="008C5095"/>
    <w:rsid w:val="008D5B72"/>
    <w:rsid w:val="008E4F3B"/>
    <w:rsid w:val="008F6E95"/>
    <w:rsid w:val="00912923"/>
    <w:rsid w:val="0092130A"/>
    <w:rsid w:val="00927374"/>
    <w:rsid w:val="009323AF"/>
    <w:rsid w:val="00932ED6"/>
    <w:rsid w:val="00933FF9"/>
    <w:rsid w:val="0094475C"/>
    <w:rsid w:val="00947E73"/>
    <w:rsid w:val="00956095"/>
    <w:rsid w:val="00956651"/>
    <w:rsid w:val="0096206C"/>
    <w:rsid w:val="00965E3E"/>
    <w:rsid w:val="00967005"/>
    <w:rsid w:val="00970E84"/>
    <w:rsid w:val="00975692"/>
    <w:rsid w:val="00983FE5"/>
    <w:rsid w:val="0098769A"/>
    <w:rsid w:val="009901FB"/>
    <w:rsid w:val="00992D45"/>
    <w:rsid w:val="00995836"/>
    <w:rsid w:val="009B7687"/>
    <w:rsid w:val="009C5C2F"/>
    <w:rsid w:val="009C7012"/>
    <w:rsid w:val="009D7073"/>
    <w:rsid w:val="009E1C6F"/>
    <w:rsid w:val="009E7FC2"/>
    <w:rsid w:val="009F05E8"/>
    <w:rsid w:val="009F0F1D"/>
    <w:rsid w:val="009F2641"/>
    <w:rsid w:val="009F341A"/>
    <w:rsid w:val="00A03AF1"/>
    <w:rsid w:val="00A04576"/>
    <w:rsid w:val="00A25C73"/>
    <w:rsid w:val="00A26991"/>
    <w:rsid w:val="00A3337E"/>
    <w:rsid w:val="00A341F0"/>
    <w:rsid w:val="00A428C1"/>
    <w:rsid w:val="00A43D4C"/>
    <w:rsid w:val="00A4637E"/>
    <w:rsid w:val="00A51960"/>
    <w:rsid w:val="00A53FDB"/>
    <w:rsid w:val="00A603C9"/>
    <w:rsid w:val="00A61768"/>
    <w:rsid w:val="00A62265"/>
    <w:rsid w:val="00A80580"/>
    <w:rsid w:val="00A83830"/>
    <w:rsid w:val="00A8412A"/>
    <w:rsid w:val="00A9172A"/>
    <w:rsid w:val="00A92FBF"/>
    <w:rsid w:val="00AA258C"/>
    <w:rsid w:val="00AA781A"/>
    <w:rsid w:val="00AB3342"/>
    <w:rsid w:val="00AC2523"/>
    <w:rsid w:val="00AC3C80"/>
    <w:rsid w:val="00AC5C98"/>
    <w:rsid w:val="00AC75DB"/>
    <w:rsid w:val="00AD06E9"/>
    <w:rsid w:val="00AD095F"/>
    <w:rsid w:val="00AE12A2"/>
    <w:rsid w:val="00AE359A"/>
    <w:rsid w:val="00AE3760"/>
    <w:rsid w:val="00AE6236"/>
    <w:rsid w:val="00AF4B30"/>
    <w:rsid w:val="00AF6212"/>
    <w:rsid w:val="00B034F8"/>
    <w:rsid w:val="00B11807"/>
    <w:rsid w:val="00B25AC8"/>
    <w:rsid w:val="00B30B95"/>
    <w:rsid w:val="00B52160"/>
    <w:rsid w:val="00B54FFD"/>
    <w:rsid w:val="00B70D0D"/>
    <w:rsid w:val="00B74702"/>
    <w:rsid w:val="00B750C7"/>
    <w:rsid w:val="00B838C6"/>
    <w:rsid w:val="00B932DE"/>
    <w:rsid w:val="00B94153"/>
    <w:rsid w:val="00B956FE"/>
    <w:rsid w:val="00BA3000"/>
    <w:rsid w:val="00BA60F7"/>
    <w:rsid w:val="00BA6CAA"/>
    <w:rsid w:val="00BB7B81"/>
    <w:rsid w:val="00BC476F"/>
    <w:rsid w:val="00BD185F"/>
    <w:rsid w:val="00BD4952"/>
    <w:rsid w:val="00BE239D"/>
    <w:rsid w:val="00BE798E"/>
    <w:rsid w:val="00BF150B"/>
    <w:rsid w:val="00BF4CF2"/>
    <w:rsid w:val="00C040B3"/>
    <w:rsid w:val="00C103E0"/>
    <w:rsid w:val="00C10D54"/>
    <w:rsid w:val="00C11158"/>
    <w:rsid w:val="00C16783"/>
    <w:rsid w:val="00C16D57"/>
    <w:rsid w:val="00C175FD"/>
    <w:rsid w:val="00C17F98"/>
    <w:rsid w:val="00C2168A"/>
    <w:rsid w:val="00C308DE"/>
    <w:rsid w:val="00C32A76"/>
    <w:rsid w:val="00C40268"/>
    <w:rsid w:val="00C40B40"/>
    <w:rsid w:val="00C40C00"/>
    <w:rsid w:val="00C4162D"/>
    <w:rsid w:val="00C43624"/>
    <w:rsid w:val="00C5454A"/>
    <w:rsid w:val="00C5605F"/>
    <w:rsid w:val="00C5610F"/>
    <w:rsid w:val="00C63F05"/>
    <w:rsid w:val="00C66369"/>
    <w:rsid w:val="00C70A94"/>
    <w:rsid w:val="00C718E6"/>
    <w:rsid w:val="00C825A5"/>
    <w:rsid w:val="00C906D8"/>
    <w:rsid w:val="00C941F5"/>
    <w:rsid w:val="00C94A64"/>
    <w:rsid w:val="00CA694F"/>
    <w:rsid w:val="00CA78F3"/>
    <w:rsid w:val="00CB3728"/>
    <w:rsid w:val="00CB705F"/>
    <w:rsid w:val="00CC0A23"/>
    <w:rsid w:val="00CC323C"/>
    <w:rsid w:val="00CC4206"/>
    <w:rsid w:val="00CC73D5"/>
    <w:rsid w:val="00CD31C7"/>
    <w:rsid w:val="00CD54A3"/>
    <w:rsid w:val="00CE41EC"/>
    <w:rsid w:val="00CF2F40"/>
    <w:rsid w:val="00CF46AE"/>
    <w:rsid w:val="00D0033A"/>
    <w:rsid w:val="00D0324C"/>
    <w:rsid w:val="00D14D67"/>
    <w:rsid w:val="00D21FB2"/>
    <w:rsid w:val="00D228A5"/>
    <w:rsid w:val="00D34E40"/>
    <w:rsid w:val="00D37652"/>
    <w:rsid w:val="00D447D1"/>
    <w:rsid w:val="00D5457B"/>
    <w:rsid w:val="00D70117"/>
    <w:rsid w:val="00D72810"/>
    <w:rsid w:val="00D76B66"/>
    <w:rsid w:val="00D772B6"/>
    <w:rsid w:val="00D824F2"/>
    <w:rsid w:val="00D87B06"/>
    <w:rsid w:val="00D9559E"/>
    <w:rsid w:val="00DA220E"/>
    <w:rsid w:val="00DA4023"/>
    <w:rsid w:val="00DB163E"/>
    <w:rsid w:val="00DB26D1"/>
    <w:rsid w:val="00DB3D3A"/>
    <w:rsid w:val="00DB4D25"/>
    <w:rsid w:val="00DB783C"/>
    <w:rsid w:val="00DC6A46"/>
    <w:rsid w:val="00DD433C"/>
    <w:rsid w:val="00DE16A1"/>
    <w:rsid w:val="00DE357A"/>
    <w:rsid w:val="00DE3E7C"/>
    <w:rsid w:val="00DF116C"/>
    <w:rsid w:val="00E04B8B"/>
    <w:rsid w:val="00E06C44"/>
    <w:rsid w:val="00E07404"/>
    <w:rsid w:val="00E07BE5"/>
    <w:rsid w:val="00E1227C"/>
    <w:rsid w:val="00E13307"/>
    <w:rsid w:val="00E33106"/>
    <w:rsid w:val="00E348C1"/>
    <w:rsid w:val="00E4184F"/>
    <w:rsid w:val="00E4408E"/>
    <w:rsid w:val="00E45A17"/>
    <w:rsid w:val="00E509AF"/>
    <w:rsid w:val="00E55667"/>
    <w:rsid w:val="00E57608"/>
    <w:rsid w:val="00E71AF3"/>
    <w:rsid w:val="00E75939"/>
    <w:rsid w:val="00E822B7"/>
    <w:rsid w:val="00E83293"/>
    <w:rsid w:val="00E85542"/>
    <w:rsid w:val="00E862F2"/>
    <w:rsid w:val="00E905FA"/>
    <w:rsid w:val="00E97197"/>
    <w:rsid w:val="00EA5B77"/>
    <w:rsid w:val="00EA5D97"/>
    <w:rsid w:val="00EA7BF9"/>
    <w:rsid w:val="00EB142E"/>
    <w:rsid w:val="00EB2926"/>
    <w:rsid w:val="00EB2D15"/>
    <w:rsid w:val="00EB3495"/>
    <w:rsid w:val="00EC5C09"/>
    <w:rsid w:val="00EC74F5"/>
    <w:rsid w:val="00EE4319"/>
    <w:rsid w:val="00EE7C97"/>
    <w:rsid w:val="00EF6473"/>
    <w:rsid w:val="00F0061E"/>
    <w:rsid w:val="00F0454A"/>
    <w:rsid w:val="00F06F60"/>
    <w:rsid w:val="00F10F70"/>
    <w:rsid w:val="00F2122B"/>
    <w:rsid w:val="00F22188"/>
    <w:rsid w:val="00F36E68"/>
    <w:rsid w:val="00F40CED"/>
    <w:rsid w:val="00F517E2"/>
    <w:rsid w:val="00F51DF0"/>
    <w:rsid w:val="00F52B51"/>
    <w:rsid w:val="00F52E5A"/>
    <w:rsid w:val="00F621E5"/>
    <w:rsid w:val="00F630B0"/>
    <w:rsid w:val="00F65196"/>
    <w:rsid w:val="00F70D1C"/>
    <w:rsid w:val="00F77FFC"/>
    <w:rsid w:val="00F903B0"/>
    <w:rsid w:val="00FA32AA"/>
    <w:rsid w:val="00FA61E3"/>
    <w:rsid w:val="00FB7454"/>
    <w:rsid w:val="00FC2337"/>
    <w:rsid w:val="00FC4DA9"/>
    <w:rsid w:val="00FD3E9A"/>
    <w:rsid w:val="00FD4A67"/>
    <w:rsid w:val="00FF0641"/>
    <w:rsid w:val="00FF0B02"/>
    <w:rsid w:val="5AF64FF4"/>
    <w:rsid w:val="5BF7E74F"/>
    <w:rsid w:val="5FFFEA34"/>
    <w:rsid w:val="7C5F2E43"/>
    <w:rsid w:val="7CF36910"/>
    <w:rsid w:val="7E793515"/>
    <w:rsid w:val="7FFF0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84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F584B"/>
    <w:pPr>
      <w:keepNext/>
      <w:keepLines/>
      <w:spacing w:line="360" w:lineRule="auto"/>
      <w:ind w:firstLineChars="200" w:firstLine="200"/>
      <w:outlineLvl w:val="0"/>
    </w:pPr>
    <w:rPr>
      <w:rFonts w:ascii="Times New Roman" w:eastAsia="楷体_GB2312" w:hAnsi="Times New Roman"/>
      <w:b/>
      <w:bCs/>
      <w:kern w:val="44"/>
      <w:sz w:val="24"/>
      <w:szCs w:val="44"/>
    </w:rPr>
  </w:style>
  <w:style w:type="paragraph" w:styleId="2">
    <w:name w:val="heading 2"/>
    <w:basedOn w:val="a"/>
    <w:next w:val="a"/>
    <w:link w:val="2Char"/>
    <w:qFormat/>
    <w:rsid w:val="002F584B"/>
    <w:pPr>
      <w:keepNext/>
      <w:keepLines/>
      <w:spacing w:line="360" w:lineRule="auto"/>
      <w:ind w:firstLineChars="200" w:firstLine="200"/>
      <w:outlineLvl w:val="1"/>
    </w:pPr>
    <w:rPr>
      <w:rFonts w:ascii="Times New Roman" w:eastAsia="楷体_GB2312" w:hAnsi="Times New Roman" w:cs="Times New Roman"/>
      <w:b/>
      <w:sz w:val="24"/>
    </w:rPr>
  </w:style>
  <w:style w:type="paragraph" w:styleId="3">
    <w:name w:val="heading 3"/>
    <w:basedOn w:val="a"/>
    <w:next w:val="a"/>
    <w:link w:val="3Char"/>
    <w:uiPriority w:val="9"/>
    <w:unhideWhenUsed/>
    <w:qFormat/>
    <w:rsid w:val="002F584B"/>
    <w:pPr>
      <w:keepNext/>
      <w:keepLines/>
      <w:spacing w:line="360" w:lineRule="auto"/>
      <w:ind w:firstLineChars="200" w:firstLine="200"/>
      <w:outlineLvl w:val="2"/>
    </w:pPr>
    <w:rPr>
      <w:rFonts w:ascii="Times New Roman" w:eastAsia="楷体_GB2312"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F584B"/>
    <w:pPr>
      <w:jc w:val="left"/>
    </w:pPr>
  </w:style>
  <w:style w:type="paragraph" w:styleId="a4">
    <w:name w:val="Balloon Text"/>
    <w:basedOn w:val="a"/>
    <w:link w:val="Char0"/>
    <w:uiPriority w:val="99"/>
    <w:semiHidden/>
    <w:unhideWhenUsed/>
    <w:qFormat/>
    <w:rsid w:val="002F584B"/>
    <w:rPr>
      <w:sz w:val="18"/>
      <w:szCs w:val="18"/>
    </w:rPr>
  </w:style>
  <w:style w:type="paragraph" w:styleId="a5">
    <w:name w:val="footer"/>
    <w:basedOn w:val="a"/>
    <w:link w:val="Char1"/>
    <w:uiPriority w:val="99"/>
    <w:unhideWhenUsed/>
    <w:rsid w:val="002F584B"/>
    <w:pPr>
      <w:tabs>
        <w:tab w:val="center" w:pos="4153"/>
        <w:tab w:val="right" w:pos="8306"/>
      </w:tabs>
      <w:snapToGrid w:val="0"/>
      <w:jc w:val="left"/>
    </w:pPr>
    <w:rPr>
      <w:sz w:val="18"/>
      <w:szCs w:val="18"/>
    </w:rPr>
  </w:style>
  <w:style w:type="paragraph" w:styleId="a6">
    <w:name w:val="header"/>
    <w:basedOn w:val="a"/>
    <w:link w:val="Char2"/>
    <w:uiPriority w:val="99"/>
    <w:unhideWhenUsed/>
    <w:rsid w:val="002F584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2F584B"/>
    <w:rPr>
      <w:b/>
      <w:bCs/>
    </w:rPr>
  </w:style>
  <w:style w:type="table" w:styleId="a8">
    <w:name w:val="Table Grid"/>
    <w:basedOn w:val="a1"/>
    <w:uiPriority w:val="59"/>
    <w:rsid w:val="002F5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2F584B"/>
    <w:rPr>
      <w:color w:val="0000FF" w:themeColor="hyperlink"/>
      <w:u w:val="single"/>
    </w:rPr>
  </w:style>
  <w:style w:type="character" w:styleId="aa">
    <w:name w:val="annotation reference"/>
    <w:basedOn w:val="a0"/>
    <w:uiPriority w:val="99"/>
    <w:semiHidden/>
    <w:unhideWhenUsed/>
    <w:qFormat/>
    <w:rsid w:val="002F584B"/>
    <w:rPr>
      <w:sz w:val="21"/>
      <w:szCs w:val="21"/>
    </w:rPr>
  </w:style>
  <w:style w:type="character" w:customStyle="1" w:styleId="apple-converted-space">
    <w:name w:val="apple-converted-space"/>
    <w:basedOn w:val="a0"/>
    <w:rsid w:val="002F584B"/>
  </w:style>
  <w:style w:type="character" w:customStyle="1" w:styleId="2Char">
    <w:name w:val="标题 2 Char"/>
    <w:basedOn w:val="a0"/>
    <w:link w:val="2"/>
    <w:qFormat/>
    <w:rsid w:val="002F584B"/>
    <w:rPr>
      <w:rFonts w:ascii="Times New Roman" w:eastAsia="楷体_GB2312" w:hAnsi="Times New Roman" w:cs="Times New Roman"/>
      <w:b/>
      <w:sz w:val="24"/>
    </w:rPr>
  </w:style>
  <w:style w:type="paragraph" w:styleId="ab">
    <w:name w:val="List Paragraph"/>
    <w:basedOn w:val="a"/>
    <w:uiPriority w:val="34"/>
    <w:qFormat/>
    <w:rsid w:val="002F584B"/>
    <w:pPr>
      <w:ind w:firstLineChars="200" w:firstLine="420"/>
    </w:pPr>
  </w:style>
  <w:style w:type="paragraph" w:customStyle="1" w:styleId="Default">
    <w:name w:val="Default"/>
    <w:rsid w:val="002F584B"/>
    <w:pPr>
      <w:widowControl w:val="0"/>
      <w:autoSpaceDE w:val="0"/>
      <w:autoSpaceDN w:val="0"/>
      <w:adjustRightInd w:val="0"/>
    </w:pPr>
    <w:rPr>
      <w:rFonts w:ascii="楷体_GB2312" w:eastAsiaTheme="minorEastAsia" w:hAnsi="楷体_GB2312" w:cs="楷体_GB2312"/>
      <w:color w:val="000000"/>
      <w:sz w:val="24"/>
      <w:szCs w:val="24"/>
    </w:rPr>
  </w:style>
  <w:style w:type="character" w:customStyle="1" w:styleId="Char">
    <w:name w:val="批注文字 Char"/>
    <w:basedOn w:val="a0"/>
    <w:link w:val="a3"/>
    <w:uiPriority w:val="99"/>
    <w:semiHidden/>
    <w:rsid w:val="002F584B"/>
  </w:style>
  <w:style w:type="character" w:customStyle="1" w:styleId="Char3">
    <w:name w:val="批注主题 Char"/>
    <w:basedOn w:val="Char"/>
    <w:link w:val="a7"/>
    <w:uiPriority w:val="99"/>
    <w:semiHidden/>
    <w:qFormat/>
    <w:rsid w:val="002F584B"/>
    <w:rPr>
      <w:b/>
      <w:bCs/>
    </w:rPr>
  </w:style>
  <w:style w:type="character" w:customStyle="1" w:styleId="Char0">
    <w:name w:val="批注框文本 Char"/>
    <w:basedOn w:val="a0"/>
    <w:link w:val="a4"/>
    <w:uiPriority w:val="99"/>
    <w:semiHidden/>
    <w:qFormat/>
    <w:rsid w:val="002F584B"/>
    <w:rPr>
      <w:sz w:val="18"/>
      <w:szCs w:val="18"/>
    </w:rPr>
  </w:style>
  <w:style w:type="character" w:customStyle="1" w:styleId="Char2">
    <w:name w:val="页眉 Char"/>
    <w:basedOn w:val="a0"/>
    <w:link w:val="a6"/>
    <w:uiPriority w:val="99"/>
    <w:rsid w:val="002F584B"/>
    <w:rPr>
      <w:sz w:val="18"/>
      <w:szCs w:val="18"/>
    </w:rPr>
  </w:style>
  <w:style w:type="character" w:customStyle="1" w:styleId="Char1">
    <w:name w:val="页脚 Char"/>
    <w:basedOn w:val="a0"/>
    <w:link w:val="a5"/>
    <w:uiPriority w:val="99"/>
    <w:rsid w:val="002F584B"/>
    <w:rPr>
      <w:sz w:val="18"/>
      <w:szCs w:val="18"/>
    </w:rPr>
  </w:style>
  <w:style w:type="paragraph" w:customStyle="1" w:styleId="10">
    <w:name w:val="修订1"/>
    <w:hidden/>
    <w:uiPriority w:val="99"/>
    <w:semiHidden/>
    <w:rsid w:val="002F584B"/>
    <w:rPr>
      <w:rFonts w:asciiTheme="minorHAnsi" w:eastAsiaTheme="minorEastAsia" w:hAnsiTheme="minorHAnsi" w:cstheme="minorBidi"/>
      <w:kern w:val="2"/>
      <w:sz w:val="21"/>
      <w:szCs w:val="22"/>
    </w:rPr>
  </w:style>
  <w:style w:type="character" w:customStyle="1" w:styleId="1Char">
    <w:name w:val="标题 1 Char"/>
    <w:basedOn w:val="a0"/>
    <w:link w:val="1"/>
    <w:uiPriority w:val="9"/>
    <w:rsid w:val="002F584B"/>
    <w:rPr>
      <w:rFonts w:ascii="Times New Roman" w:eastAsia="楷体_GB2312" w:hAnsi="Times New Roman"/>
      <w:b/>
      <w:bCs/>
      <w:kern w:val="44"/>
      <w:sz w:val="24"/>
      <w:szCs w:val="44"/>
    </w:rPr>
  </w:style>
  <w:style w:type="character" w:customStyle="1" w:styleId="3Char">
    <w:name w:val="标题 3 Char"/>
    <w:basedOn w:val="a0"/>
    <w:link w:val="3"/>
    <w:uiPriority w:val="9"/>
    <w:rsid w:val="002F584B"/>
    <w:rPr>
      <w:rFonts w:ascii="Times New Roman" w:eastAsia="楷体_GB2312" w:hAnsi="Times New Roman"/>
      <w:b/>
      <w:bCs/>
      <w:sz w:val="24"/>
      <w:szCs w:val="32"/>
    </w:rPr>
  </w:style>
  <w:style w:type="table" w:customStyle="1" w:styleId="11">
    <w:name w:val="网格型1"/>
    <w:basedOn w:val="a1"/>
    <w:uiPriority w:val="59"/>
    <w:rsid w:val="002F5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59"/>
    <w:rsid w:val="002F584B"/>
    <w:rPr>
      <w:rFonts w:eastAsia="楷体_GB231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59"/>
    <w:rsid w:val="002F584B"/>
    <w:rPr>
      <w:rFonts w:eastAsia="楷体_GB231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line="360" w:lineRule="auto"/>
      <w:ind w:firstLineChars="200" w:firstLine="200"/>
      <w:outlineLvl w:val="0"/>
    </w:pPr>
    <w:rPr>
      <w:rFonts w:ascii="Times New Roman" w:eastAsia="楷体_GB2312" w:hAnsi="Times New Roman"/>
      <w:b/>
      <w:bCs/>
      <w:kern w:val="44"/>
      <w:sz w:val="24"/>
      <w:szCs w:val="44"/>
    </w:rPr>
  </w:style>
  <w:style w:type="paragraph" w:styleId="2">
    <w:name w:val="heading 2"/>
    <w:basedOn w:val="a"/>
    <w:next w:val="a"/>
    <w:link w:val="2Char"/>
    <w:qFormat/>
    <w:pPr>
      <w:keepNext/>
      <w:keepLines/>
      <w:spacing w:line="360" w:lineRule="auto"/>
      <w:ind w:firstLineChars="200" w:firstLine="200"/>
      <w:outlineLvl w:val="1"/>
    </w:pPr>
    <w:rPr>
      <w:rFonts w:ascii="Times New Roman" w:eastAsia="楷体_GB2312" w:hAnsi="Times New Roman" w:cs="Times New Roman"/>
      <w:b/>
      <w:sz w:val="24"/>
    </w:rPr>
  </w:style>
  <w:style w:type="paragraph" w:styleId="3">
    <w:name w:val="heading 3"/>
    <w:basedOn w:val="a"/>
    <w:next w:val="a"/>
    <w:link w:val="3Char"/>
    <w:uiPriority w:val="9"/>
    <w:unhideWhenUsed/>
    <w:qFormat/>
    <w:pPr>
      <w:keepNext/>
      <w:keepLines/>
      <w:spacing w:line="360" w:lineRule="auto"/>
      <w:ind w:firstLineChars="200" w:firstLine="200"/>
      <w:outlineLvl w:val="2"/>
    </w:pPr>
    <w:rPr>
      <w:rFonts w:ascii="Times New Roman" w:eastAsia="楷体_GB2312"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apple-converted-space">
    <w:name w:val="apple-converted-space"/>
    <w:basedOn w:val="a0"/>
  </w:style>
  <w:style w:type="character" w:customStyle="1" w:styleId="2Char">
    <w:name w:val="标题 2 Char"/>
    <w:basedOn w:val="a0"/>
    <w:link w:val="2"/>
    <w:qFormat/>
    <w:rPr>
      <w:rFonts w:ascii="Times New Roman" w:eastAsia="楷体_GB2312" w:hAnsi="Times New Roman" w:cs="Times New Roman"/>
      <w:b/>
      <w:sz w:val="24"/>
    </w:rPr>
  </w:style>
  <w:style w:type="paragraph" w:styleId="ab">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楷体_GB2312" w:eastAsiaTheme="minorEastAsia" w:hAnsi="楷体_GB2312" w:cs="楷体_GB2312"/>
      <w:color w:val="000000"/>
      <w:sz w:val="24"/>
      <w:szCs w:val="24"/>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customStyle="1" w:styleId="10">
    <w:name w:val="修订1"/>
    <w:hidden/>
    <w:uiPriority w:val="99"/>
    <w:semiHidden/>
    <w:rPr>
      <w:rFonts w:asciiTheme="minorHAnsi" w:eastAsiaTheme="minorEastAsia" w:hAnsiTheme="minorHAnsi" w:cstheme="minorBidi"/>
      <w:kern w:val="2"/>
      <w:sz w:val="21"/>
      <w:szCs w:val="22"/>
    </w:rPr>
  </w:style>
  <w:style w:type="character" w:customStyle="1" w:styleId="1Char">
    <w:name w:val="标题 1 Char"/>
    <w:basedOn w:val="a0"/>
    <w:link w:val="1"/>
    <w:uiPriority w:val="9"/>
    <w:rPr>
      <w:rFonts w:ascii="Times New Roman" w:eastAsia="楷体_GB2312" w:hAnsi="Times New Roman"/>
      <w:b/>
      <w:bCs/>
      <w:kern w:val="44"/>
      <w:sz w:val="24"/>
      <w:szCs w:val="44"/>
    </w:rPr>
  </w:style>
  <w:style w:type="character" w:customStyle="1" w:styleId="3Char">
    <w:name w:val="标题 3 Char"/>
    <w:basedOn w:val="a0"/>
    <w:link w:val="3"/>
    <w:uiPriority w:val="9"/>
    <w:rPr>
      <w:rFonts w:ascii="Times New Roman" w:eastAsia="楷体_GB2312" w:hAnsi="Times New Roman"/>
      <w:b/>
      <w:bCs/>
      <w:sz w:val="24"/>
      <w:szCs w:val="32"/>
    </w:rPr>
  </w:style>
  <w:style w:type="table" w:customStyle="1" w:styleId="11">
    <w:name w:val="网格型1"/>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59"/>
    <w:rPr>
      <w:rFonts w:eastAsia="楷体_GB231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59"/>
    <w:rPr>
      <w:rFonts w:eastAsia="楷体_GB231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commentsExtended" Target="commentsExtended.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5762</Characters>
  <Application>Microsoft Office Word</Application>
  <DocSecurity>4</DocSecurity>
  <Lines>48</Lines>
  <Paragraphs>13</Paragraphs>
  <ScaleCrop>false</ScaleCrop>
  <Company>Hewlett-Packard Company</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Weijun Wang</dc:creator>
  <cp:lastModifiedBy>ZHONGM</cp:lastModifiedBy>
  <cp:revision>2</cp:revision>
  <cp:lastPrinted>2023-04-15T01:19:00Z</cp:lastPrinted>
  <dcterms:created xsi:type="dcterms:W3CDTF">2023-08-16T16:00:00Z</dcterms:created>
  <dcterms:modified xsi:type="dcterms:W3CDTF">2023-08-16T16:00:00Z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