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000000" w:rsidRDefault="005C7EA3">
      <w:pPr>
        <w:pStyle w:val="a7"/>
        <w:spacing w:before="0" w:after="0"/>
        <w:rPr>
          <w:rFonts w:hint="eastAsia"/>
        </w:rPr>
      </w:pPr>
      <w:r>
        <w:rPr>
          <w:rFonts w:hint="eastAsia"/>
        </w:rPr>
        <w:t>长江证券（上海）资产管理有限公司</w:t>
      </w:r>
    </w:p>
    <w:p w:rsidR="00000000" w:rsidRDefault="005C7EA3">
      <w:pPr>
        <w:pStyle w:val="a7"/>
        <w:spacing w:before="0" w:after="0"/>
        <w:rPr>
          <w:rFonts w:hint="eastAsia"/>
        </w:rPr>
      </w:pPr>
      <w:r>
        <w:rPr>
          <w:rFonts w:hint="eastAsia"/>
        </w:rPr>
        <w:t>关于旗下部分基金参加</w:t>
      </w:r>
      <w:r>
        <w:rPr>
          <w:rFonts w:hint="eastAsia"/>
        </w:rPr>
        <w:t>国金证券股份有限公司</w:t>
      </w:r>
    </w:p>
    <w:p w:rsidR="00000000" w:rsidRDefault="005C7EA3">
      <w:pPr>
        <w:pStyle w:val="a7"/>
        <w:spacing w:before="0" w:after="0"/>
      </w:pPr>
      <w:r>
        <w:rPr>
          <w:rFonts w:hint="eastAsia"/>
        </w:rPr>
        <w:t>费率优惠活动的公告</w:t>
      </w:r>
    </w:p>
    <w:p w:rsidR="00000000" w:rsidRDefault="005C7EA3"/>
    <w:p w:rsidR="00000000" w:rsidRDefault="005C7EA3">
      <w:pPr>
        <w:spacing w:line="360" w:lineRule="auto"/>
        <w:ind w:firstLineChars="202" w:firstLine="424"/>
        <w:jc w:val="left"/>
        <w:rPr>
          <w:rFonts w:ascii="宋体" w:hAnsi="宋体" w:cs="宋体"/>
          <w:kern w:val="0"/>
          <w:szCs w:val="21"/>
        </w:rPr>
      </w:pPr>
      <w:r>
        <w:rPr>
          <w:rFonts w:ascii="宋体" w:hAnsi="宋体" w:cs="宋体" w:hint="eastAsia"/>
          <w:kern w:val="0"/>
          <w:szCs w:val="21"/>
        </w:rPr>
        <w:t>为答谢广大投资者的信任与支持，</w:t>
      </w:r>
      <w:r>
        <w:rPr>
          <w:rFonts w:hint="eastAsia"/>
        </w:rPr>
        <w:t>长江证券（上海）资产管理有限公司</w:t>
      </w:r>
      <w:r>
        <w:rPr>
          <w:rFonts w:ascii="宋体" w:hAnsi="宋体" w:cs="宋体" w:hint="eastAsia"/>
          <w:kern w:val="0"/>
          <w:szCs w:val="21"/>
        </w:rPr>
        <w:t>（以下称</w:t>
      </w:r>
      <w:r>
        <w:rPr>
          <w:rFonts w:ascii="宋体" w:hAnsi="宋体" w:cs="宋体"/>
          <w:kern w:val="0"/>
          <w:szCs w:val="21"/>
        </w:rPr>
        <w:t>“</w:t>
      </w:r>
      <w:r>
        <w:rPr>
          <w:rFonts w:ascii="宋体" w:hAnsi="宋体" w:cs="宋体" w:hint="eastAsia"/>
          <w:kern w:val="0"/>
          <w:szCs w:val="21"/>
        </w:rPr>
        <w:t>本公司</w:t>
      </w:r>
      <w:r>
        <w:rPr>
          <w:rFonts w:ascii="宋体" w:hAnsi="宋体" w:cs="宋体"/>
          <w:kern w:val="0"/>
          <w:szCs w:val="21"/>
        </w:rPr>
        <w:t>”</w:t>
      </w:r>
      <w:r>
        <w:rPr>
          <w:rFonts w:ascii="宋体" w:hAnsi="宋体" w:cs="宋体" w:hint="eastAsia"/>
          <w:kern w:val="0"/>
          <w:szCs w:val="21"/>
        </w:rPr>
        <w:t>）经与</w:t>
      </w:r>
      <w:r>
        <w:rPr>
          <w:rFonts w:ascii="宋体" w:hAnsi="宋体" w:cs="宋体" w:hint="eastAsia"/>
          <w:kern w:val="0"/>
          <w:szCs w:val="21"/>
        </w:rPr>
        <w:t>国金证券股份有限公司</w:t>
      </w:r>
      <w:r>
        <w:rPr>
          <w:rFonts w:ascii="宋体" w:hAnsi="宋体" w:cs="宋体" w:hint="eastAsia"/>
          <w:kern w:val="0"/>
          <w:szCs w:val="21"/>
        </w:rPr>
        <w:t>（以下简称“</w:t>
      </w:r>
      <w:r>
        <w:rPr>
          <w:rFonts w:ascii="宋体" w:hAnsi="宋体" w:cs="宋体" w:hint="eastAsia"/>
          <w:kern w:val="0"/>
          <w:szCs w:val="21"/>
        </w:rPr>
        <w:t>国金证券</w:t>
      </w:r>
      <w:r>
        <w:rPr>
          <w:rFonts w:ascii="宋体" w:hAnsi="宋体" w:cs="宋体" w:hint="eastAsia"/>
          <w:kern w:val="0"/>
          <w:szCs w:val="21"/>
        </w:rPr>
        <w:t>”）协商一致，决定自</w:t>
      </w:r>
      <w:r>
        <w:rPr>
          <w:rFonts w:ascii="宋体" w:hAnsi="宋体" w:cs="宋体" w:hint="eastAsia"/>
          <w:kern w:val="0"/>
          <w:szCs w:val="21"/>
        </w:rPr>
        <w:t>2023</w:t>
      </w:r>
      <w:r>
        <w:rPr>
          <w:rFonts w:ascii="宋体" w:hAnsi="宋体" w:cs="宋体" w:hint="eastAsia"/>
          <w:kern w:val="0"/>
          <w:szCs w:val="21"/>
        </w:rPr>
        <w:t>年</w:t>
      </w:r>
      <w:r>
        <w:rPr>
          <w:rFonts w:ascii="宋体" w:hAnsi="宋体" w:cs="宋体" w:hint="eastAsia"/>
          <w:kern w:val="0"/>
          <w:szCs w:val="21"/>
        </w:rPr>
        <w:t>8</w:t>
      </w:r>
      <w:r>
        <w:rPr>
          <w:rFonts w:ascii="宋体" w:hAnsi="宋体" w:cs="宋体" w:hint="eastAsia"/>
          <w:kern w:val="0"/>
          <w:szCs w:val="21"/>
        </w:rPr>
        <w:t>月</w:t>
      </w:r>
      <w:r>
        <w:rPr>
          <w:rFonts w:ascii="宋体" w:hAnsi="宋体" w:cs="宋体" w:hint="eastAsia"/>
          <w:kern w:val="0"/>
          <w:szCs w:val="21"/>
        </w:rPr>
        <w:t>16</w:t>
      </w:r>
      <w:r>
        <w:rPr>
          <w:rFonts w:ascii="宋体" w:hAnsi="宋体" w:cs="宋体" w:hint="eastAsia"/>
          <w:kern w:val="0"/>
          <w:szCs w:val="21"/>
        </w:rPr>
        <w:t>日起</w:t>
      </w:r>
      <w:r>
        <w:rPr>
          <w:rFonts w:ascii="宋体" w:hAnsi="宋体" w:cs="宋体" w:hint="eastAsia"/>
          <w:kern w:val="0"/>
          <w:szCs w:val="21"/>
        </w:rPr>
        <w:t>，</w:t>
      </w:r>
      <w:r>
        <w:rPr>
          <w:rFonts w:ascii="宋体" w:hAnsi="宋体" w:cs="宋体" w:hint="eastAsia"/>
          <w:kern w:val="0"/>
          <w:szCs w:val="21"/>
        </w:rPr>
        <w:t>本公司旗下部分基金参加</w:t>
      </w:r>
      <w:r>
        <w:rPr>
          <w:rFonts w:ascii="宋体" w:hAnsi="宋体" w:cs="宋体" w:hint="eastAsia"/>
          <w:kern w:val="0"/>
          <w:szCs w:val="21"/>
        </w:rPr>
        <w:t>国金证券</w:t>
      </w:r>
      <w:r>
        <w:rPr>
          <w:rFonts w:ascii="宋体" w:hAnsi="宋体" w:cs="宋体" w:hint="eastAsia"/>
          <w:kern w:val="0"/>
          <w:szCs w:val="21"/>
        </w:rPr>
        <w:t>开展的基金申购</w:t>
      </w:r>
      <w:r>
        <w:rPr>
          <w:rFonts w:ascii="宋体" w:hAnsi="宋体" w:cs="宋体" w:hint="eastAsia"/>
          <w:kern w:val="0"/>
          <w:szCs w:val="21"/>
        </w:rPr>
        <w:t>（含定期定额投资）</w:t>
      </w:r>
      <w:r>
        <w:rPr>
          <w:rFonts w:ascii="宋体" w:hAnsi="宋体" w:cs="宋体" w:hint="eastAsia"/>
          <w:kern w:val="0"/>
          <w:szCs w:val="21"/>
        </w:rPr>
        <w:t>费率优惠活动。</w:t>
      </w:r>
    </w:p>
    <w:p w:rsidR="00000000" w:rsidRDefault="005C7EA3">
      <w:pPr>
        <w:spacing w:line="360" w:lineRule="auto"/>
        <w:ind w:left="420"/>
        <w:jc w:val="left"/>
        <w:rPr>
          <w:b/>
          <w:kern w:val="0"/>
          <w:szCs w:val="24"/>
        </w:rPr>
      </w:pPr>
      <w:r>
        <w:rPr>
          <w:rFonts w:hint="eastAsia"/>
          <w:b/>
          <w:kern w:val="0"/>
          <w:szCs w:val="24"/>
        </w:rPr>
        <w:t>一、</w:t>
      </w:r>
      <w:r>
        <w:rPr>
          <w:rFonts w:hint="eastAsia"/>
          <w:b/>
          <w:kern w:val="0"/>
        </w:rPr>
        <w:t>适用基金</w:t>
      </w:r>
    </w:p>
    <w:tbl>
      <w:tblPr>
        <w:tblW w:w="4775"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54"/>
        <w:gridCol w:w="1585"/>
      </w:tblGrid>
      <w:tr w:rsidR="00000000">
        <w:trPr>
          <w:jc w:val="center"/>
        </w:trPr>
        <w:tc>
          <w:tcPr>
            <w:tcW w:w="4025" w:type="pct"/>
          </w:tcPr>
          <w:p w:rsidR="00000000" w:rsidRDefault="005C7EA3">
            <w:pPr>
              <w:jc w:val="center"/>
              <w:rPr>
                <w:rFonts w:ascii="宋体" w:hAnsi="宋体" w:cs="宋体" w:hint="eastAsia"/>
                <w:szCs w:val="21"/>
              </w:rPr>
            </w:pPr>
            <w:r>
              <w:rPr>
                <w:rFonts w:ascii="宋体" w:hAnsi="宋体" w:cs="宋体" w:hint="eastAsia"/>
                <w:szCs w:val="21"/>
              </w:rPr>
              <w:t>基金名称</w:t>
            </w:r>
          </w:p>
        </w:tc>
        <w:tc>
          <w:tcPr>
            <w:tcW w:w="974" w:type="pct"/>
          </w:tcPr>
          <w:p w:rsidR="00000000" w:rsidRDefault="005C7EA3">
            <w:pPr>
              <w:jc w:val="center"/>
              <w:rPr>
                <w:rFonts w:ascii="宋体" w:hAnsi="宋体" w:cs="宋体" w:hint="eastAsia"/>
                <w:szCs w:val="21"/>
              </w:rPr>
            </w:pPr>
            <w:r>
              <w:rPr>
                <w:rFonts w:ascii="宋体" w:hAnsi="宋体" w:cs="宋体" w:hint="eastAsia"/>
                <w:szCs w:val="21"/>
              </w:rPr>
              <w:t>基金代码</w:t>
            </w:r>
          </w:p>
        </w:tc>
      </w:tr>
      <w:tr w:rsidR="00000000">
        <w:trPr>
          <w:jc w:val="center"/>
        </w:trPr>
        <w:tc>
          <w:tcPr>
            <w:tcW w:w="4025" w:type="pct"/>
          </w:tcPr>
          <w:p w:rsidR="00000000" w:rsidRDefault="005C7EA3">
            <w:pPr>
              <w:jc w:val="center"/>
              <w:rPr>
                <w:rFonts w:ascii="宋体" w:hAnsi="宋体" w:cs="宋体" w:hint="eastAsia"/>
                <w:szCs w:val="21"/>
              </w:rPr>
            </w:pPr>
            <w:r>
              <w:rPr>
                <w:rFonts w:ascii="宋体" w:hAnsi="宋体" w:cs="宋体" w:hint="eastAsia"/>
                <w:szCs w:val="21"/>
              </w:rPr>
              <w:t>长江收益增强债券型证券投资基金</w:t>
            </w:r>
          </w:p>
        </w:tc>
        <w:tc>
          <w:tcPr>
            <w:tcW w:w="974" w:type="pct"/>
          </w:tcPr>
          <w:p w:rsidR="00000000" w:rsidRDefault="005C7EA3">
            <w:pPr>
              <w:jc w:val="center"/>
              <w:rPr>
                <w:rFonts w:ascii="宋体" w:hAnsi="宋体" w:cs="宋体" w:hint="eastAsia"/>
                <w:szCs w:val="21"/>
              </w:rPr>
            </w:pPr>
            <w:r>
              <w:rPr>
                <w:rFonts w:ascii="宋体" w:hAnsi="宋体" w:cs="宋体" w:hint="eastAsia"/>
                <w:szCs w:val="21"/>
              </w:rPr>
              <w:t>003336</w:t>
            </w:r>
          </w:p>
        </w:tc>
      </w:tr>
      <w:tr w:rsidR="00000000">
        <w:trPr>
          <w:jc w:val="center"/>
        </w:trPr>
        <w:tc>
          <w:tcPr>
            <w:tcW w:w="4025" w:type="pct"/>
          </w:tcPr>
          <w:p w:rsidR="00000000" w:rsidRDefault="005C7EA3">
            <w:pPr>
              <w:jc w:val="center"/>
              <w:rPr>
                <w:rFonts w:ascii="宋体" w:hAnsi="宋体" w:cs="宋体" w:hint="eastAsia"/>
                <w:szCs w:val="21"/>
              </w:rPr>
            </w:pPr>
            <w:r>
              <w:rPr>
                <w:rFonts w:ascii="宋体" w:hAnsi="宋体" w:cs="宋体" w:hint="eastAsia"/>
                <w:szCs w:val="21"/>
              </w:rPr>
              <w:t>长江可转债债券型证券投资基金</w:t>
            </w:r>
          </w:p>
        </w:tc>
        <w:tc>
          <w:tcPr>
            <w:tcW w:w="974" w:type="pct"/>
          </w:tcPr>
          <w:p w:rsidR="00000000" w:rsidRDefault="005C7EA3">
            <w:pPr>
              <w:jc w:val="center"/>
              <w:rPr>
                <w:rFonts w:ascii="宋体" w:hAnsi="宋体" w:cs="宋体" w:hint="eastAsia"/>
                <w:szCs w:val="21"/>
              </w:rPr>
            </w:pPr>
            <w:r>
              <w:rPr>
                <w:rFonts w:ascii="宋体" w:hAnsi="宋体" w:cs="宋体" w:hint="eastAsia"/>
                <w:szCs w:val="21"/>
              </w:rPr>
              <w:t>006618</w:t>
            </w:r>
          </w:p>
        </w:tc>
      </w:tr>
      <w:tr w:rsidR="00000000">
        <w:trPr>
          <w:jc w:val="center"/>
        </w:trPr>
        <w:tc>
          <w:tcPr>
            <w:tcW w:w="4025" w:type="pct"/>
          </w:tcPr>
          <w:p w:rsidR="00000000" w:rsidRDefault="005C7EA3">
            <w:pPr>
              <w:jc w:val="center"/>
              <w:rPr>
                <w:rFonts w:ascii="宋体" w:hAnsi="宋体" w:cs="宋体" w:hint="eastAsia"/>
                <w:szCs w:val="21"/>
              </w:rPr>
            </w:pPr>
            <w:r>
              <w:rPr>
                <w:rFonts w:ascii="宋体" w:hAnsi="宋体" w:cs="宋体" w:hint="eastAsia"/>
                <w:szCs w:val="21"/>
              </w:rPr>
              <w:t>长江红利回报混合型发起式证券投资基金</w:t>
            </w:r>
          </w:p>
        </w:tc>
        <w:tc>
          <w:tcPr>
            <w:tcW w:w="974" w:type="pct"/>
          </w:tcPr>
          <w:p w:rsidR="00000000" w:rsidRDefault="005C7EA3">
            <w:pPr>
              <w:jc w:val="center"/>
              <w:rPr>
                <w:rFonts w:ascii="宋体" w:hAnsi="宋体" w:cs="宋体" w:hint="eastAsia"/>
                <w:szCs w:val="21"/>
              </w:rPr>
            </w:pPr>
            <w:r>
              <w:rPr>
                <w:rFonts w:ascii="宋体" w:hAnsi="宋体" w:cs="宋体" w:hint="eastAsia"/>
                <w:szCs w:val="21"/>
              </w:rPr>
              <w:t>013934</w:t>
            </w:r>
          </w:p>
        </w:tc>
      </w:tr>
    </w:tbl>
    <w:p w:rsidR="00000000" w:rsidRDefault="005C7EA3">
      <w:pPr>
        <w:spacing w:line="360" w:lineRule="auto"/>
        <w:ind w:left="420"/>
        <w:jc w:val="left"/>
        <w:rPr>
          <w:b/>
          <w:kern w:val="0"/>
        </w:rPr>
      </w:pPr>
      <w:r>
        <w:rPr>
          <w:rFonts w:hint="eastAsia"/>
          <w:b/>
          <w:kern w:val="0"/>
        </w:rPr>
        <w:t>二、费率优惠活动内容</w:t>
      </w:r>
    </w:p>
    <w:p w:rsidR="00000000" w:rsidRDefault="005C7EA3">
      <w:pPr>
        <w:pStyle w:val="ac"/>
        <w:spacing w:line="360" w:lineRule="auto"/>
        <w:ind w:firstLineChars="202" w:firstLine="424"/>
        <w:rPr>
          <w:rFonts w:ascii="宋体" w:hAnsi="宋体" w:cs="宋体"/>
          <w:kern w:val="0"/>
          <w:szCs w:val="21"/>
        </w:rPr>
      </w:pPr>
      <w:r>
        <w:rPr>
          <w:rFonts w:ascii="宋体" w:hAnsi="宋体" w:cs="宋体" w:hint="eastAsia"/>
          <w:kern w:val="0"/>
          <w:szCs w:val="21"/>
        </w:rPr>
        <w:t>1</w:t>
      </w:r>
      <w:r>
        <w:rPr>
          <w:rFonts w:ascii="宋体" w:hAnsi="宋体" w:cs="宋体" w:hint="eastAsia"/>
          <w:kern w:val="0"/>
          <w:szCs w:val="21"/>
        </w:rPr>
        <w:t>、优惠活动方案</w:t>
      </w:r>
    </w:p>
    <w:p w:rsidR="00000000" w:rsidRDefault="005C7EA3">
      <w:pPr>
        <w:pStyle w:val="ac"/>
        <w:spacing w:line="360" w:lineRule="auto"/>
        <w:ind w:firstLineChars="202" w:firstLine="424"/>
        <w:rPr>
          <w:rFonts w:ascii="宋体" w:hAnsi="宋体" w:cs="宋体" w:hint="eastAsia"/>
          <w:kern w:val="0"/>
          <w:szCs w:val="21"/>
        </w:rPr>
      </w:pPr>
      <w:r>
        <w:rPr>
          <w:rFonts w:ascii="宋体" w:hAnsi="宋体" w:cs="宋体" w:hint="eastAsia"/>
          <w:kern w:val="0"/>
          <w:szCs w:val="21"/>
        </w:rPr>
        <w:t>投资者通过</w:t>
      </w:r>
      <w:r>
        <w:rPr>
          <w:rFonts w:ascii="宋体" w:hAnsi="宋体" w:cs="宋体" w:hint="eastAsia"/>
          <w:kern w:val="0"/>
          <w:szCs w:val="21"/>
        </w:rPr>
        <w:t>国金证券</w:t>
      </w:r>
      <w:r>
        <w:rPr>
          <w:rFonts w:ascii="宋体" w:hAnsi="宋体" w:cs="宋体" w:hint="eastAsia"/>
          <w:kern w:val="0"/>
          <w:szCs w:val="21"/>
        </w:rPr>
        <w:t>办理上述适用基金的申购</w:t>
      </w:r>
      <w:r>
        <w:rPr>
          <w:rFonts w:ascii="宋体" w:hAnsi="宋体" w:cs="宋体" w:hint="eastAsia"/>
          <w:kern w:val="0"/>
          <w:szCs w:val="21"/>
        </w:rPr>
        <w:t>（含</w:t>
      </w:r>
      <w:r>
        <w:rPr>
          <w:rFonts w:ascii="宋体" w:hAnsi="宋体" w:cs="宋体" w:hint="eastAsia"/>
          <w:kern w:val="0"/>
          <w:szCs w:val="21"/>
        </w:rPr>
        <w:t>定期定额投资</w:t>
      </w:r>
      <w:r>
        <w:rPr>
          <w:rFonts w:ascii="宋体" w:hAnsi="宋体" w:cs="宋体" w:hint="eastAsia"/>
          <w:kern w:val="0"/>
          <w:szCs w:val="21"/>
        </w:rPr>
        <w:t>）</w:t>
      </w:r>
      <w:r>
        <w:rPr>
          <w:rFonts w:ascii="宋体" w:hAnsi="宋体" w:cs="宋体" w:hint="eastAsia"/>
          <w:kern w:val="0"/>
          <w:szCs w:val="21"/>
        </w:rPr>
        <w:t>业务，在不违反法律法规和基金合同的相关要求下，可享受申购费率优惠，具体的费率优惠规则，以</w:t>
      </w:r>
      <w:r>
        <w:rPr>
          <w:rFonts w:ascii="宋体" w:hAnsi="宋体" w:cs="宋体" w:hint="eastAsia"/>
          <w:kern w:val="0"/>
          <w:szCs w:val="21"/>
        </w:rPr>
        <w:t>国金证券</w:t>
      </w:r>
      <w:r>
        <w:rPr>
          <w:rFonts w:ascii="宋体" w:hAnsi="宋体" w:cs="宋体" w:hint="eastAsia"/>
          <w:kern w:val="0"/>
          <w:szCs w:val="21"/>
        </w:rPr>
        <w:t>的安排和规定为准。</w:t>
      </w:r>
    </w:p>
    <w:p w:rsidR="00000000" w:rsidRDefault="005C7EA3">
      <w:pPr>
        <w:pStyle w:val="ac"/>
        <w:spacing w:line="360" w:lineRule="auto"/>
        <w:ind w:firstLineChars="202" w:firstLine="424"/>
        <w:rPr>
          <w:rFonts w:ascii="宋体" w:hAnsi="宋体" w:cs="宋体"/>
          <w:kern w:val="0"/>
          <w:szCs w:val="21"/>
        </w:rPr>
      </w:pPr>
      <w:r>
        <w:rPr>
          <w:rFonts w:ascii="宋体" w:hAnsi="宋体" w:cs="宋体" w:hint="eastAsia"/>
          <w:kern w:val="0"/>
          <w:szCs w:val="21"/>
        </w:rPr>
        <w:t>2</w:t>
      </w:r>
      <w:r>
        <w:rPr>
          <w:rFonts w:ascii="宋体" w:hAnsi="宋体" w:cs="宋体" w:hint="eastAsia"/>
          <w:kern w:val="0"/>
          <w:szCs w:val="21"/>
        </w:rPr>
        <w:t>、费率优惠期限</w:t>
      </w:r>
    </w:p>
    <w:p w:rsidR="00000000" w:rsidRDefault="005C7EA3">
      <w:pPr>
        <w:pStyle w:val="ac"/>
        <w:spacing w:line="360" w:lineRule="auto"/>
        <w:ind w:firstLineChars="202" w:firstLine="424"/>
        <w:rPr>
          <w:rFonts w:ascii="宋体" w:hAnsi="宋体" w:cs="宋体" w:hint="eastAsia"/>
          <w:kern w:val="0"/>
          <w:szCs w:val="21"/>
        </w:rPr>
      </w:pPr>
      <w:r>
        <w:rPr>
          <w:rFonts w:ascii="宋体" w:hAnsi="宋体" w:cs="宋体" w:hint="eastAsia"/>
          <w:kern w:val="0"/>
          <w:szCs w:val="21"/>
        </w:rPr>
        <w:t>本次费率优惠活动的结束时间以</w:t>
      </w:r>
      <w:r>
        <w:rPr>
          <w:rFonts w:ascii="宋体" w:hAnsi="宋体" w:cs="宋体" w:hint="eastAsia"/>
          <w:kern w:val="0"/>
          <w:szCs w:val="21"/>
        </w:rPr>
        <w:t>国金证券</w:t>
      </w:r>
      <w:r>
        <w:rPr>
          <w:rFonts w:ascii="宋体" w:hAnsi="宋体" w:cs="宋体" w:hint="eastAsia"/>
          <w:kern w:val="0"/>
          <w:szCs w:val="21"/>
        </w:rPr>
        <w:t>所示公告为准，本公司届时不再另行公告，敬请投资者关注。</w:t>
      </w:r>
    </w:p>
    <w:p w:rsidR="00000000" w:rsidRDefault="005C7EA3">
      <w:pPr>
        <w:pStyle w:val="ac"/>
        <w:spacing w:line="360" w:lineRule="auto"/>
        <w:ind w:firstLineChars="202" w:firstLine="424"/>
        <w:rPr>
          <w:rFonts w:ascii="宋体" w:hAnsi="宋体" w:cs="宋体" w:hint="eastAsia"/>
          <w:kern w:val="0"/>
          <w:szCs w:val="21"/>
        </w:rPr>
      </w:pPr>
      <w:r>
        <w:rPr>
          <w:rFonts w:ascii="宋体" w:hAnsi="宋体" w:cs="宋体" w:hint="eastAsia"/>
          <w:kern w:val="0"/>
          <w:szCs w:val="21"/>
        </w:rPr>
        <w:t>3</w:t>
      </w:r>
      <w:r>
        <w:rPr>
          <w:rFonts w:ascii="宋体" w:hAnsi="宋体" w:cs="宋体" w:hint="eastAsia"/>
          <w:kern w:val="0"/>
          <w:szCs w:val="21"/>
        </w:rPr>
        <w:t>、费率优惠活动期间，如本公司新增通过国金证券代销的公开募集证券投资基金，则自该基金开放申购、定期定额投资当日起将同时开通本优惠活动，届时本公司不再另行公告。</w:t>
      </w:r>
    </w:p>
    <w:p w:rsidR="00000000" w:rsidRDefault="005C7EA3">
      <w:pPr>
        <w:spacing w:line="360" w:lineRule="auto"/>
        <w:ind w:firstLineChars="200" w:firstLine="422"/>
        <w:jc w:val="left"/>
        <w:rPr>
          <w:b/>
          <w:kern w:val="0"/>
        </w:rPr>
      </w:pPr>
      <w:r>
        <w:rPr>
          <w:rFonts w:hint="eastAsia"/>
          <w:b/>
          <w:kern w:val="0"/>
        </w:rPr>
        <w:t>三、重要提</w:t>
      </w:r>
      <w:r>
        <w:rPr>
          <w:rFonts w:hint="eastAsia"/>
          <w:b/>
          <w:kern w:val="0"/>
        </w:rPr>
        <w:t>示</w:t>
      </w:r>
    </w:p>
    <w:p w:rsidR="00000000" w:rsidRDefault="005C7EA3">
      <w:pPr>
        <w:pStyle w:val="ac"/>
        <w:spacing w:line="360" w:lineRule="auto"/>
        <w:ind w:firstLineChars="202" w:firstLine="424"/>
        <w:rPr>
          <w:rFonts w:ascii="宋体" w:hAnsi="宋体" w:cs="宋体"/>
          <w:kern w:val="0"/>
          <w:szCs w:val="21"/>
        </w:rPr>
      </w:pPr>
      <w:r>
        <w:rPr>
          <w:rFonts w:ascii="宋体" w:hAnsi="宋体" w:cs="宋体" w:hint="eastAsia"/>
          <w:kern w:val="0"/>
          <w:szCs w:val="21"/>
        </w:rPr>
        <w:t>1</w:t>
      </w:r>
      <w:r>
        <w:rPr>
          <w:rFonts w:ascii="宋体" w:hAnsi="宋体" w:cs="宋体" w:hint="eastAsia"/>
          <w:kern w:val="0"/>
          <w:szCs w:val="21"/>
        </w:rPr>
        <w:t>、本次费率优惠活动仅适用于本公司在</w:t>
      </w:r>
      <w:r>
        <w:rPr>
          <w:rFonts w:ascii="宋体" w:hAnsi="宋体" w:cs="宋体" w:hint="eastAsia"/>
          <w:kern w:val="0"/>
          <w:szCs w:val="21"/>
        </w:rPr>
        <w:t>国金证券</w:t>
      </w:r>
      <w:r>
        <w:rPr>
          <w:rFonts w:ascii="宋体" w:hAnsi="宋体" w:cs="宋体" w:hint="eastAsia"/>
          <w:kern w:val="0"/>
          <w:szCs w:val="21"/>
        </w:rPr>
        <w:t>销售的处于正常申购期的采用前端收费模式的指定开放式基金的申购、定期定额投资业务费用，不包括后端收费模式的认购、申购、定期定额投资费用以及认购、赎回</w:t>
      </w:r>
      <w:r>
        <w:rPr>
          <w:rFonts w:ascii="宋体" w:hAnsi="宋体" w:cs="宋体" w:hint="eastAsia"/>
          <w:kern w:val="0"/>
          <w:szCs w:val="21"/>
        </w:rPr>
        <w:t>、转换</w:t>
      </w:r>
      <w:r>
        <w:rPr>
          <w:rFonts w:ascii="宋体" w:hAnsi="宋体" w:cs="宋体" w:hint="eastAsia"/>
          <w:kern w:val="0"/>
          <w:szCs w:val="21"/>
        </w:rPr>
        <w:t>等其他业务的费用。</w:t>
      </w:r>
    </w:p>
    <w:p w:rsidR="00000000" w:rsidRDefault="005C7EA3">
      <w:pPr>
        <w:pStyle w:val="ac"/>
        <w:spacing w:line="360" w:lineRule="auto"/>
        <w:ind w:firstLineChars="202" w:firstLine="424"/>
        <w:rPr>
          <w:rFonts w:ascii="宋体" w:hAnsi="宋体" w:cs="宋体"/>
          <w:kern w:val="0"/>
          <w:szCs w:val="21"/>
        </w:rPr>
      </w:pPr>
      <w:r>
        <w:rPr>
          <w:rFonts w:ascii="宋体" w:hAnsi="宋体" w:cs="宋体" w:hint="eastAsia"/>
          <w:kern w:val="0"/>
          <w:szCs w:val="21"/>
        </w:rPr>
        <w:t>2</w:t>
      </w:r>
      <w:r>
        <w:rPr>
          <w:rFonts w:ascii="宋体" w:hAnsi="宋体" w:cs="宋体" w:hint="eastAsia"/>
          <w:kern w:val="0"/>
          <w:szCs w:val="21"/>
        </w:rPr>
        <w:t>、费率优惠活动期间，具体业务办理流程以</w:t>
      </w:r>
      <w:r>
        <w:rPr>
          <w:rFonts w:ascii="宋体" w:hAnsi="宋体" w:cs="宋体" w:hint="eastAsia"/>
          <w:kern w:val="0"/>
          <w:szCs w:val="21"/>
        </w:rPr>
        <w:t>国金证券</w:t>
      </w:r>
      <w:r>
        <w:rPr>
          <w:rFonts w:ascii="宋体" w:hAnsi="宋体" w:cs="宋体" w:hint="eastAsia"/>
          <w:kern w:val="0"/>
          <w:szCs w:val="21"/>
        </w:rPr>
        <w:t>的规定为准。投资者欲了解基金产品的详细情况，请仔细阅读基金的基金合同、招募说明书等法律文件。</w:t>
      </w:r>
    </w:p>
    <w:p w:rsidR="00000000" w:rsidRDefault="005C7EA3">
      <w:pPr>
        <w:pStyle w:val="ac"/>
        <w:spacing w:line="360" w:lineRule="auto"/>
        <w:ind w:firstLineChars="202" w:firstLine="424"/>
        <w:rPr>
          <w:rFonts w:ascii="宋体" w:hAnsi="宋体" w:cs="宋体"/>
          <w:kern w:val="0"/>
          <w:szCs w:val="21"/>
        </w:rPr>
      </w:pPr>
      <w:r>
        <w:rPr>
          <w:rFonts w:ascii="宋体" w:hAnsi="宋体" w:cs="宋体" w:hint="eastAsia"/>
          <w:kern w:val="0"/>
          <w:szCs w:val="21"/>
        </w:rPr>
        <w:t>3</w:t>
      </w:r>
      <w:r>
        <w:rPr>
          <w:rFonts w:ascii="宋体" w:hAnsi="宋体" w:cs="宋体" w:hint="eastAsia"/>
          <w:kern w:val="0"/>
          <w:szCs w:val="21"/>
        </w:rPr>
        <w:t>、本次费率优惠活动解释权归</w:t>
      </w:r>
      <w:r>
        <w:rPr>
          <w:rFonts w:ascii="宋体" w:hAnsi="宋体" w:cs="宋体" w:hint="eastAsia"/>
          <w:kern w:val="0"/>
          <w:szCs w:val="21"/>
        </w:rPr>
        <w:t>国金证券</w:t>
      </w:r>
      <w:r>
        <w:rPr>
          <w:rFonts w:ascii="宋体" w:hAnsi="宋体" w:cs="宋体" w:hint="eastAsia"/>
          <w:kern w:val="0"/>
          <w:szCs w:val="21"/>
        </w:rPr>
        <w:t>所有，有关费率优惠活动的具体规定如有变化，</w:t>
      </w:r>
      <w:r>
        <w:rPr>
          <w:rFonts w:ascii="宋体" w:hAnsi="宋体" w:cs="宋体" w:hint="eastAsia"/>
          <w:kern w:val="0"/>
          <w:szCs w:val="21"/>
        </w:rPr>
        <w:lastRenderedPageBreak/>
        <w:t>敬请投资者留意</w:t>
      </w:r>
      <w:r>
        <w:rPr>
          <w:rFonts w:ascii="宋体" w:hAnsi="宋体" w:cs="宋体" w:hint="eastAsia"/>
          <w:kern w:val="0"/>
          <w:szCs w:val="21"/>
        </w:rPr>
        <w:t>国金证券</w:t>
      </w:r>
      <w:r>
        <w:rPr>
          <w:rFonts w:ascii="宋体" w:hAnsi="宋体" w:cs="宋体" w:hint="eastAsia"/>
          <w:kern w:val="0"/>
          <w:szCs w:val="21"/>
        </w:rPr>
        <w:t>的有关公告。</w:t>
      </w:r>
    </w:p>
    <w:p w:rsidR="00000000" w:rsidRDefault="005C7EA3">
      <w:pPr>
        <w:spacing w:line="360" w:lineRule="auto"/>
        <w:ind w:firstLineChars="200" w:firstLine="422"/>
        <w:jc w:val="left"/>
        <w:rPr>
          <w:rFonts w:ascii="宋体" w:hAnsi="宋体" w:cs="宋体"/>
          <w:b/>
          <w:kern w:val="0"/>
          <w:szCs w:val="21"/>
        </w:rPr>
      </w:pPr>
      <w:r>
        <w:rPr>
          <w:rFonts w:ascii="宋体" w:hAnsi="宋体" w:cs="宋体" w:hint="eastAsia"/>
          <w:b/>
          <w:kern w:val="0"/>
          <w:szCs w:val="21"/>
        </w:rPr>
        <w:t>四、投资者可通过以下途径咨询有关详情</w:t>
      </w:r>
    </w:p>
    <w:p w:rsidR="00000000" w:rsidRDefault="005C7EA3">
      <w:pPr>
        <w:pStyle w:val="ac"/>
        <w:spacing w:line="360" w:lineRule="auto"/>
        <w:ind w:firstLineChars="202" w:firstLine="424"/>
        <w:rPr>
          <w:rFonts w:ascii="宋体" w:hAnsi="宋体" w:cs="宋体" w:hint="eastAsia"/>
          <w:kern w:val="0"/>
          <w:szCs w:val="21"/>
        </w:rPr>
      </w:pPr>
      <w:r>
        <w:rPr>
          <w:rFonts w:ascii="宋体" w:hAnsi="宋体" w:cs="宋体" w:hint="eastAsia"/>
          <w:kern w:val="0"/>
          <w:szCs w:val="21"/>
        </w:rPr>
        <w:t>1</w:t>
      </w:r>
      <w:r>
        <w:rPr>
          <w:rFonts w:ascii="宋体" w:hAnsi="宋体" w:cs="宋体" w:hint="eastAsia"/>
          <w:kern w:val="0"/>
          <w:szCs w:val="21"/>
        </w:rPr>
        <w:t>、</w:t>
      </w:r>
      <w:r>
        <w:rPr>
          <w:rFonts w:ascii="宋体" w:hAnsi="宋体" w:cs="宋体" w:hint="eastAsia"/>
          <w:kern w:val="0"/>
          <w:szCs w:val="21"/>
        </w:rPr>
        <w:t>国金证券股份有限公司</w:t>
      </w:r>
    </w:p>
    <w:p w:rsidR="00000000" w:rsidRDefault="005C7EA3">
      <w:pPr>
        <w:pStyle w:val="ac"/>
        <w:spacing w:line="360" w:lineRule="auto"/>
        <w:ind w:firstLineChars="202" w:firstLine="424"/>
        <w:rPr>
          <w:rFonts w:ascii="宋体" w:hAnsi="宋体" w:cs="宋体" w:hint="eastAsia"/>
          <w:kern w:val="0"/>
          <w:szCs w:val="21"/>
        </w:rPr>
      </w:pPr>
      <w:r>
        <w:rPr>
          <w:rFonts w:ascii="宋体" w:hAnsi="宋体" w:cs="宋体" w:hint="eastAsia"/>
          <w:kern w:val="0"/>
          <w:szCs w:val="21"/>
        </w:rPr>
        <w:t>客服电话：</w:t>
      </w:r>
      <w:r>
        <w:rPr>
          <w:rFonts w:ascii="宋体" w:hAnsi="宋体" w:cs="宋体" w:hint="eastAsia"/>
          <w:kern w:val="0"/>
          <w:szCs w:val="21"/>
        </w:rPr>
        <w:t>95310</w:t>
      </w:r>
    </w:p>
    <w:p w:rsidR="00000000" w:rsidRDefault="005C7EA3">
      <w:pPr>
        <w:pStyle w:val="ac"/>
        <w:spacing w:line="360" w:lineRule="auto"/>
        <w:ind w:firstLineChars="202" w:firstLine="424"/>
        <w:rPr>
          <w:rFonts w:ascii="宋体" w:hAnsi="宋体" w:cs="宋体"/>
          <w:kern w:val="0"/>
          <w:szCs w:val="21"/>
        </w:rPr>
      </w:pPr>
      <w:r>
        <w:rPr>
          <w:rFonts w:ascii="宋体" w:hAnsi="宋体" w:cs="宋体" w:hint="eastAsia"/>
          <w:kern w:val="0"/>
          <w:szCs w:val="21"/>
        </w:rPr>
        <w:t>网址：</w:t>
      </w:r>
      <w:r>
        <w:rPr>
          <w:rFonts w:ascii="宋体" w:hAnsi="宋体" w:cs="宋体" w:hint="eastAsia"/>
          <w:kern w:val="0"/>
          <w:szCs w:val="21"/>
        </w:rPr>
        <w:t>www.gjzq.com.cn</w:t>
      </w:r>
    </w:p>
    <w:p w:rsidR="00000000" w:rsidRDefault="005C7EA3">
      <w:pPr>
        <w:pStyle w:val="ac"/>
        <w:spacing w:line="360" w:lineRule="auto"/>
        <w:ind w:firstLineChars="202" w:firstLine="424"/>
        <w:rPr>
          <w:rFonts w:ascii="宋体" w:hAnsi="宋体" w:cs="宋体"/>
          <w:kern w:val="0"/>
          <w:szCs w:val="21"/>
        </w:rPr>
      </w:pPr>
      <w:r>
        <w:rPr>
          <w:rFonts w:ascii="宋体" w:hAnsi="宋体" w:cs="宋体"/>
          <w:kern w:val="0"/>
          <w:szCs w:val="21"/>
        </w:rPr>
        <w:t>2</w:t>
      </w:r>
      <w:r>
        <w:rPr>
          <w:rFonts w:ascii="宋体" w:hAnsi="宋体" w:cs="宋体" w:hint="eastAsia"/>
          <w:kern w:val="0"/>
          <w:szCs w:val="21"/>
        </w:rPr>
        <w:t>、长江证券（上海）资产管理有限公司</w:t>
      </w:r>
    </w:p>
    <w:p w:rsidR="00000000" w:rsidRDefault="005C7EA3">
      <w:pPr>
        <w:pStyle w:val="ac"/>
        <w:spacing w:line="360" w:lineRule="auto"/>
        <w:ind w:firstLineChars="202" w:firstLine="424"/>
        <w:rPr>
          <w:rFonts w:ascii="宋体" w:hAnsi="宋体" w:cs="宋体"/>
          <w:kern w:val="0"/>
          <w:szCs w:val="21"/>
        </w:rPr>
      </w:pPr>
      <w:r>
        <w:rPr>
          <w:rFonts w:ascii="宋体" w:hAnsi="宋体" w:cs="宋体" w:hint="eastAsia"/>
          <w:kern w:val="0"/>
          <w:szCs w:val="21"/>
        </w:rPr>
        <w:t>客服电话：</w:t>
      </w:r>
      <w:r>
        <w:rPr>
          <w:rFonts w:ascii="宋体" w:hAnsi="宋体" w:cs="宋体"/>
          <w:kern w:val="0"/>
          <w:szCs w:val="21"/>
        </w:rPr>
        <w:t>4001-166-866</w:t>
      </w:r>
    </w:p>
    <w:p w:rsidR="00000000" w:rsidRDefault="005C7EA3">
      <w:pPr>
        <w:pStyle w:val="ac"/>
        <w:spacing w:line="360" w:lineRule="auto"/>
        <w:ind w:firstLineChars="202" w:firstLine="424"/>
        <w:rPr>
          <w:rFonts w:ascii="宋体" w:hAnsi="宋体" w:cs="宋体"/>
          <w:kern w:val="0"/>
          <w:szCs w:val="21"/>
        </w:rPr>
      </w:pPr>
      <w:r>
        <w:rPr>
          <w:rFonts w:ascii="宋体" w:hAnsi="宋体" w:cs="宋体" w:hint="eastAsia"/>
          <w:kern w:val="0"/>
          <w:szCs w:val="21"/>
        </w:rPr>
        <w:t>网址：</w:t>
      </w:r>
      <w:hyperlink r:id="rId4" w:history="1">
        <w:r>
          <w:rPr>
            <w:rFonts w:ascii="宋体" w:hAnsi="宋体" w:cs="宋体" w:hint="eastAsia"/>
            <w:kern w:val="0"/>
            <w:szCs w:val="21"/>
          </w:rPr>
          <w:t>www.cjzcgl.com</w:t>
        </w:r>
      </w:hyperlink>
    </w:p>
    <w:p w:rsidR="00000000" w:rsidRDefault="005C7EA3">
      <w:pPr>
        <w:spacing w:line="360" w:lineRule="auto"/>
        <w:ind w:firstLineChars="200" w:firstLine="422"/>
        <w:jc w:val="left"/>
        <w:rPr>
          <w:rFonts w:ascii="宋体" w:hAnsi="宋体" w:cs="宋体"/>
          <w:b/>
          <w:kern w:val="0"/>
          <w:szCs w:val="21"/>
        </w:rPr>
      </w:pPr>
      <w:r>
        <w:rPr>
          <w:rFonts w:ascii="宋体" w:hAnsi="宋体" w:cs="宋体" w:hint="eastAsia"/>
          <w:b/>
          <w:kern w:val="0"/>
          <w:szCs w:val="21"/>
        </w:rPr>
        <w:t>五、</w:t>
      </w:r>
      <w:r>
        <w:rPr>
          <w:rFonts w:ascii="宋体" w:hAnsi="宋体" w:cs="宋体"/>
          <w:b/>
          <w:kern w:val="0"/>
          <w:szCs w:val="21"/>
        </w:rPr>
        <w:t>风险提示</w:t>
      </w:r>
    </w:p>
    <w:p w:rsidR="00000000" w:rsidRDefault="005C7EA3">
      <w:pPr>
        <w:spacing w:line="360" w:lineRule="auto"/>
        <w:ind w:firstLineChars="200" w:firstLine="420"/>
        <w:jc w:val="left"/>
        <w:rPr>
          <w:rFonts w:ascii="宋体" w:hAnsi="宋体" w:cs="宋体"/>
          <w:kern w:val="0"/>
          <w:szCs w:val="21"/>
        </w:rPr>
      </w:pPr>
      <w:r>
        <w:rPr>
          <w:rFonts w:ascii="宋体" w:hAnsi="宋体" w:cs="宋体" w:hint="eastAsia"/>
          <w:kern w:val="0"/>
          <w:szCs w:val="21"/>
        </w:rPr>
        <w:t>本</w:t>
      </w:r>
      <w:r>
        <w:rPr>
          <w:rFonts w:ascii="宋体" w:hAnsi="宋体" w:cs="宋体"/>
          <w:kern w:val="0"/>
          <w:szCs w:val="21"/>
        </w:rPr>
        <w:t>基金管理人承诺以诚实信用、勤勉尽责的原则管理和运用基金资产，但不保证基金一定盈利，也不保证最低收益。投资者投资基金时应认真阅读基金合同</w:t>
      </w:r>
      <w:r>
        <w:rPr>
          <w:rFonts w:ascii="宋体" w:hAnsi="宋体" w:cs="宋体" w:hint="eastAsia"/>
          <w:kern w:val="0"/>
          <w:szCs w:val="21"/>
        </w:rPr>
        <w:t>和</w:t>
      </w:r>
      <w:r>
        <w:rPr>
          <w:rFonts w:ascii="宋体" w:hAnsi="宋体" w:cs="宋体"/>
          <w:kern w:val="0"/>
          <w:szCs w:val="21"/>
        </w:rPr>
        <w:t>招募说明书。敬请投资者</w:t>
      </w:r>
      <w:r>
        <w:rPr>
          <w:rFonts w:ascii="宋体" w:hAnsi="宋体" w:cs="宋体" w:hint="eastAsia"/>
          <w:kern w:val="0"/>
          <w:szCs w:val="21"/>
        </w:rPr>
        <w:t>注意</w:t>
      </w:r>
      <w:r>
        <w:rPr>
          <w:rFonts w:ascii="宋体" w:hAnsi="宋体" w:cs="宋体"/>
          <w:kern w:val="0"/>
          <w:szCs w:val="21"/>
        </w:rPr>
        <w:t>投资风险。</w:t>
      </w:r>
    </w:p>
    <w:p w:rsidR="00000000" w:rsidRDefault="005C7EA3">
      <w:pPr>
        <w:spacing w:line="360" w:lineRule="auto"/>
        <w:ind w:firstLineChars="200" w:firstLine="420"/>
        <w:jc w:val="left"/>
        <w:rPr>
          <w:rFonts w:ascii="宋体" w:hAnsi="宋体" w:cs="宋体"/>
          <w:kern w:val="0"/>
          <w:szCs w:val="21"/>
        </w:rPr>
      </w:pPr>
      <w:r>
        <w:rPr>
          <w:rFonts w:ascii="宋体" w:hAnsi="宋体" w:cs="宋体" w:hint="eastAsia"/>
          <w:kern w:val="0"/>
          <w:szCs w:val="21"/>
        </w:rPr>
        <w:t>特此公告。</w:t>
      </w:r>
      <w:r>
        <w:rPr>
          <w:rFonts w:ascii="宋体" w:hAnsi="宋体" w:cs="宋体" w:hint="eastAsia"/>
          <w:kern w:val="0"/>
          <w:szCs w:val="21"/>
        </w:rPr>
        <w:t xml:space="preserve"> </w:t>
      </w:r>
    </w:p>
    <w:p w:rsidR="00000000" w:rsidRDefault="005C7EA3">
      <w:pPr>
        <w:pStyle w:val="ac"/>
        <w:spacing w:line="360" w:lineRule="auto"/>
        <w:ind w:firstLineChars="202" w:firstLine="424"/>
        <w:rPr>
          <w:rFonts w:ascii="宋体" w:hAnsi="宋体" w:cs="宋体"/>
          <w:kern w:val="0"/>
          <w:szCs w:val="21"/>
        </w:rPr>
      </w:pPr>
    </w:p>
    <w:p w:rsidR="00000000" w:rsidRDefault="005C7EA3">
      <w:pPr>
        <w:spacing w:line="360" w:lineRule="auto"/>
        <w:ind w:firstLineChars="200" w:firstLine="420"/>
        <w:jc w:val="right"/>
        <w:rPr>
          <w:rFonts w:ascii="宋体" w:hAnsi="宋体" w:cs="宋体"/>
          <w:kern w:val="0"/>
          <w:szCs w:val="21"/>
        </w:rPr>
      </w:pPr>
      <w:r>
        <w:rPr>
          <w:rFonts w:ascii="宋体" w:hAnsi="宋体" w:cs="宋体"/>
          <w:kern w:val="0"/>
          <w:szCs w:val="21"/>
        </w:rPr>
        <w:t>长江证券（上海）资产管理有限公司</w:t>
      </w:r>
    </w:p>
    <w:p w:rsidR="00000000" w:rsidRDefault="005C7EA3">
      <w:pPr>
        <w:wordWrap w:val="0"/>
        <w:spacing w:line="360" w:lineRule="auto"/>
        <w:ind w:firstLineChars="200" w:firstLine="420"/>
        <w:jc w:val="right"/>
        <w:rPr>
          <w:rFonts w:ascii="宋体" w:hAnsi="宋体" w:cs="宋体" w:hint="eastAsia"/>
          <w:kern w:val="0"/>
          <w:szCs w:val="21"/>
        </w:rPr>
      </w:pPr>
      <w:r>
        <w:rPr>
          <w:rFonts w:ascii="宋体" w:hAnsi="宋体" w:cs="宋体" w:hint="eastAsia"/>
          <w:kern w:val="0"/>
          <w:szCs w:val="21"/>
        </w:rPr>
        <w:t>二〇二</w:t>
      </w:r>
      <w:r>
        <w:rPr>
          <w:rFonts w:ascii="宋体" w:hAnsi="宋体" w:cs="宋体" w:hint="eastAsia"/>
          <w:kern w:val="0"/>
          <w:szCs w:val="21"/>
        </w:rPr>
        <w:t>三</w:t>
      </w:r>
      <w:r>
        <w:rPr>
          <w:rFonts w:ascii="宋体" w:hAnsi="宋体" w:cs="宋体" w:hint="eastAsia"/>
          <w:kern w:val="0"/>
          <w:szCs w:val="21"/>
        </w:rPr>
        <w:t>年</w:t>
      </w:r>
      <w:r>
        <w:rPr>
          <w:rFonts w:ascii="宋体" w:hAnsi="宋体" w:cs="宋体" w:hint="eastAsia"/>
          <w:kern w:val="0"/>
          <w:szCs w:val="21"/>
        </w:rPr>
        <w:t>八</w:t>
      </w:r>
      <w:r>
        <w:rPr>
          <w:rFonts w:ascii="宋体" w:hAnsi="宋体" w:cs="宋体" w:hint="eastAsia"/>
          <w:kern w:val="0"/>
          <w:szCs w:val="21"/>
        </w:rPr>
        <w:t>月</w:t>
      </w:r>
      <w:r>
        <w:rPr>
          <w:rFonts w:ascii="宋体" w:hAnsi="宋体" w:cs="宋体" w:hint="eastAsia"/>
          <w:kern w:val="0"/>
          <w:szCs w:val="21"/>
        </w:rPr>
        <w:t>十五</w:t>
      </w:r>
      <w:r>
        <w:rPr>
          <w:rFonts w:ascii="宋体" w:hAnsi="宋体" w:cs="宋体" w:hint="eastAsia"/>
          <w:kern w:val="0"/>
          <w:szCs w:val="21"/>
        </w:rPr>
        <w:t>日</w:t>
      </w:r>
    </w:p>
    <w:p w:rsidR="00000000" w:rsidRDefault="005C7EA3">
      <w:pPr>
        <w:pStyle w:val="ac"/>
        <w:spacing w:line="360" w:lineRule="auto"/>
        <w:ind w:firstLineChars="202" w:firstLine="424"/>
        <w:rPr>
          <w:rFonts w:ascii="宋体" w:hAnsi="宋体" w:cs="宋体" w:hint="eastAsia"/>
          <w:kern w:val="0"/>
          <w:szCs w:val="21"/>
        </w:rPr>
      </w:pPr>
    </w:p>
    <w:sectPr w:rsidR="00000000">
      <w:pgSz w:w="11906" w:h="16838"/>
      <w:pgMar w:top="1440" w:right="1800" w:bottom="1440" w:left="1800" w:header="851" w:footer="992" w:gutter="0"/>
      <w:cols w:space="72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等线 Light">
    <w:altName w:val="宋体"/>
    <w:charset w:val="86"/>
    <w:family w:val="auto"/>
    <w:pitch w:val="default"/>
    <w:sig w:usb0="A00002BF" w:usb1="38CF7CFA" w:usb2="00000016" w:usb3="00000000" w:csb0="0004000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oNotTrackMoves/>
  <w:defaultTabStop w:val="420"/>
  <w:drawingGridVerticalSpacing w:val="156"/>
  <w:noPunctuationKerning/>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commondata" w:val="eyJoZGlkIjoiZmRlMzcwM2Y3N2I1M2VhY2YzNzU5MDUwMGNjMjA0NzgifQ=="/>
  </w:docVars>
  <w:rsids>
    <w:rsidRoot w:val="00172A27"/>
    <w:rsid w:val="00076248"/>
    <w:rsid w:val="000870A6"/>
    <w:rsid w:val="00091F4B"/>
    <w:rsid w:val="000B1995"/>
    <w:rsid w:val="00102EF7"/>
    <w:rsid w:val="0011107B"/>
    <w:rsid w:val="0014172F"/>
    <w:rsid w:val="0015137E"/>
    <w:rsid w:val="00194BEF"/>
    <w:rsid w:val="001A06FB"/>
    <w:rsid w:val="001B6A59"/>
    <w:rsid w:val="001C6247"/>
    <w:rsid w:val="001E48D8"/>
    <w:rsid w:val="001F5487"/>
    <w:rsid w:val="00200A0C"/>
    <w:rsid w:val="00207F8F"/>
    <w:rsid w:val="00211F5B"/>
    <w:rsid w:val="00217058"/>
    <w:rsid w:val="0025579F"/>
    <w:rsid w:val="00266389"/>
    <w:rsid w:val="002A0BB8"/>
    <w:rsid w:val="002B2B8B"/>
    <w:rsid w:val="0031100F"/>
    <w:rsid w:val="0031782C"/>
    <w:rsid w:val="00320B29"/>
    <w:rsid w:val="00360215"/>
    <w:rsid w:val="00364972"/>
    <w:rsid w:val="003921E8"/>
    <w:rsid w:val="003C56B8"/>
    <w:rsid w:val="004865C4"/>
    <w:rsid w:val="004A44EF"/>
    <w:rsid w:val="004E60B4"/>
    <w:rsid w:val="00510E46"/>
    <w:rsid w:val="00521026"/>
    <w:rsid w:val="00532F4C"/>
    <w:rsid w:val="00585DF5"/>
    <w:rsid w:val="005929F6"/>
    <w:rsid w:val="00595970"/>
    <w:rsid w:val="005C5699"/>
    <w:rsid w:val="005C7EA3"/>
    <w:rsid w:val="005F0C82"/>
    <w:rsid w:val="005F112C"/>
    <w:rsid w:val="00625F32"/>
    <w:rsid w:val="006558C3"/>
    <w:rsid w:val="006652FA"/>
    <w:rsid w:val="006665B8"/>
    <w:rsid w:val="006A28FB"/>
    <w:rsid w:val="006B0F52"/>
    <w:rsid w:val="006B4E7C"/>
    <w:rsid w:val="006C6DA4"/>
    <w:rsid w:val="006D0BF6"/>
    <w:rsid w:val="006E4396"/>
    <w:rsid w:val="007020E6"/>
    <w:rsid w:val="00723646"/>
    <w:rsid w:val="0072597B"/>
    <w:rsid w:val="00732E60"/>
    <w:rsid w:val="0075156E"/>
    <w:rsid w:val="00754EA4"/>
    <w:rsid w:val="00792051"/>
    <w:rsid w:val="007942E9"/>
    <w:rsid w:val="007B2B0A"/>
    <w:rsid w:val="007E7973"/>
    <w:rsid w:val="00831443"/>
    <w:rsid w:val="00832EF0"/>
    <w:rsid w:val="00836C11"/>
    <w:rsid w:val="00876972"/>
    <w:rsid w:val="00891335"/>
    <w:rsid w:val="008919AD"/>
    <w:rsid w:val="008B25B5"/>
    <w:rsid w:val="008B395F"/>
    <w:rsid w:val="00901CE9"/>
    <w:rsid w:val="009332CB"/>
    <w:rsid w:val="00935F80"/>
    <w:rsid w:val="009464BF"/>
    <w:rsid w:val="0096347B"/>
    <w:rsid w:val="009969E0"/>
    <w:rsid w:val="0099713A"/>
    <w:rsid w:val="009A3800"/>
    <w:rsid w:val="009C557D"/>
    <w:rsid w:val="009F25C6"/>
    <w:rsid w:val="00A559B9"/>
    <w:rsid w:val="00A93F2F"/>
    <w:rsid w:val="00AB62A9"/>
    <w:rsid w:val="00B4015F"/>
    <w:rsid w:val="00BC1862"/>
    <w:rsid w:val="00BE09D4"/>
    <w:rsid w:val="00C20A5B"/>
    <w:rsid w:val="00C212FD"/>
    <w:rsid w:val="00C23D20"/>
    <w:rsid w:val="00C411D7"/>
    <w:rsid w:val="00C42F4A"/>
    <w:rsid w:val="00CB212C"/>
    <w:rsid w:val="00CB40EC"/>
    <w:rsid w:val="00CB5062"/>
    <w:rsid w:val="00CC1CD2"/>
    <w:rsid w:val="00CC5318"/>
    <w:rsid w:val="00CD69F8"/>
    <w:rsid w:val="00CE3A76"/>
    <w:rsid w:val="00D17EF3"/>
    <w:rsid w:val="00D24BEC"/>
    <w:rsid w:val="00D82614"/>
    <w:rsid w:val="00DC4444"/>
    <w:rsid w:val="00DE37C0"/>
    <w:rsid w:val="00E72AFE"/>
    <w:rsid w:val="00E77261"/>
    <w:rsid w:val="00E94F2E"/>
    <w:rsid w:val="00EC6619"/>
    <w:rsid w:val="00ED287C"/>
    <w:rsid w:val="00EF7940"/>
    <w:rsid w:val="00F03967"/>
    <w:rsid w:val="00F31041"/>
    <w:rsid w:val="00F51F63"/>
    <w:rsid w:val="00F607E3"/>
    <w:rsid w:val="00F73242"/>
    <w:rsid w:val="00F86159"/>
    <w:rsid w:val="00FB2BE7"/>
    <w:rsid w:val="00FD7EE5"/>
    <w:rsid w:val="00FE2C67"/>
    <w:rsid w:val="0162720C"/>
    <w:rsid w:val="08904B89"/>
    <w:rsid w:val="08C772E1"/>
    <w:rsid w:val="0AB66C51"/>
    <w:rsid w:val="10F76192"/>
    <w:rsid w:val="13327EE4"/>
    <w:rsid w:val="137D5A26"/>
    <w:rsid w:val="152B6E9B"/>
    <w:rsid w:val="16E9760D"/>
    <w:rsid w:val="18C567B3"/>
    <w:rsid w:val="1A1B77AF"/>
    <w:rsid w:val="1C0618A3"/>
    <w:rsid w:val="1D8A0CF1"/>
    <w:rsid w:val="1F1F5D35"/>
    <w:rsid w:val="208764E5"/>
    <w:rsid w:val="21573016"/>
    <w:rsid w:val="21C23C2D"/>
    <w:rsid w:val="25C24862"/>
    <w:rsid w:val="29BC6D82"/>
    <w:rsid w:val="2AC34561"/>
    <w:rsid w:val="2B9A3466"/>
    <w:rsid w:val="2E4835C1"/>
    <w:rsid w:val="33FD3444"/>
    <w:rsid w:val="33FF78EE"/>
    <w:rsid w:val="3440762B"/>
    <w:rsid w:val="356A22C1"/>
    <w:rsid w:val="36FD3B95"/>
    <w:rsid w:val="3A4A4770"/>
    <w:rsid w:val="3CE76A82"/>
    <w:rsid w:val="3E8D54A0"/>
    <w:rsid w:val="409469FE"/>
    <w:rsid w:val="417206ED"/>
    <w:rsid w:val="44252E8A"/>
    <w:rsid w:val="49430321"/>
    <w:rsid w:val="4AF32A90"/>
    <w:rsid w:val="4C801850"/>
    <w:rsid w:val="4E173A66"/>
    <w:rsid w:val="4E90057F"/>
    <w:rsid w:val="50543843"/>
    <w:rsid w:val="5057605B"/>
    <w:rsid w:val="52EF39F8"/>
    <w:rsid w:val="54C9709D"/>
    <w:rsid w:val="58027C36"/>
    <w:rsid w:val="5ACA7319"/>
    <w:rsid w:val="5FE7348C"/>
    <w:rsid w:val="61811B1C"/>
    <w:rsid w:val="644150CC"/>
    <w:rsid w:val="64F07B8C"/>
    <w:rsid w:val="66D9306D"/>
    <w:rsid w:val="678D5019"/>
    <w:rsid w:val="681077EA"/>
    <w:rsid w:val="68A56E9C"/>
    <w:rsid w:val="69033353"/>
    <w:rsid w:val="6B2132D6"/>
    <w:rsid w:val="6B6579CC"/>
    <w:rsid w:val="71EA4D56"/>
    <w:rsid w:val="73A35C03"/>
    <w:rsid w:val="741836B6"/>
    <w:rsid w:val="75F962EB"/>
    <w:rsid w:val="78D64B76"/>
    <w:rsid w:val="7C74725D"/>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739cc3">
      <v:fill angle="90" type="gradient">
        <o:fill v:ext="view" type="gradientUnscaled"/>
      </v:fill>
      <v:stroke color="#739cc3" weight="1.25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lsdException w:name="header" w:semiHidden="0" w:uiPriority="0" w:unhideWhenUsed="0"/>
    <w:lsdException w:name="footer" w:semiHidden="0" w:uiPriority="0" w:unhideWhenUsed="0"/>
    <w:lsdException w:name="caption" w:uiPriority="35" w:qFormat="1"/>
    <w:lsdException w:name="annotation reference" w:semiHidden="0"/>
    <w:lsdException w:name="Title" w:semiHidden="0" w:uiPriority="10" w:unhideWhenUsed="0" w:qFormat="1"/>
    <w:lsdException w:name="Default Paragraph Font" w:semiHidden="0" w:uiPriority="0" w:unhideWhenUsed="0"/>
    <w:lsdException w:name="Subtitle" w:semiHidden="0" w:uiPriority="11" w:unhideWhenUsed="0" w:qFormat="1"/>
    <w:lsdException w:name="Hyperlink" w:semiHidden="0"/>
    <w:lsdException w:name="FollowedHyperlink" w:semiHidden="0"/>
    <w:lsdException w:name="Strong" w:semiHidden="0" w:uiPriority="22" w:unhideWhenUsed="0" w:qFormat="1"/>
    <w:lsdException w:name="Emphasis" w:semiHidden="0" w:uiPriority="20" w:unhideWhenUsed="0" w:qFormat="1"/>
    <w:lsdException w:name="Normal Table" w:semiHidden="0"/>
    <w:lsdException w:name="annotation subject" w:semiHidden="0"/>
    <w:lsdException w:name="Balloon Text" w:semiHidden="0"/>
    <w:lsdException w:name="Table Grid" w:semiHidden="0" w:uiPriority="39" w:unhideWhenUsed="0"/>
    <w:lsdException w:name="No Spacing" w:semiHidden="0"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0"/>
    <w:lsdException w:name="List Paragraph" w:semiHidden="0" w:uiPriority="34" w:unhideWhenUsed="0" w:qFormat="1"/>
    <w:lsdException w:name="Quote" w:semiHidden="0" w:unhideWhenUsed="0" w:qFormat="1"/>
    <w:lsdException w:name="Intense Quote" w:semiHidden="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rPr>
  </w:style>
  <w:style w:type="paragraph" w:styleId="1">
    <w:name w:val="heading 1"/>
    <w:basedOn w:val="a"/>
    <w:next w:val="a"/>
    <w:uiPriority w:val="9"/>
    <w:qFormat/>
    <w:pPr>
      <w:spacing w:before="100" w:beforeAutospacing="1" w:after="100" w:afterAutospacing="1"/>
      <w:jc w:val="left"/>
      <w:outlineLvl w:val="0"/>
    </w:pPr>
    <w:rPr>
      <w:rFonts w:ascii="宋体" w:hAnsi="宋体" w:hint="eastAsia"/>
      <w:b/>
      <w:kern w:val="44"/>
      <w:sz w:val="48"/>
      <w:szCs w:val="48"/>
    </w:rPr>
  </w:style>
  <w:style w:type="paragraph" w:styleId="2">
    <w:name w:val="heading 2"/>
    <w:basedOn w:val="a"/>
    <w:next w:val="a"/>
    <w:uiPriority w:val="9"/>
    <w:qFormat/>
    <w:pPr>
      <w:spacing w:before="100" w:beforeAutospacing="1" w:after="100" w:afterAutospacing="1"/>
      <w:jc w:val="left"/>
      <w:outlineLvl w:val="1"/>
    </w:pPr>
    <w:rPr>
      <w:rFonts w:ascii="宋体" w:hAnsi="宋体" w:hint="eastAsia"/>
      <w:b/>
      <w:kern w:val="0"/>
      <w:sz w:val="36"/>
      <w:szCs w:val="36"/>
    </w:rPr>
  </w:style>
  <w:style w:type="character" w:default="1" w:styleId="a0">
    <w:name w:val="Default Paragraph Font"/>
  </w:style>
  <w:style w:type="table" w:default="1" w:styleId="a1">
    <w:name w:val="Normal Table"/>
    <w:uiPriority w:val="99"/>
    <w:unhideWhenUsed/>
    <w:tblPr>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pPr>
      <w:jc w:val="left"/>
    </w:pPr>
  </w:style>
  <w:style w:type="character" w:customStyle="1" w:styleId="Char">
    <w:name w:val="批注文字 Char"/>
    <w:link w:val="a3"/>
    <w:uiPriority w:val="99"/>
    <w:semiHidden/>
    <w:rPr>
      <w:kern w:val="2"/>
      <w:sz w:val="21"/>
    </w:rPr>
  </w:style>
  <w:style w:type="paragraph" w:styleId="a4">
    <w:name w:val="Balloon Text"/>
    <w:basedOn w:val="a"/>
    <w:link w:val="Char0"/>
    <w:uiPriority w:val="99"/>
    <w:unhideWhenUsed/>
    <w:rPr>
      <w:sz w:val="18"/>
      <w:szCs w:val="18"/>
    </w:rPr>
  </w:style>
  <w:style w:type="character" w:customStyle="1" w:styleId="Char0">
    <w:name w:val="批注框文本 Char"/>
    <w:link w:val="a4"/>
    <w:uiPriority w:val="99"/>
    <w:semiHidden/>
    <w:rPr>
      <w:kern w:val="2"/>
      <w:sz w:val="18"/>
      <w:szCs w:val="18"/>
    </w:rPr>
  </w:style>
  <w:style w:type="paragraph" w:styleId="a5">
    <w:name w:val="footer"/>
    <w:basedOn w:val="a"/>
    <w:pPr>
      <w:tabs>
        <w:tab w:val="center" w:pos="4153"/>
        <w:tab w:val="right" w:pos="8306"/>
      </w:tabs>
      <w:snapToGrid w:val="0"/>
      <w:jc w:val="left"/>
    </w:pPr>
    <w:rPr>
      <w:sz w:val="18"/>
    </w:rPr>
  </w:style>
  <w:style w:type="paragraph" w:styleId="a6">
    <w:name w:val="header"/>
    <w:basedOn w:val="a"/>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Subtitle"/>
    <w:basedOn w:val="a"/>
    <w:next w:val="a"/>
    <w:link w:val="Char1"/>
    <w:uiPriority w:val="11"/>
    <w:qFormat/>
    <w:pPr>
      <w:spacing w:before="240" w:after="60" w:line="312" w:lineRule="auto"/>
      <w:jc w:val="center"/>
      <w:outlineLvl w:val="1"/>
    </w:pPr>
    <w:rPr>
      <w:rFonts w:ascii="等线 Light" w:hAnsi="等线 Light"/>
      <w:b/>
      <w:bCs/>
      <w:kern w:val="28"/>
      <w:sz w:val="32"/>
      <w:szCs w:val="32"/>
    </w:rPr>
  </w:style>
  <w:style w:type="character" w:customStyle="1" w:styleId="Char1">
    <w:name w:val="副标题 Char"/>
    <w:link w:val="a7"/>
    <w:uiPriority w:val="11"/>
    <w:rPr>
      <w:rFonts w:ascii="等线 Light" w:hAnsi="等线 Light" w:cs="Times New Roman"/>
      <w:b/>
      <w:bCs/>
      <w:kern w:val="28"/>
      <w:sz w:val="32"/>
      <w:szCs w:val="32"/>
    </w:rPr>
  </w:style>
  <w:style w:type="paragraph" w:styleId="a8">
    <w:name w:val="annotation subject"/>
    <w:basedOn w:val="a3"/>
    <w:next w:val="a3"/>
    <w:link w:val="Char2"/>
    <w:uiPriority w:val="99"/>
    <w:unhideWhenUsed/>
    <w:rPr>
      <w:b/>
      <w:bCs/>
    </w:rPr>
  </w:style>
  <w:style w:type="character" w:customStyle="1" w:styleId="Char2">
    <w:name w:val="批注主题 Char"/>
    <w:link w:val="a8"/>
    <w:uiPriority w:val="99"/>
    <w:semiHidden/>
    <w:rPr>
      <w:b/>
      <w:bCs/>
      <w:kern w:val="2"/>
      <w:sz w:val="21"/>
    </w:rPr>
  </w:style>
  <w:style w:type="character" w:styleId="a9">
    <w:name w:val="FollowedHyperlink"/>
    <w:uiPriority w:val="99"/>
    <w:unhideWhenUsed/>
    <w:rPr>
      <w:color w:val="003048"/>
      <w:u w:val="single"/>
    </w:rPr>
  </w:style>
  <w:style w:type="character" w:styleId="aa">
    <w:name w:val="Hyperlink"/>
    <w:uiPriority w:val="99"/>
    <w:unhideWhenUsed/>
    <w:rPr>
      <w:color w:val="0563C1"/>
      <w:u w:val="single"/>
    </w:rPr>
  </w:style>
  <w:style w:type="character" w:styleId="ab">
    <w:name w:val="annotation reference"/>
    <w:uiPriority w:val="99"/>
    <w:unhideWhenUsed/>
    <w:rPr>
      <w:sz w:val="21"/>
      <w:szCs w:val="21"/>
    </w:rPr>
  </w:style>
  <w:style w:type="paragraph" w:styleId="ac">
    <w:name w:val="List Paragraph"/>
    <w:basedOn w:val="a"/>
    <w:uiPriority w:val="34"/>
    <w:qFormat/>
    <w:pPr>
      <w:ind w:firstLineChars="200" w:firstLine="420"/>
    </w:pPr>
    <w:rPr>
      <w:rFonts w:ascii="Calibri" w:hAnsi="Calibri"/>
      <w:szCs w:val="22"/>
    </w:rPr>
  </w:style>
  <w:style w:type="paragraph" w:styleId="ad">
    <w:name w:val="Revision"/>
    <w:uiPriority w:val="99"/>
    <w:unhideWhenUsed/>
    <w:rPr>
      <w:kern w:val="2"/>
      <w:sz w:val="21"/>
    </w:rPr>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cjzcgl.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154</Words>
  <Characters>883</Characters>
  <Application>Microsoft Office Word</Application>
  <DocSecurity>4</DocSecurity>
  <PresentationFormat/>
  <Lines>7</Lines>
  <Paragraphs>2</Paragraphs>
  <Slides>0</Slides>
  <Notes>0</Notes>
  <HiddenSlides>0</HiddenSlides>
  <MMClips>0</MMClips>
  <ScaleCrop>false</ScaleCrop>
  <Manager/>
  <Company/>
  <LinksUpToDate>false</LinksUpToDate>
  <CharactersWithSpaces>1035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ZHONGM</cp:lastModifiedBy>
  <cp:revision>2</cp:revision>
  <dcterms:created xsi:type="dcterms:W3CDTF">2023-08-14T16:01:00Z</dcterms:created>
  <dcterms:modified xsi:type="dcterms:W3CDTF">2023-08-14T16:01:00Z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786BCEC4F1C94512BB313617CCE28DF6</vt:lpwstr>
  </property>
</Properties>
</file>