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FE3" w:rsidRDefault="00833A1F">
      <w:pPr>
        <w:pStyle w:val="1"/>
        <w:numPr>
          <w:ilvl w:val="0"/>
          <w:numId w:val="0"/>
        </w:numPr>
        <w:snapToGrid w:val="0"/>
        <w:spacing w:line="24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关于博时基金管理有限公司旗下部分基金新增德邦证券为申购、赎回代办券商的公告</w:t>
      </w:r>
    </w:p>
    <w:p w:rsidR="007E0FE3" w:rsidRDefault="007E0FE3">
      <w:pPr>
        <w:rPr>
          <w:rFonts w:ascii="楷体_GB2312" w:eastAsia="楷体_GB2312"/>
          <w:color w:val="000000"/>
          <w:sz w:val="24"/>
          <w:szCs w:val="24"/>
        </w:rPr>
      </w:pPr>
    </w:p>
    <w:p w:rsidR="007E0FE3" w:rsidRDefault="00833A1F">
      <w:pPr>
        <w:pStyle w:val="a7"/>
        <w:spacing w:before="0" w:beforeAutospacing="0" w:after="0" w:afterAutospacing="0" w:line="360" w:lineRule="auto"/>
        <w:ind w:firstLine="420"/>
      </w:pPr>
      <w:r>
        <w:rPr>
          <w:rFonts w:hint="eastAsia"/>
        </w:rPr>
        <w:t> </w:t>
      </w:r>
      <w:r>
        <w:rPr>
          <w:rFonts w:hint="eastAsia"/>
        </w:rPr>
        <w:t>由博时基金管理有限公司（以下简称“本公司”）申请，并经深圳证券交易所确认，自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日起，本公司旗下部分基金将新增德邦证券股份有限公司为场内申购、赎回业务的代办券商（以下简称“一级交易商”）。投资者可通过上述券商办理下述基金的场内申购、赎回等业务。具体基金如下：</w:t>
      </w:r>
      <w:r>
        <w:rPr>
          <w:rFonts w:hint="eastAsia"/>
        </w:rPr>
        <w:t> </w:t>
      </w:r>
    </w:p>
    <w:tbl>
      <w:tblPr>
        <w:tblW w:w="50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97"/>
        <w:gridCol w:w="4189"/>
        <w:gridCol w:w="2446"/>
        <w:gridCol w:w="2446"/>
      </w:tblGrid>
      <w:tr w:rsidR="007E0FE3"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序号</w:t>
            </w:r>
            <w:r>
              <w:rPr>
                <w:rFonts w:hint="eastAsia"/>
              </w:rPr>
              <w:t> </w:t>
            </w:r>
            <w:bookmarkStart w:id="0" w:name="_GoBack"/>
            <w:bookmarkEnd w:id="0"/>
          </w:p>
        </w:tc>
        <w:tc>
          <w:tcPr>
            <w:tcW w:w="2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基金名称</w:t>
            </w:r>
            <w:r>
              <w:rPr>
                <w:rFonts w:hint="eastAsi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基金简称</w:t>
            </w:r>
            <w:r>
              <w:rPr>
                <w:rFonts w:hint="eastAsia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基金代码</w:t>
            </w:r>
            <w:r>
              <w:rPr>
                <w:rFonts w:hint="eastAsia"/>
              </w:rPr>
              <w:t> </w:t>
            </w:r>
          </w:p>
        </w:tc>
      </w:tr>
      <w:tr w:rsidR="007E0FE3"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 </w:t>
            </w:r>
          </w:p>
        </w:tc>
        <w:tc>
          <w:tcPr>
            <w:tcW w:w="2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博时中证成渝地区双城经济圈成份交易型开放式指数证券投资基金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成渝经济圈</w:t>
            </w:r>
            <w:r>
              <w:rPr>
                <w:rFonts w:hint="eastAsia"/>
              </w:rPr>
              <w:t>ETF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159623 </w:t>
            </w:r>
          </w:p>
        </w:tc>
      </w:tr>
      <w:tr w:rsidR="007E0FE3"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2 </w:t>
            </w:r>
          </w:p>
        </w:tc>
        <w:tc>
          <w:tcPr>
            <w:tcW w:w="2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博时中证主要消费交易型开放式指数证券投资基金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主要消费</w:t>
            </w:r>
            <w:r>
              <w:rPr>
                <w:rFonts w:hint="eastAsia"/>
              </w:rPr>
              <w:t>ETF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159672 </w:t>
            </w:r>
          </w:p>
        </w:tc>
      </w:tr>
      <w:tr w:rsidR="007E0FE3"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3 </w:t>
            </w:r>
          </w:p>
        </w:tc>
        <w:tc>
          <w:tcPr>
            <w:tcW w:w="2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博时国证龙头家电交易型开放式指数证券投资基金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龙头家电</w:t>
            </w:r>
            <w:r>
              <w:rPr>
                <w:rFonts w:hint="eastAsia"/>
              </w:rPr>
              <w:t>ETF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159730 </w:t>
            </w:r>
          </w:p>
        </w:tc>
      </w:tr>
      <w:tr w:rsidR="007E0FE3"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4 </w:t>
            </w:r>
          </w:p>
        </w:tc>
        <w:tc>
          <w:tcPr>
            <w:tcW w:w="2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博时恒生科技交易型开放式指数证券投资基金</w:t>
            </w:r>
            <w:r>
              <w:rPr>
                <w:rFonts w:hint="eastAsia"/>
              </w:rPr>
              <w:t>(QDII)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恒生科技指数</w:t>
            </w:r>
            <w:r>
              <w:rPr>
                <w:rFonts w:hint="eastAsia"/>
              </w:rPr>
              <w:t>ETF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159742 </w:t>
            </w:r>
          </w:p>
        </w:tc>
      </w:tr>
      <w:tr w:rsidR="007E0FE3"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5 </w:t>
            </w:r>
          </w:p>
        </w:tc>
        <w:tc>
          <w:tcPr>
            <w:tcW w:w="2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博时中证湖北新旧动能转换交易型开放式指数证券投资基金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湖北</w:t>
            </w:r>
            <w:r>
              <w:rPr>
                <w:rFonts w:hint="eastAsia"/>
              </w:rPr>
              <w:t>ETF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159743 </w:t>
            </w:r>
          </w:p>
        </w:tc>
      </w:tr>
      <w:tr w:rsidR="007E0FE3"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6 </w:t>
            </w:r>
          </w:p>
        </w:tc>
        <w:tc>
          <w:tcPr>
            <w:tcW w:w="2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</w:t>
            </w:r>
            <w:r>
              <w:rPr>
                <w:rFonts w:hint="eastAsia"/>
              </w:rPr>
              <w:t>5G</w:t>
            </w:r>
            <w:r>
              <w:rPr>
                <w:rFonts w:hint="eastAsia"/>
              </w:rPr>
              <w:t>产业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5G50ETF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159811 </w:t>
            </w:r>
          </w:p>
        </w:tc>
      </w:tr>
      <w:tr w:rsidR="007E0FE3"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7 </w:t>
            </w:r>
          </w:p>
        </w:tc>
        <w:tc>
          <w:tcPr>
            <w:tcW w:w="2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博时中证新能源汽车交易型开放式指数证券投资基金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新能车</w:t>
            </w:r>
            <w:r>
              <w:rPr>
                <w:rFonts w:hint="eastAsia"/>
              </w:rPr>
              <w:t>ETF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159824 </w:t>
            </w:r>
          </w:p>
        </w:tc>
      </w:tr>
      <w:tr w:rsidR="007E0FE3"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8 </w:t>
            </w:r>
          </w:p>
        </w:tc>
        <w:tc>
          <w:tcPr>
            <w:tcW w:w="2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博时中证医药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医药</w:t>
            </w:r>
            <w:r>
              <w:rPr>
                <w:rFonts w:hint="eastAsia"/>
              </w:rPr>
              <w:t>ETF</w:t>
            </w:r>
            <w:r>
              <w:rPr>
                <w:rFonts w:hint="eastAsia"/>
              </w:rPr>
              <w:t>基金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159838 </w:t>
            </w:r>
          </w:p>
        </w:tc>
      </w:tr>
      <w:tr w:rsidR="007E0FE3"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9 </w:t>
            </w:r>
          </w:p>
        </w:tc>
        <w:tc>
          <w:tcPr>
            <w:tcW w:w="2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博时创业板交易型开放式指数证券投资基金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创业板</w:t>
            </w:r>
            <w:r>
              <w:rPr>
                <w:rFonts w:hint="eastAsia"/>
              </w:rPr>
              <w:t>ETF</w:t>
            </w:r>
            <w:r>
              <w:rPr>
                <w:rFonts w:hint="eastAsia"/>
              </w:rPr>
              <w:t>博时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159908 </w:t>
            </w:r>
          </w:p>
        </w:tc>
      </w:tr>
      <w:tr w:rsidR="007E0FE3"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10 </w:t>
            </w:r>
          </w:p>
        </w:tc>
        <w:tc>
          <w:tcPr>
            <w:tcW w:w="2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博时黄金交易型开放式证券投资基金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黄金</w:t>
            </w:r>
            <w:r>
              <w:rPr>
                <w:rFonts w:hint="eastAsia"/>
              </w:rPr>
              <w:t>ETF</w:t>
            </w:r>
            <w:r>
              <w:rPr>
                <w:rFonts w:hint="eastAsia"/>
              </w:rPr>
              <w:t>基金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159937 </w:t>
            </w:r>
          </w:p>
        </w:tc>
      </w:tr>
      <w:tr w:rsidR="007E0FE3"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11 </w:t>
            </w:r>
          </w:p>
        </w:tc>
        <w:tc>
          <w:tcPr>
            <w:tcW w:w="21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博时中债</w:t>
            </w:r>
            <w:r>
              <w:rPr>
                <w:rFonts w:hint="eastAsia"/>
              </w:rPr>
              <w:t>0-3</w:t>
            </w:r>
            <w:r>
              <w:rPr>
                <w:rFonts w:hint="eastAsia"/>
              </w:rPr>
              <w:t>年国开行债券交易型开放式指数证券投资基金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国开</w:t>
            </w:r>
            <w:r>
              <w:rPr>
                <w:rFonts w:hint="eastAsia"/>
              </w:rPr>
              <w:t>ETF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159650 </w:t>
            </w:r>
          </w:p>
        </w:tc>
      </w:tr>
    </w:tbl>
    <w:p w:rsidR="007E0FE3" w:rsidRDefault="00833A1F">
      <w:pPr>
        <w:pStyle w:val="a7"/>
        <w:spacing w:before="0" w:beforeAutospacing="0" w:after="0" w:afterAutospacing="0" w:line="360" w:lineRule="auto"/>
        <w:ind w:firstLine="420"/>
      </w:pPr>
      <w:r>
        <w:rPr>
          <w:rFonts w:hint="eastAsia"/>
        </w:rPr>
        <w:t> </w:t>
      </w:r>
      <w:r>
        <w:rPr>
          <w:rFonts w:hint="eastAsia"/>
        </w:rPr>
        <w:t>一、投资者可通过以下途径咨询有关详情</w:t>
      </w:r>
      <w:r>
        <w:rPr>
          <w:rFonts w:hint="eastAsia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48"/>
        <w:gridCol w:w="1992"/>
        <w:gridCol w:w="4022"/>
      </w:tblGrid>
      <w:tr w:rsidR="007E0F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机构名称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客服电话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网址</w:t>
            </w:r>
            <w:r>
              <w:rPr>
                <w:rFonts w:hint="eastAsia"/>
              </w:rPr>
              <w:t> </w:t>
            </w:r>
          </w:p>
        </w:tc>
      </w:tr>
      <w:tr w:rsidR="007E0FE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德邦证券股份有限公司</w:t>
            </w:r>
            <w:r>
              <w:rPr>
                <w:rFonts w:hint="eastAsi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4008888128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FE3" w:rsidRDefault="00833A1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 http://www.tebon.com.cn </w:t>
            </w:r>
          </w:p>
        </w:tc>
      </w:tr>
    </w:tbl>
    <w:p w:rsidR="007E0FE3" w:rsidRDefault="00833A1F">
      <w:pPr>
        <w:pStyle w:val="a7"/>
        <w:spacing w:before="0" w:beforeAutospacing="0" w:after="0" w:afterAutospacing="0" w:line="360" w:lineRule="auto"/>
        <w:ind w:firstLine="420"/>
      </w:pPr>
      <w:r>
        <w:rPr>
          <w:rFonts w:hint="eastAsia"/>
        </w:rPr>
        <w:t> </w:t>
      </w:r>
      <w:r>
        <w:rPr>
          <w:rFonts w:hint="eastAsia"/>
        </w:rPr>
        <w:t>或致电博时一线通：</w:t>
      </w:r>
      <w:r>
        <w:rPr>
          <w:rFonts w:hint="eastAsia"/>
        </w:rPr>
        <w:t>95105568(</w:t>
      </w:r>
      <w:r>
        <w:rPr>
          <w:rFonts w:hint="eastAsia"/>
        </w:rPr>
        <w:t>免长途话费</w:t>
      </w:r>
      <w:r>
        <w:rPr>
          <w:rFonts w:hint="eastAsia"/>
        </w:rPr>
        <w:t>) </w:t>
      </w:r>
      <w:r>
        <w:rPr>
          <w:rFonts w:hint="eastAsia"/>
        </w:rPr>
        <w:t>，登录本公司网站</w:t>
      </w:r>
      <w:r>
        <w:rPr>
          <w:rFonts w:hint="eastAsia"/>
        </w:rPr>
        <w:t>www.bosera.com</w:t>
      </w:r>
      <w:r>
        <w:rPr>
          <w:rFonts w:hint="eastAsia"/>
        </w:rPr>
        <w:t>了解有关情况。</w:t>
      </w:r>
      <w:r>
        <w:rPr>
          <w:rFonts w:hint="eastAsia"/>
        </w:rPr>
        <w:t> </w:t>
      </w:r>
    </w:p>
    <w:p w:rsidR="007E0FE3" w:rsidRDefault="00833A1F">
      <w:pPr>
        <w:pStyle w:val="a7"/>
        <w:spacing w:before="0" w:beforeAutospacing="0" w:after="0" w:afterAutospacing="0" w:line="360" w:lineRule="auto"/>
        <w:ind w:firstLine="420"/>
      </w:pPr>
      <w:r>
        <w:rPr>
          <w:rFonts w:hint="eastAsia"/>
        </w:rPr>
        <w:t> </w:t>
      </w:r>
      <w:r>
        <w:rPr>
          <w:rFonts w:hint="eastAsia"/>
        </w:rPr>
        <w:t>二、重要提示</w:t>
      </w:r>
      <w:r>
        <w:rPr>
          <w:rFonts w:hint="eastAsia"/>
        </w:rPr>
        <w:t> </w:t>
      </w:r>
    </w:p>
    <w:p w:rsidR="007E0FE3" w:rsidRDefault="00833A1F">
      <w:pPr>
        <w:pStyle w:val="a7"/>
        <w:spacing w:before="0" w:beforeAutospacing="0" w:after="0" w:afterAutospacing="0" w:line="360" w:lineRule="auto"/>
        <w:ind w:firstLine="420"/>
      </w:pPr>
      <w:r>
        <w:rPr>
          <w:rFonts w:hint="eastAsia"/>
        </w:rPr>
        <w:lastRenderedPageBreak/>
        <w:t> </w:t>
      </w:r>
      <w:r>
        <w:rPr>
          <w:rFonts w:hint="eastAsia"/>
        </w:rPr>
        <w:t>基金管理人承诺以诚实信用、勤勉尽责的原则管理和运用基金资产，但不保证基金一定盈利，也不保证最低收益。投资者投资于基金时应认真阅读基金的《基金合同》和《招募说明书》。敬请投资者注意投资风险。</w:t>
      </w:r>
      <w:r>
        <w:rPr>
          <w:rFonts w:hint="eastAsia"/>
        </w:rPr>
        <w:t> </w:t>
      </w:r>
    </w:p>
    <w:p w:rsidR="007E0FE3" w:rsidRDefault="00833A1F">
      <w:pPr>
        <w:pStyle w:val="a7"/>
        <w:spacing w:before="0" w:beforeAutospacing="0" w:after="0" w:afterAutospacing="0" w:line="360" w:lineRule="auto"/>
        <w:ind w:firstLine="420"/>
      </w:pPr>
      <w:r>
        <w:rPr>
          <w:rFonts w:hint="eastAsia"/>
        </w:rPr>
        <w:t> </w:t>
      </w:r>
      <w:r>
        <w:rPr>
          <w:rFonts w:hint="eastAsia"/>
        </w:rPr>
        <w:t>特此公告。</w:t>
      </w:r>
      <w:r>
        <w:rPr>
          <w:rFonts w:hint="eastAsia"/>
        </w:rPr>
        <w:t> </w:t>
      </w:r>
    </w:p>
    <w:p w:rsidR="007E0FE3" w:rsidRDefault="00833A1F">
      <w:pPr>
        <w:autoSpaceDE w:val="0"/>
        <w:autoSpaceDN w:val="0"/>
        <w:spacing w:line="360" w:lineRule="auto"/>
        <w:ind w:firstLine="570"/>
        <w:jc w:val="righ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博时基金管理有限公司</w:t>
      </w:r>
    </w:p>
    <w:p w:rsidR="007E0FE3" w:rsidRDefault="00833A1F">
      <w:pPr>
        <w:spacing w:line="360" w:lineRule="auto"/>
        <w:jc w:val="right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2023</w:t>
      </w:r>
      <w:r>
        <w:rPr>
          <w:rFonts w:ascii="宋体" w:hAnsi="宋体"/>
          <w:color w:val="000000"/>
          <w:sz w:val="24"/>
          <w:szCs w:val="24"/>
        </w:rPr>
        <w:t>年</w:t>
      </w:r>
      <w:r>
        <w:rPr>
          <w:rFonts w:ascii="宋体" w:hAnsi="宋体"/>
          <w:color w:val="000000"/>
          <w:sz w:val="24"/>
          <w:szCs w:val="24"/>
        </w:rPr>
        <w:t>8</w:t>
      </w:r>
      <w:r>
        <w:rPr>
          <w:rFonts w:ascii="宋体" w:hAnsi="宋体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>14</w:t>
      </w:r>
      <w:r>
        <w:rPr>
          <w:rFonts w:ascii="宋体" w:hAnsi="宋体"/>
          <w:color w:val="000000"/>
          <w:sz w:val="24"/>
          <w:szCs w:val="24"/>
        </w:rPr>
        <w:t>日</w:t>
      </w:r>
    </w:p>
    <w:sectPr w:rsidR="007E0FE3" w:rsidSect="007E0FE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B3E60"/>
    <w:multiLevelType w:val="multilevel"/>
    <w:tmpl w:val="393B3E60"/>
    <w:lvl w:ilvl="0">
      <w:start w:val="1"/>
      <w:numFmt w:val="chineseCountingThousand"/>
      <w:pStyle w:val="1"/>
      <w:suff w:val="nothing"/>
      <w:lvlText w:val="%1、"/>
      <w:lvlJc w:val="center"/>
      <w:pPr>
        <w:ind w:left="0" w:firstLine="288"/>
      </w:pPr>
    </w:lvl>
    <w:lvl w:ilvl="1">
      <w:start w:val="1"/>
      <w:numFmt w:val="chineseCountingThousand"/>
      <w:pStyle w:val="2"/>
      <w:lvlText w:val="（%2）"/>
      <w:lvlJc w:val="left"/>
      <w:pPr>
        <w:tabs>
          <w:tab w:val="left" w:pos="1260"/>
        </w:tabs>
        <w:ind w:left="180" w:firstLine="0"/>
      </w:pPr>
      <w:rPr>
        <w:sz w:val="21"/>
        <w:szCs w:val="21"/>
      </w:rPr>
    </w:lvl>
    <w:lvl w:ilvl="2">
      <w:start w:val="1"/>
      <w:numFmt w:val="decimal"/>
      <w:pStyle w:val="3"/>
      <w:lvlText w:val="%3."/>
      <w:lvlJc w:val="left"/>
      <w:pPr>
        <w:tabs>
          <w:tab w:val="left" w:pos="454"/>
        </w:tabs>
        <w:ind w:left="454" w:hanging="454"/>
      </w:pPr>
      <w:rPr>
        <w:rFonts w:ascii="Arial" w:eastAsia="宋体" w:hAnsi="Arial" w:cs="Arial" w:hint="default"/>
        <w:b w:val="0"/>
        <w:i w:val="0"/>
        <w:sz w:val="21"/>
      </w:rPr>
    </w:lvl>
    <w:lvl w:ilvl="3">
      <w:start w:val="1"/>
      <w:numFmt w:val="decimal"/>
      <w:pStyle w:val="4"/>
      <w:lvlText w:val="（%4）"/>
      <w:lvlJc w:val="left"/>
      <w:pPr>
        <w:tabs>
          <w:tab w:val="left" w:pos="720"/>
        </w:tabs>
        <w:ind w:left="0" w:firstLine="0"/>
      </w:pPr>
      <w:rPr>
        <w:rFonts w:ascii="Arial" w:eastAsia="宋体" w:hAnsi="Arial" w:cs="Arial" w:hint="default"/>
        <w:sz w:val="21"/>
      </w:rPr>
    </w:lvl>
    <w:lvl w:ilvl="4">
      <w:start w:val="1"/>
      <w:numFmt w:val="none"/>
      <w:pStyle w:val="5"/>
      <w:lvlText w:val=""/>
      <w:lvlJc w:val="left"/>
      <w:pPr>
        <w:tabs>
          <w:tab w:val="left" w:pos="360"/>
        </w:tabs>
        <w:ind w:left="0" w:firstLine="0"/>
      </w:pPr>
      <w:rPr>
        <w:sz w:val="24"/>
      </w:rPr>
    </w:lvl>
    <w:lvl w:ilvl="5">
      <w:start w:val="1"/>
      <w:numFmt w:val="upperLetter"/>
      <w:pStyle w:val="6"/>
      <w:lvlText w:val="%6."/>
      <w:lvlJc w:val="left"/>
      <w:pPr>
        <w:tabs>
          <w:tab w:val="left" w:pos="927"/>
        </w:tabs>
        <w:ind w:left="0" w:firstLine="567"/>
      </w:pPr>
      <w:rPr>
        <w:sz w:val="21"/>
        <w:szCs w:val="21"/>
      </w:rPr>
    </w:lvl>
    <w:lvl w:ilvl="6">
      <w:start w:val="1"/>
      <w:numFmt w:val="none"/>
      <w:lvlText w:val=""/>
      <w:lvlJc w:val="left"/>
      <w:pPr>
        <w:tabs>
          <w:tab w:val="left" w:pos="3827"/>
        </w:tabs>
        <w:ind w:left="3827" w:hanging="1276"/>
      </w:pPr>
    </w:lvl>
    <w:lvl w:ilvl="7">
      <w:start w:val="1"/>
      <w:numFmt w:val="none"/>
      <w:lvlText w:val=""/>
      <w:lvlJc w:val="left"/>
      <w:pPr>
        <w:tabs>
          <w:tab w:val="left" w:pos="4394"/>
        </w:tabs>
        <w:ind w:left="4394" w:hanging="1418"/>
      </w:pPr>
    </w:lvl>
    <w:lvl w:ilvl="8">
      <w:start w:val="1"/>
      <w:numFmt w:val="none"/>
      <w:lvlText w:val=""/>
      <w:lvlJc w:val="left"/>
      <w:pPr>
        <w:tabs>
          <w:tab w:val="left" w:pos="5102"/>
        </w:tabs>
        <w:ind w:left="5102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5261"/>
    <w:rsid w:val="000045D1"/>
    <w:rsid w:val="00092C75"/>
    <w:rsid w:val="000B19D3"/>
    <w:rsid w:val="001349CD"/>
    <w:rsid w:val="00182AE4"/>
    <w:rsid w:val="00186B81"/>
    <w:rsid w:val="0030042E"/>
    <w:rsid w:val="00334A76"/>
    <w:rsid w:val="004E2DEA"/>
    <w:rsid w:val="0054440F"/>
    <w:rsid w:val="005C6C5C"/>
    <w:rsid w:val="005F7AF8"/>
    <w:rsid w:val="00751543"/>
    <w:rsid w:val="00791D57"/>
    <w:rsid w:val="007B2188"/>
    <w:rsid w:val="007E0FE3"/>
    <w:rsid w:val="00816D5C"/>
    <w:rsid w:val="00833A1F"/>
    <w:rsid w:val="00855A50"/>
    <w:rsid w:val="008D0F9B"/>
    <w:rsid w:val="008E39A2"/>
    <w:rsid w:val="009D1DE7"/>
    <w:rsid w:val="00A02E52"/>
    <w:rsid w:val="00B50B2B"/>
    <w:rsid w:val="00DF750F"/>
    <w:rsid w:val="00F8460C"/>
    <w:rsid w:val="00FB06A4"/>
    <w:rsid w:val="00FB450C"/>
    <w:rsid w:val="00FC2A28"/>
    <w:rsid w:val="00FE0443"/>
    <w:rsid w:val="00FE5261"/>
    <w:rsid w:val="43385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FE3"/>
    <w:pPr>
      <w:jc w:val="both"/>
    </w:pPr>
    <w:rPr>
      <w:rFonts w:ascii="Calibri" w:eastAsia="宋体" w:hAnsi="Calibri" w:cs="宋体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7E0FE3"/>
    <w:pPr>
      <w:numPr>
        <w:numId w:val="1"/>
      </w:numPr>
      <w:spacing w:before="300" w:after="300" w:line="360" w:lineRule="auto"/>
      <w:outlineLvl w:val="0"/>
    </w:pPr>
    <w:rPr>
      <w:rFonts w:ascii="宋体" w:hAnsi="宋体"/>
      <w:b/>
      <w:bCs/>
      <w:color w:val="000000"/>
      <w:kern w:val="36"/>
      <w:sz w:val="30"/>
      <w:szCs w:val="3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E0FE3"/>
    <w:pPr>
      <w:numPr>
        <w:ilvl w:val="1"/>
        <w:numId w:val="1"/>
      </w:numPr>
      <w:spacing w:after="120" w:line="360" w:lineRule="auto"/>
      <w:outlineLvl w:val="1"/>
    </w:pPr>
    <w:rPr>
      <w:rFonts w:ascii="宋体" w:hAnsi="宋体"/>
      <w:color w:val="000000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E0FE3"/>
    <w:pPr>
      <w:numPr>
        <w:ilvl w:val="2"/>
        <w:numId w:val="1"/>
      </w:numPr>
      <w:spacing w:after="120" w:line="360" w:lineRule="auto"/>
      <w:outlineLvl w:val="2"/>
    </w:pPr>
    <w:rPr>
      <w:rFonts w:ascii="宋体" w:hAnsi="宋体"/>
      <w:color w:val="00000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E0FE3"/>
    <w:pPr>
      <w:numPr>
        <w:ilvl w:val="3"/>
        <w:numId w:val="1"/>
      </w:numPr>
      <w:spacing w:after="120" w:line="360" w:lineRule="auto"/>
      <w:outlineLvl w:val="3"/>
    </w:pPr>
    <w:rPr>
      <w:rFonts w:ascii="宋体" w:hAnsi="宋体"/>
      <w:color w:val="00000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E0FE3"/>
    <w:pPr>
      <w:numPr>
        <w:ilvl w:val="4"/>
        <w:numId w:val="1"/>
      </w:numPr>
      <w:spacing w:after="120" w:line="360" w:lineRule="auto"/>
      <w:outlineLvl w:val="4"/>
    </w:pPr>
    <w:rPr>
      <w:rFonts w:ascii="宋体" w:hAnsi="宋体"/>
      <w:color w:val="00000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E0FE3"/>
    <w:pPr>
      <w:numPr>
        <w:ilvl w:val="5"/>
        <w:numId w:val="1"/>
      </w:numPr>
      <w:spacing w:after="120" w:line="360" w:lineRule="auto"/>
      <w:outlineLvl w:val="5"/>
    </w:pPr>
    <w:rPr>
      <w:rFonts w:ascii="宋体" w:hAnsi="宋体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7E0FE3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E0FE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E0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E0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7E0FE3"/>
    <w:pPr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7E0FE3"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sid w:val="007E0FE3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7E0FE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E0FE3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7E0FE3"/>
  </w:style>
  <w:style w:type="character" w:customStyle="1" w:styleId="Char3">
    <w:name w:val="批注主题 Char"/>
    <w:basedOn w:val="Char"/>
    <w:link w:val="a8"/>
    <w:uiPriority w:val="99"/>
    <w:semiHidden/>
    <w:qFormat/>
    <w:rsid w:val="007E0FE3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E0FE3"/>
    <w:rPr>
      <w:sz w:val="18"/>
      <w:szCs w:val="18"/>
    </w:rPr>
  </w:style>
  <w:style w:type="character" w:customStyle="1" w:styleId="10">
    <w:name w:val="标题 1 字符"/>
    <w:basedOn w:val="a0"/>
    <w:uiPriority w:val="9"/>
    <w:qFormat/>
    <w:rsid w:val="007E0FE3"/>
    <w:rPr>
      <w:rFonts w:ascii="Calibri" w:eastAsia="宋体" w:hAnsi="Calibri" w:cs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qFormat/>
    <w:rsid w:val="007E0FE3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qFormat/>
    <w:rsid w:val="007E0FE3"/>
    <w:rPr>
      <w:rFonts w:ascii="宋体" w:eastAsia="宋体" w:hAnsi="宋体" w:cs="宋体"/>
      <w:color w:val="000000"/>
      <w:kern w:val="0"/>
      <w:szCs w:val="21"/>
    </w:rPr>
  </w:style>
  <w:style w:type="character" w:customStyle="1" w:styleId="4Char">
    <w:name w:val="标题 4 Char"/>
    <w:basedOn w:val="a0"/>
    <w:link w:val="4"/>
    <w:uiPriority w:val="9"/>
    <w:semiHidden/>
    <w:qFormat/>
    <w:rsid w:val="007E0FE3"/>
    <w:rPr>
      <w:rFonts w:ascii="宋体" w:eastAsia="宋体" w:hAnsi="宋体" w:cs="宋体"/>
      <w:color w:val="000000"/>
      <w:kern w:val="0"/>
      <w:szCs w:val="21"/>
    </w:rPr>
  </w:style>
  <w:style w:type="character" w:customStyle="1" w:styleId="5Char">
    <w:name w:val="标题 5 Char"/>
    <w:basedOn w:val="a0"/>
    <w:link w:val="5"/>
    <w:uiPriority w:val="9"/>
    <w:semiHidden/>
    <w:qFormat/>
    <w:rsid w:val="007E0FE3"/>
    <w:rPr>
      <w:rFonts w:ascii="宋体" w:eastAsia="宋体" w:hAnsi="宋体" w:cs="宋体"/>
      <w:color w:val="000000"/>
      <w:kern w:val="0"/>
      <w:szCs w:val="21"/>
    </w:rPr>
  </w:style>
  <w:style w:type="character" w:customStyle="1" w:styleId="6Char">
    <w:name w:val="标题 6 Char"/>
    <w:basedOn w:val="a0"/>
    <w:link w:val="6"/>
    <w:uiPriority w:val="9"/>
    <w:semiHidden/>
    <w:qFormat/>
    <w:rsid w:val="007E0FE3"/>
    <w:rPr>
      <w:rFonts w:ascii="宋体" w:eastAsia="宋体" w:hAnsi="宋体" w:cs="宋体"/>
      <w:color w:val="000000"/>
      <w:kern w:val="0"/>
      <w:szCs w:val="21"/>
    </w:rPr>
  </w:style>
  <w:style w:type="character" w:customStyle="1" w:styleId="1Char">
    <w:name w:val="标题 1 Char"/>
    <w:link w:val="1"/>
    <w:uiPriority w:val="9"/>
    <w:qFormat/>
    <w:rsid w:val="007E0FE3"/>
    <w:rPr>
      <w:rFonts w:ascii="宋体" w:eastAsia="宋体" w:hAnsi="宋体" w:cs="宋体"/>
      <w:b/>
      <w:bCs/>
      <w:color w:val="000000"/>
      <w:kern w:val="3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890</Characters>
  <Application>Microsoft Office Word</Application>
  <DocSecurity>4</DocSecurity>
  <Lines>7</Lines>
  <Paragraphs>2</Paragraphs>
  <ScaleCrop>false</ScaleCrop>
  <Company>CNSTOCK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ZHONGM</cp:lastModifiedBy>
  <cp:revision>2</cp:revision>
  <dcterms:created xsi:type="dcterms:W3CDTF">2023-08-13T16:00:00Z</dcterms:created>
  <dcterms:modified xsi:type="dcterms:W3CDTF">2023-08-13T16:00:00Z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97CE895AA54742F59063E2019F866DFD</vt:lpwstr>
  </property>
</Properties>
</file>