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647" w:rsidRDefault="00CC415F" w:rsidP="00F51425">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color w:val="1E1E1E"/>
          <w:sz w:val="32"/>
          <w:szCs w:val="32"/>
        </w:rPr>
      </w:pPr>
      <w:r>
        <w:rPr>
          <w:rFonts w:hint="eastAsia"/>
          <w:b/>
          <w:color w:val="1E1E1E"/>
          <w:sz w:val="32"/>
          <w:szCs w:val="32"/>
        </w:rPr>
        <w:t>淳厚基金管理有限公司关于</w:t>
      </w:r>
      <w:r w:rsidR="00661647" w:rsidRPr="00661647">
        <w:rPr>
          <w:rFonts w:hint="eastAsia"/>
          <w:b/>
          <w:color w:val="1E1E1E"/>
          <w:sz w:val="32"/>
          <w:szCs w:val="32"/>
        </w:rPr>
        <w:t>调低旗下部分基金费率</w:t>
      </w:r>
    </w:p>
    <w:p w:rsidR="00661647" w:rsidRDefault="00661647" w:rsidP="00F51425">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b/>
          <w:color w:val="1E1E1E"/>
          <w:sz w:val="32"/>
          <w:szCs w:val="32"/>
        </w:rPr>
      </w:pPr>
      <w:r w:rsidRPr="00661647">
        <w:rPr>
          <w:rFonts w:hint="eastAsia"/>
          <w:b/>
          <w:color w:val="1E1E1E"/>
          <w:sz w:val="32"/>
          <w:szCs w:val="32"/>
        </w:rPr>
        <w:t>并修订基金合同的公告</w:t>
      </w:r>
      <w:bookmarkStart w:id="0" w:name="_GoBack"/>
      <w:bookmarkEnd w:id="0"/>
    </w:p>
    <w:p w:rsidR="00F51425" w:rsidRDefault="00F51425" w:rsidP="00F51425">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0" w:beforeAutospacing="0" w:after="0" w:afterAutospacing="0"/>
        <w:jc w:val="center"/>
        <w:rPr>
          <w:b/>
          <w:color w:val="1E1E1E"/>
          <w:sz w:val="32"/>
          <w:szCs w:val="32"/>
        </w:rPr>
      </w:pPr>
    </w:p>
    <w:p w:rsidR="00821E32" w:rsidRDefault="00661647" w:rsidP="00661647">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20" w:lineRule="atLeast"/>
        <w:ind w:firstLineChars="200" w:firstLine="440"/>
        <w:rPr>
          <w:color w:val="1E1E1E"/>
          <w:sz w:val="22"/>
        </w:rPr>
      </w:pPr>
      <w:r w:rsidRPr="00661647">
        <w:rPr>
          <w:rFonts w:hint="eastAsia"/>
          <w:color w:val="1E1E1E"/>
          <w:sz w:val="22"/>
        </w:rPr>
        <w:t>为更好地满足广大投资者的投资理财需求，降低投资者的理财成本，经与相关公开募集证券投资基金（以下简称“基金”）的基金托管人协商一致，并报中国证监会备案，</w:t>
      </w:r>
      <w:r>
        <w:rPr>
          <w:rFonts w:hint="eastAsia"/>
          <w:color w:val="1E1E1E"/>
          <w:sz w:val="22"/>
        </w:rPr>
        <w:t>淳厚基金</w:t>
      </w:r>
      <w:r w:rsidRPr="00661647">
        <w:rPr>
          <w:rFonts w:hint="eastAsia"/>
          <w:color w:val="1E1E1E"/>
          <w:sz w:val="22"/>
        </w:rPr>
        <w:t>管理有限公司（以下简称“本公司”）决定自2023年</w:t>
      </w:r>
      <w:r>
        <w:rPr>
          <w:color w:val="1E1E1E"/>
          <w:sz w:val="22"/>
        </w:rPr>
        <w:t>8</w:t>
      </w:r>
      <w:r w:rsidRPr="00661647">
        <w:rPr>
          <w:rFonts w:hint="eastAsia"/>
          <w:color w:val="1E1E1E"/>
          <w:sz w:val="22"/>
        </w:rPr>
        <w:t>月1</w:t>
      </w:r>
      <w:r w:rsidR="00C8144E">
        <w:rPr>
          <w:color w:val="1E1E1E"/>
          <w:sz w:val="22"/>
        </w:rPr>
        <w:t>4</w:t>
      </w:r>
      <w:r w:rsidRPr="00661647">
        <w:rPr>
          <w:rFonts w:hint="eastAsia"/>
          <w:color w:val="1E1E1E"/>
          <w:sz w:val="22"/>
        </w:rPr>
        <w:t>日起，调低旗下部分基金的管理费率</w:t>
      </w:r>
      <w:r w:rsidR="003A1DD7" w:rsidRPr="003A1DD7">
        <w:rPr>
          <w:rFonts w:hint="eastAsia"/>
          <w:color w:val="1E1E1E"/>
          <w:sz w:val="22"/>
        </w:rPr>
        <w:t>和/或</w:t>
      </w:r>
      <w:r w:rsidRPr="00661647">
        <w:rPr>
          <w:rFonts w:hint="eastAsia"/>
          <w:color w:val="1E1E1E"/>
          <w:sz w:val="22"/>
        </w:rPr>
        <w:t>托管费率并对基金合同有关条款进行修订，同时对</w:t>
      </w:r>
      <w:r w:rsidR="003A1DD7">
        <w:rPr>
          <w:rFonts w:hint="eastAsia"/>
          <w:color w:val="1E1E1E"/>
          <w:sz w:val="22"/>
        </w:rPr>
        <w:t>部分</w:t>
      </w:r>
      <w:r w:rsidRPr="00661647">
        <w:rPr>
          <w:rFonts w:hint="eastAsia"/>
          <w:color w:val="1E1E1E"/>
          <w:sz w:val="22"/>
        </w:rPr>
        <w:t>基金的基金托管人信息进行必要更新。现将有关修订内容说明如下：</w:t>
      </w:r>
    </w:p>
    <w:p w:rsidR="00661647" w:rsidRPr="00661647" w:rsidRDefault="00661647" w:rsidP="00661647">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tLeast"/>
        <w:ind w:firstLineChars="200" w:firstLine="440"/>
        <w:rPr>
          <w:color w:val="1E1E1E"/>
          <w:sz w:val="22"/>
        </w:rPr>
      </w:pPr>
      <w:r w:rsidRPr="00661647">
        <w:rPr>
          <w:rFonts w:hint="eastAsia"/>
          <w:color w:val="1E1E1E"/>
          <w:sz w:val="22"/>
        </w:rPr>
        <w:t>1、根据相关法律法规和基金合同的约定，本公司决定调低旗下部分基金的管理费率</w:t>
      </w:r>
      <w:r w:rsidR="003A1DD7" w:rsidRPr="003A1DD7">
        <w:rPr>
          <w:rFonts w:hint="eastAsia"/>
          <w:color w:val="1E1E1E"/>
          <w:sz w:val="22"/>
        </w:rPr>
        <w:t>和/或</w:t>
      </w:r>
      <w:r w:rsidRPr="00661647">
        <w:rPr>
          <w:rFonts w:hint="eastAsia"/>
          <w:color w:val="1E1E1E"/>
          <w:sz w:val="22"/>
        </w:rPr>
        <w:t>托管费率，对相关基金合同进行必要的修订，并同步对</w:t>
      </w:r>
      <w:r w:rsidR="003A1DD7">
        <w:rPr>
          <w:rFonts w:hint="eastAsia"/>
          <w:color w:val="1E1E1E"/>
          <w:sz w:val="22"/>
        </w:rPr>
        <w:t>部分</w:t>
      </w:r>
      <w:r w:rsidRPr="00661647">
        <w:rPr>
          <w:rFonts w:hint="eastAsia"/>
          <w:color w:val="1E1E1E"/>
          <w:sz w:val="22"/>
        </w:rPr>
        <w:t>基金的基金托管人信息进行更新，相关基金的名单及费率调整情况参见附件。相关基金的托管协议、招募说明书、基金产品资料概要据此相应进行必要修订。</w:t>
      </w:r>
    </w:p>
    <w:p w:rsidR="00661647" w:rsidRPr="00661647" w:rsidRDefault="00661647" w:rsidP="00661647">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tLeast"/>
        <w:ind w:firstLineChars="200" w:firstLine="440"/>
        <w:rPr>
          <w:color w:val="1E1E1E"/>
          <w:sz w:val="22"/>
        </w:rPr>
      </w:pPr>
      <w:r w:rsidRPr="00661647">
        <w:rPr>
          <w:rFonts w:hint="eastAsia"/>
          <w:color w:val="1E1E1E"/>
          <w:sz w:val="22"/>
        </w:rPr>
        <w:t>2、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将在本公司网站（www.</w:t>
      </w:r>
      <w:r>
        <w:rPr>
          <w:rFonts w:hint="eastAsia"/>
          <w:color w:val="1E1E1E"/>
          <w:sz w:val="22"/>
        </w:rPr>
        <w:t>purekindfund</w:t>
      </w:r>
      <w:r w:rsidRPr="00661647">
        <w:rPr>
          <w:rFonts w:hint="eastAsia"/>
          <w:color w:val="1E1E1E"/>
          <w:sz w:val="22"/>
        </w:rPr>
        <w:t>.com）和中国证监会基金电子披露网站（http://eid.csrc.gov.cn/fund）</w:t>
      </w:r>
      <w:r w:rsidR="003A1DD7" w:rsidRPr="003A1DD7">
        <w:rPr>
          <w:rFonts w:hint="eastAsia"/>
          <w:color w:val="1E1E1E"/>
          <w:sz w:val="22"/>
        </w:rPr>
        <w:t>公告</w:t>
      </w:r>
      <w:r w:rsidRPr="00661647">
        <w:rPr>
          <w:rFonts w:hint="eastAsia"/>
          <w:color w:val="1E1E1E"/>
          <w:sz w:val="22"/>
        </w:rPr>
        <w:t>。</w:t>
      </w:r>
    </w:p>
    <w:p w:rsidR="00661647" w:rsidRPr="00661647" w:rsidRDefault="00661647" w:rsidP="00661647">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tLeast"/>
        <w:ind w:firstLineChars="200" w:firstLine="440"/>
        <w:rPr>
          <w:color w:val="1E1E1E"/>
          <w:sz w:val="22"/>
        </w:rPr>
      </w:pPr>
      <w:r w:rsidRPr="00661647">
        <w:rPr>
          <w:rFonts w:hint="eastAsia"/>
          <w:color w:val="1E1E1E"/>
          <w:sz w:val="22"/>
        </w:rPr>
        <w:t>投资人办理基金交易等相关业务前，应仔细阅读各基金的基金合同、招募说明书</w:t>
      </w:r>
      <w:r w:rsidR="008553EF" w:rsidRPr="00661647">
        <w:rPr>
          <w:rFonts w:hint="eastAsia"/>
          <w:color w:val="1E1E1E"/>
          <w:sz w:val="22"/>
        </w:rPr>
        <w:t>（更新）</w:t>
      </w:r>
      <w:r w:rsidRPr="00661647">
        <w:rPr>
          <w:rFonts w:hint="eastAsia"/>
          <w:color w:val="1E1E1E"/>
          <w:sz w:val="22"/>
        </w:rPr>
        <w:t>、基金产品资料概要</w:t>
      </w:r>
      <w:r w:rsidR="008553EF" w:rsidRPr="00661647">
        <w:rPr>
          <w:rFonts w:hint="eastAsia"/>
          <w:color w:val="1E1E1E"/>
          <w:sz w:val="22"/>
        </w:rPr>
        <w:t>（更新）</w:t>
      </w:r>
      <w:r w:rsidRPr="00661647">
        <w:rPr>
          <w:rFonts w:hint="eastAsia"/>
          <w:color w:val="1E1E1E"/>
          <w:sz w:val="22"/>
        </w:rPr>
        <w:t>、风险提示及相关业务规则等文件。</w:t>
      </w:r>
    </w:p>
    <w:p w:rsidR="00661647" w:rsidRDefault="008553EF" w:rsidP="00661647">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20" w:lineRule="atLeast"/>
        <w:ind w:firstLineChars="200" w:firstLine="440"/>
        <w:rPr>
          <w:color w:val="1E1E1E"/>
          <w:sz w:val="22"/>
        </w:rPr>
      </w:pPr>
      <w:r w:rsidRPr="008553EF">
        <w:rPr>
          <w:rFonts w:hint="eastAsia"/>
          <w:color w:val="1E1E1E"/>
          <w:sz w:val="22"/>
        </w:rPr>
        <w:t>投资人可访问</w:t>
      </w:r>
      <w:r w:rsidR="00661647" w:rsidRPr="00661647">
        <w:rPr>
          <w:rFonts w:hint="eastAsia"/>
          <w:color w:val="1E1E1E"/>
          <w:sz w:val="22"/>
        </w:rPr>
        <w:t>本公司网站</w:t>
      </w:r>
      <w:r w:rsidR="00CC09D2">
        <w:rPr>
          <w:rFonts w:hint="eastAsia"/>
          <w:color w:val="1E1E1E"/>
          <w:sz w:val="22"/>
        </w:rPr>
        <w:t>(</w:t>
      </w:r>
      <w:hyperlink r:id="rId6" w:history="1">
        <w:r w:rsidRPr="001E40CE">
          <w:rPr>
            <w:rStyle w:val="ab"/>
            <w:rFonts w:hint="eastAsia"/>
            <w:sz w:val="22"/>
          </w:rPr>
          <w:t>www.purekindfund.com</w:t>
        </w:r>
      </w:hyperlink>
      <w:r w:rsidR="00661647" w:rsidRPr="00661647">
        <w:rPr>
          <w:rFonts w:hint="eastAsia"/>
          <w:color w:val="1E1E1E"/>
          <w:sz w:val="22"/>
        </w:rPr>
        <w:t>)</w:t>
      </w:r>
      <w:r>
        <w:rPr>
          <w:rFonts w:hint="eastAsia"/>
          <w:color w:val="1E1E1E"/>
          <w:sz w:val="22"/>
        </w:rPr>
        <w:t>查询</w:t>
      </w:r>
      <w:r w:rsidR="00661647" w:rsidRPr="00661647">
        <w:rPr>
          <w:rFonts w:hint="eastAsia"/>
          <w:color w:val="1E1E1E"/>
          <w:sz w:val="22"/>
        </w:rPr>
        <w:t>或拨打</w:t>
      </w:r>
      <w:r>
        <w:rPr>
          <w:rFonts w:hint="eastAsia"/>
          <w:color w:val="1E1E1E"/>
          <w:sz w:val="22"/>
        </w:rPr>
        <w:t>本公司</w:t>
      </w:r>
      <w:r w:rsidR="00661647" w:rsidRPr="00661647">
        <w:rPr>
          <w:rFonts w:hint="eastAsia"/>
          <w:color w:val="1E1E1E"/>
          <w:sz w:val="22"/>
        </w:rPr>
        <w:t>客户服务电话（400-</w:t>
      </w:r>
      <w:r w:rsidR="00CC09D2">
        <w:rPr>
          <w:color w:val="1E1E1E"/>
          <w:sz w:val="22"/>
        </w:rPr>
        <w:t>000</w:t>
      </w:r>
      <w:r w:rsidR="00661647" w:rsidRPr="00661647">
        <w:rPr>
          <w:rFonts w:hint="eastAsia"/>
          <w:color w:val="1E1E1E"/>
          <w:sz w:val="22"/>
        </w:rPr>
        <w:t>-9</w:t>
      </w:r>
      <w:r w:rsidR="00CC09D2">
        <w:rPr>
          <w:color w:val="1E1E1E"/>
          <w:sz w:val="22"/>
        </w:rPr>
        <w:t>738</w:t>
      </w:r>
      <w:r w:rsidR="00661647" w:rsidRPr="00661647">
        <w:rPr>
          <w:rFonts w:hint="eastAsia"/>
          <w:color w:val="1E1E1E"/>
          <w:sz w:val="22"/>
        </w:rPr>
        <w:t>）咨询相关情况。</w:t>
      </w:r>
    </w:p>
    <w:p w:rsidR="00F51425" w:rsidRPr="008553EF" w:rsidRDefault="00F51425">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tLeast"/>
        <w:ind w:firstLine="420"/>
        <w:rPr>
          <w:color w:val="1E1E1E"/>
          <w:sz w:val="22"/>
        </w:rPr>
      </w:pPr>
    </w:p>
    <w:p w:rsidR="00821E32" w:rsidRDefault="00CC415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tLeast"/>
        <w:ind w:firstLine="420"/>
        <w:rPr>
          <w:color w:val="1E1E1E"/>
          <w:sz w:val="22"/>
        </w:rPr>
      </w:pPr>
      <w:r>
        <w:rPr>
          <w:rFonts w:hint="eastAsia"/>
          <w:color w:val="1E1E1E"/>
          <w:sz w:val="22"/>
        </w:rPr>
        <w:t>风险提示：本公司承诺以诚实信用、勤勉尽责的原则管理和运用基金资产，但不保证基金一定盈利，也不</w:t>
      </w:r>
      <w:r w:rsidR="00176621">
        <w:rPr>
          <w:rFonts w:hint="eastAsia"/>
          <w:color w:val="1E1E1E"/>
          <w:sz w:val="22"/>
        </w:rPr>
        <w:t>保证最低收益。投资者投资于本公司管理的基金时应认真阅读该基金的基金合同、</w:t>
      </w:r>
      <w:r>
        <w:rPr>
          <w:rFonts w:hint="eastAsia"/>
          <w:color w:val="1E1E1E"/>
          <w:sz w:val="22"/>
        </w:rPr>
        <w:t>招募说明书</w:t>
      </w:r>
      <w:r w:rsidR="00176621">
        <w:rPr>
          <w:rFonts w:hint="eastAsia"/>
          <w:color w:val="1E1E1E"/>
          <w:sz w:val="22"/>
        </w:rPr>
        <w:t>（</w:t>
      </w:r>
      <w:r w:rsidR="00452881">
        <w:rPr>
          <w:rFonts w:hint="eastAsia"/>
          <w:color w:val="1E1E1E"/>
          <w:sz w:val="22"/>
        </w:rPr>
        <w:t>更新</w:t>
      </w:r>
      <w:r w:rsidR="00176621">
        <w:rPr>
          <w:rFonts w:hint="eastAsia"/>
          <w:color w:val="1E1E1E"/>
          <w:sz w:val="22"/>
        </w:rPr>
        <w:t>）、</w:t>
      </w:r>
      <w:r>
        <w:rPr>
          <w:rFonts w:hint="eastAsia"/>
          <w:color w:val="1E1E1E"/>
          <w:sz w:val="22"/>
        </w:rPr>
        <w:t>产品资料概要</w:t>
      </w:r>
      <w:r w:rsidR="00176621">
        <w:rPr>
          <w:rFonts w:hint="eastAsia"/>
          <w:color w:val="1E1E1E"/>
          <w:sz w:val="22"/>
        </w:rPr>
        <w:t>（</w:t>
      </w:r>
      <w:r w:rsidR="00452881">
        <w:rPr>
          <w:rFonts w:hint="eastAsia"/>
          <w:color w:val="1E1E1E"/>
          <w:sz w:val="22"/>
        </w:rPr>
        <w:t>更新</w:t>
      </w:r>
      <w:r w:rsidR="00176621">
        <w:rPr>
          <w:rFonts w:hint="eastAsia"/>
          <w:color w:val="1E1E1E"/>
          <w:sz w:val="22"/>
        </w:rPr>
        <w:t>）</w:t>
      </w:r>
      <w:r>
        <w:rPr>
          <w:rFonts w:hint="eastAsia"/>
          <w:color w:val="1E1E1E"/>
          <w:sz w:val="22"/>
        </w:rPr>
        <w:t>等法律文件，了解基金产品的详细情况，选择与自己风险识别能力和风险承受能力相匹配的基金，并注意投资风险。</w:t>
      </w:r>
    </w:p>
    <w:p w:rsidR="00821E32" w:rsidRDefault="00CC415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tLeast"/>
        <w:ind w:firstLine="420"/>
        <w:rPr>
          <w:color w:val="1E1E1E"/>
          <w:sz w:val="22"/>
        </w:rPr>
      </w:pPr>
      <w:r>
        <w:rPr>
          <w:rFonts w:hint="eastAsia"/>
          <w:color w:val="1E1E1E"/>
          <w:sz w:val="22"/>
        </w:rPr>
        <w:lastRenderedPageBreak/>
        <w:t>特此公告。</w:t>
      </w:r>
    </w:p>
    <w:p w:rsidR="00821E32" w:rsidRDefault="00821E32">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tLeast"/>
        <w:ind w:firstLine="420"/>
        <w:rPr>
          <w:color w:val="1E1E1E"/>
          <w:sz w:val="22"/>
        </w:rPr>
      </w:pPr>
    </w:p>
    <w:p w:rsidR="00821E32" w:rsidRDefault="00CC415F" w:rsidP="00372F9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420"/>
        <w:jc w:val="right"/>
        <w:rPr>
          <w:color w:val="1E1E1E"/>
          <w:sz w:val="22"/>
        </w:rPr>
      </w:pPr>
      <w:r>
        <w:rPr>
          <w:rFonts w:hint="eastAsia"/>
          <w:color w:val="1E1E1E"/>
          <w:sz w:val="22"/>
        </w:rPr>
        <w:t>淳厚基金管理有限公司</w:t>
      </w:r>
    </w:p>
    <w:p w:rsidR="00821E32" w:rsidRDefault="00CC415F" w:rsidP="00372F9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420"/>
        <w:jc w:val="right"/>
        <w:rPr>
          <w:color w:val="1E1E1E"/>
          <w:sz w:val="22"/>
        </w:rPr>
      </w:pPr>
      <w:r>
        <w:rPr>
          <w:rFonts w:hint="eastAsia"/>
          <w:color w:val="1E1E1E"/>
          <w:sz w:val="22"/>
        </w:rPr>
        <w:t>20</w:t>
      </w:r>
      <w:r>
        <w:rPr>
          <w:color w:val="1E1E1E"/>
          <w:sz w:val="22"/>
        </w:rPr>
        <w:t>23</w:t>
      </w:r>
      <w:r>
        <w:rPr>
          <w:rFonts w:hint="eastAsia"/>
          <w:color w:val="1E1E1E"/>
          <w:sz w:val="22"/>
        </w:rPr>
        <w:t>年0</w:t>
      </w:r>
      <w:r w:rsidR="00CC09D2">
        <w:rPr>
          <w:color w:val="1E1E1E"/>
          <w:sz w:val="22"/>
        </w:rPr>
        <w:t>8</w:t>
      </w:r>
      <w:r>
        <w:rPr>
          <w:rFonts w:hint="eastAsia"/>
          <w:color w:val="1E1E1E"/>
          <w:sz w:val="22"/>
        </w:rPr>
        <w:t>月</w:t>
      </w:r>
      <w:r w:rsidR="00C8144E">
        <w:rPr>
          <w:color w:val="1E1E1E"/>
          <w:sz w:val="22"/>
        </w:rPr>
        <w:t>12</w:t>
      </w:r>
      <w:r>
        <w:rPr>
          <w:rFonts w:hint="eastAsia"/>
          <w:color w:val="1E1E1E"/>
          <w:sz w:val="22"/>
        </w:rPr>
        <w:t>日</w:t>
      </w:r>
    </w:p>
    <w:p w:rsidR="00F51425" w:rsidRDefault="00F51425" w:rsidP="00372F9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420"/>
        <w:jc w:val="right"/>
        <w:rPr>
          <w:color w:val="1E1E1E"/>
          <w:sz w:val="22"/>
        </w:rPr>
      </w:pPr>
    </w:p>
    <w:p w:rsidR="00F51425" w:rsidRDefault="00F51425" w:rsidP="00372F98">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420"/>
        <w:jc w:val="right"/>
        <w:rPr>
          <w:color w:val="1E1E1E"/>
          <w:sz w:val="22"/>
        </w:rPr>
      </w:pPr>
    </w:p>
    <w:p w:rsidR="00F51425" w:rsidRDefault="00F51425" w:rsidP="00F51425">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420"/>
        <w:rPr>
          <w:color w:val="1E1E1E"/>
          <w:sz w:val="22"/>
        </w:rPr>
      </w:pPr>
      <w:r w:rsidRPr="00F51425">
        <w:rPr>
          <w:rFonts w:hint="eastAsia"/>
          <w:color w:val="1E1E1E"/>
          <w:sz w:val="22"/>
        </w:rPr>
        <w:t>附件：相关基金名单及费率调整安排</w:t>
      </w:r>
    </w:p>
    <w:tbl>
      <w:tblPr>
        <w:tblStyle w:val="af"/>
        <w:tblW w:w="9634" w:type="dxa"/>
        <w:jc w:val="center"/>
        <w:tblLayout w:type="fixed"/>
        <w:tblLook w:val="04A0"/>
      </w:tblPr>
      <w:tblGrid>
        <w:gridCol w:w="562"/>
        <w:gridCol w:w="4536"/>
        <w:gridCol w:w="1134"/>
        <w:gridCol w:w="1134"/>
        <w:gridCol w:w="1134"/>
        <w:gridCol w:w="1134"/>
      </w:tblGrid>
      <w:tr w:rsidR="00F51425" w:rsidTr="00F51425">
        <w:trPr>
          <w:trHeight w:val="465"/>
          <w:jc w:val="center"/>
        </w:trPr>
        <w:tc>
          <w:tcPr>
            <w:tcW w:w="562" w:type="dxa"/>
            <w:vMerge w:val="restart"/>
            <w:vAlign w:val="center"/>
          </w:tcPr>
          <w:p w:rsidR="00F51425" w:rsidRPr="00B01465" w:rsidRDefault="00F51425" w:rsidP="00724B5F">
            <w:pPr>
              <w:spacing w:line="360" w:lineRule="auto"/>
              <w:jc w:val="center"/>
              <w:rPr>
                <w:rFonts w:asciiTheme="minorEastAsia" w:hAnsiTheme="minorEastAsia"/>
                <w:b/>
                <w:bCs/>
                <w:sz w:val="22"/>
                <w:szCs w:val="24"/>
              </w:rPr>
            </w:pPr>
            <w:r>
              <w:rPr>
                <w:rFonts w:asciiTheme="minorEastAsia" w:hAnsiTheme="minorEastAsia" w:hint="eastAsia"/>
                <w:b/>
                <w:bCs/>
                <w:sz w:val="22"/>
                <w:szCs w:val="24"/>
              </w:rPr>
              <w:t>序号</w:t>
            </w:r>
          </w:p>
        </w:tc>
        <w:tc>
          <w:tcPr>
            <w:tcW w:w="4536" w:type="dxa"/>
            <w:vMerge w:val="restart"/>
            <w:vAlign w:val="center"/>
          </w:tcPr>
          <w:p w:rsidR="00F51425" w:rsidRPr="00B01465" w:rsidRDefault="00F51425" w:rsidP="00724B5F">
            <w:pPr>
              <w:spacing w:line="360" w:lineRule="auto"/>
              <w:jc w:val="center"/>
              <w:rPr>
                <w:rFonts w:asciiTheme="minorEastAsia" w:hAnsiTheme="minorEastAsia"/>
                <w:b/>
                <w:bCs/>
                <w:sz w:val="22"/>
                <w:szCs w:val="24"/>
              </w:rPr>
            </w:pPr>
            <w:r>
              <w:rPr>
                <w:rFonts w:asciiTheme="minorEastAsia" w:hAnsiTheme="minorEastAsia" w:hint="eastAsia"/>
                <w:b/>
                <w:bCs/>
                <w:sz w:val="22"/>
                <w:szCs w:val="24"/>
              </w:rPr>
              <w:t>基金名称</w:t>
            </w:r>
          </w:p>
        </w:tc>
        <w:tc>
          <w:tcPr>
            <w:tcW w:w="2268" w:type="dxa"/>
            <w:gridSpan w:val="2"/>
            <w:vAlign w:val="center"/>
          </w:tcPr>
          <w:p w:rsidR="00F51425" w:rsidRPr="00B01465" w:rsidRDefault="00F51425" w:rsidP="00724B5F">
            <w:pPr>
              <w:spacing w:line="360" w:lineRule="auto"/>
              <w:jc w:val="center"/>
              <w:rPr>
                <w:rFonts w:asciiTheme="minorEastAsia" w:hAnsiTheme="minorEastAsia"/>
                <w:b/>
                <w:bCs/>
                <w:sz w:val="22"/>
                <w:szCs w:val="24"/>
              </w:rPr>
            </w:pPr>
            <w:r>
              <w:rPr>
                <w:rFonts w:asciiTheme="minorEastAsia" w:hAnsiTheme="minorEastAsia" w:hint="eastAsia"/>
                <w:b/>
                <w:bCs/>
                <w:sz w:val="22"/>
                <w:szCs w:val="24"/>
              </w:rPr>
              <w:t>调整前</w:t>
            </w:r>
          </w:p>
        </w:tc>
        <w:tc>
          <w:tcPr>
            <w:tcW w:w="2268" w:type="dxa"/>
            <w:gridSpan w:val="2"/>
            <w:vAlign w:val="center"/>
          </w:tcPr>
          <w:p w:rsidR="00F51425" w:rsidRPr="00B01465" w:rsidRDefault="00F51425" w:rsidP="00724B5F">
            <w:pPr>
              <w:spacing w:line="360" w:lineRule="auto"/>
              <w:jc w:val="center"/>
              <w:rPr>
                <w:rFonts w:asciiTheme="minorEastAsia" w:hAnsiTheme="minorEastAsia"/>
                <w:b/>
                <w:bCs/>
                <w:sz w:val="22"/>
                <w:szCs w:val="24"/>
              </w:rPr>
            </w:pPr>
            <w:r>
              <w:rPr>
                <w:rFonts w:asciiTheme="minorEastAsia" w:hAnsiTheme="minorEastAsia" w:hint="eastAsia"/>
                <w:b/>
                <w:bCs/>
                <w:sz w:val="22"/>
                <w:szCs w:val="24"/>
              </w:rPr>
              <w:t>调整后</w:t>
            </w:r>
          </w:p>
        </w:tc>
      </w:tr>
      <w:tr w:rsidR="00F51425" w:rsidTr="00F51425">
        <w:trPr>
          <w:trHeight w:val="465"/>
          <w:jc w:val="center"/>
        </w:trPr>
        <w:tc>
          <w:tcPr>
            <w:tcW w:w="562" w:type="dxa"/>
            <w:vMerge/>
            <w:vAlign w:val="center"/>
          </w:tcPr>
          <w:p w:rsidR="00F51425" w:rsidRDefault="00F51425" w:rsidP="00F51425">
            <w:pPr>
              <w:spacing w:line="360" w:lineRule="auto"/>
              <w:jc w:val="center"/>
              <w:rPr>
                <w:rFonts w:asciiTheme="minorEastAsia" w:hAnsiTheme="minorEastAsia"/>
                <w:b/>
                <w:bCs/>
                <w:sz w:val="22"/>
                <w:szCs w:val="24"/>
              </w:rPr>
            </w:pPr>
          </w:p>
        </w:tc>
        <w:tc>
          <w:tcPr>
            <w:tcW w:w="4536" w:type="dxa"/>
            <w:vMerge/>
            <w:vAlign w:val="center"/>
          </w:tcPr>
          <w:p w:rsidR="00F51425" w:rsidRDefault="00F51425" w:rsidP="00F51425">
            <w:pPr>
              <w:spacing w:line="360" w:lineRule="auto"/>
              <w:jc w:val="center"/>
              <w:rPr>
                <w:rFonts w:asciiTheme="minorEastAsia" w:hAnsiTheme="minorEastAsia"/>
                <w:b/>
                <w:bCs/>
                <w:sz w:val="22"/>
                <w:szCs w:val="24"/>
              </w:rPr>
            </w:pPr>
          </w:p>
        </w:tc>
        <w:tc>
          <w:tcPr>
            <w:tcW w:w="1134" w:type="dxa"/>
            <w:vAlign w:val="center"/>
          </w:tcPr>
          <w:p w:rsidR="00F51425" w:rsidRPr="00B01465" w:rsidRDefault="00F51425" w:rsidP="00F51425">
            <w:pPr>
              <w:spacing w:line="360" w:lineRule="auto"/>
              <w:jc w:val="center"/>
              <w:rPr>
                <w:rFonts w:asciiTheme="minorEastAsia" w:hAnsiTheme="minorEastAsia"/>
                <w:b/>
                <w:bCs/>
                <w:sz w:val="22"/>
                <w:szCs w:val="24"/>
              </w:rPr>
            </w:pPr>
            <w:r>
              <w:rPr>
                <w:rFonts w:asciiTheme="minorEastAsia" w:hAnsiTheme="minorEastAsia" w:hint="eastAsia"/>
                <w:b/>
                <w:bCs/>
                <w:sz w:val="22"/>
                <w:szCs w:val="24"/>
              </w:rPr>
              <w:t>管理费率</w:t>
            </w:r>
          </w:p>
        </w:tc>
        <w:tc>
          <w:tcPr>
            <w:tcW w:w="1134" w:type="dxa"/>
            <w:vAlign w:val="center"/>
          </w:tcPr>
          <w:p w:rsidR="00F51425" w:rsidRPr="00B01465" w:rsidRDefault="00F51425" w:rsidP="00F51425">
            <w:pPr>
              <w:spacing w:line="360" w:lineRule="auto"/>
              <w:jc w:val="center"/>
              <w:rPr>
                <w:rFonts w:asciiTheme="minorEastAsia" w:hAnsiTheme="minorEastAsia"/>
                <w:b/>
                <w:bCs/>
                <w:sz w:val="22"/>
                <w:szCs w:val="24"/>
              </w:rPr>
            </w:pPr>
            <w:r>
              <w:rPr>
                <w:rFonts w:asciiTheme="minorEastAsia" w:hAnsiTheme="minorEastAsia" w:hint="eastAsia"/>
                <w:b/>
                <w:bCs/>
                <w:sz w:val="22"/>
                <w:szCs w:val="24"/>
              </w:rPr>
              <w:t>托管费率</w:t>
            </w:r>
          </w:p>
        </w:tc>
        <w:tc>
          <w:tcPr>
            <w:tcW w:w="1134" w:type="dxa"/>
            <w:vAlign w:val="center"/>
          </w:tcPr>
          <w:p w:rsidR="00F51425" w:rsidRPr="00B01465" w:rsidRDefault="00F51425" w:rsidP="00F51425">
            <w:pPr>
              <w:spacing w:line="360" w:lineRule="auto"/>
              <w:jc w:val="center"/>
              <w:rPr>
                <w:rFonts w:asciiTheme="minorEastAsia" w:hAnsiTheme="minorEastAsia"/>
                <w:b/>
                <w:bCs/>
                <w:sz w:val="22"/>
                <w:szCs w:val="24"/>
              </w:rPr>
            </w:pPr>
            <w:r>
              <w:rPr>
                <w:rFonts w:asciiTheme="minorEastAsia" w:hAnsiTheme="minorEastAsia" w:hint="eastAsia"/>
                <w:b/>
                <w:bCs/>
                <w:sz w:val="22"/>
                <w:szCs w:val="24"/>
              </w:rPr>
              <w:t>管理费率</w:t>
            </w:r>
          </w:p>
        </w:tc>
        <w:tc>
          <w:tcPr>
            <w:tcW w:w="1134" w:type="dxa"/>
            <w:vAlign w:val="center"/>
          </w:tcPr>
          <w:p w:rsidR="00F51425" w:rsidRPr="00B01465" w:rsidRDefault="00F51425" w:rsidP="00F51425">
            <w:pPr>
              <w:spacing w:line="360" w:lineRule="auto"/>
              <w:jc w:val="center"/>
              <w:rPr>
                <w:rFonts w:asciiTheme="minorEastAsia" w:hAnsiTheme="minorEastAsia"/>
                <w:b/>
                <w:bCs/>
                <w:sz w:val="22"/>
                <w:szCs w:val="24"/>
              </w:rPr>
            </w:pPr>
            <w:r>
              <w:rPr>
                <w:rFonts w:asciiTheme="minorEastAsia" w:hAnsiTheme="minorEastAsia" w:hint="eastAsia"/>
                <w:b/>
                <w:bCs/>
                <w:sz w:val="22"/>
                <w:szCs w:val="24"/>
              </w:rPr>
              <w:t>托管费率</w:t>
            </w:r>
          </w:p>
        </w:tc>
      </w:tr>
      <w:tr w:rsidR="00F51425" w:rsidTr="00F51425">
        <w:trPr>
          <w:trHeight w:val="313"/>
          <w:jc w:val="center"/>
        </w:trPr>
        <w:tc>
          <w:tcPr>
            <w:tcW w:w="562" w:type="dxa"/>
            <w:vAlign w:val="center"/>
          </w:tcPr>
          <w:p w:rsidR="00F51425" w:rsidRDefault="00F51425" w:rsidP="00724B5F">
            <w:pPr>
              <w:spacing w:line="360" w:lineRule="auto"/>
              <w:jc w:val="center"/>
              <w:rPr>
                <w:rFonts w:asciiTheme="minorEastAsia" w:hAnsiTheme="minorEastAsia"/>
                <w:sz w:val="22"/>
                <w:szCs w:val="24"/>
              </w:rPr>
            </w:pPr>
            <w:r>
              <w:rPr>
                <w:rFonts w:asciiTheme="minorEastAsia" w:hAnsiTheme="minorEastAsia" w:hint="eastAsia"/>
                <w:sz w:val="22"/>
                <w:szCs w:val="24"/>
              </w:rPr>
              <w:t>1</w:t>
            </w:r>
          </w:p>
        </w:tc>
        <w:tc>
          <w:tcPr>
            <w:tcW w:w="4536"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淳厚信泽灵活配置混合型证券投资基金</w:t>
            </w:r>
          </w:p>
        </w:tc>
        <w:tc>
          <w:tcPr>
            <w:tcW w:w="1134" w:type="dxa"/>
            <w:vAlign w:val="center"/>
          </w:tcPr>
          <w:p w:rsidR="00F51425" w:rsidRDefault="00F51425" w:rsidP="00724B5F">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.50%</w:t>
            </w:r>
          </w:p>
        </w:tc>
        <w:tc>
          <w:tcPr>
            <w:tcW w:w="1134" w:type="dxa"/>
            <w:vAlign w:val="center"/>
          </w:tcPr>
          <w:p w:rsidR="00F51425" w:rsidRDefault="00F51425" w:rsidP="00724B5F">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.20%</w:t>
            </w:r>
          </w:p>
        </w:tc>
        <w:tc>
          <w:tcPr>
            <w:tcW w:w="1134" w:type="dxa"/>
            <w:vAlign w:val="center"/>
          </w:tcPr>
          <w:p w:rsidR="00F51425" w:rsidRDefault="00F51425" w:rsidP="00724B5F">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.20%</w:t>
            </w:r>
          </w:p>
        </w:tc>
        <w:tc>
          <w:tcPr>
            <w:tcW w:w="1134" w:type="dxa"/>
            <w:vAlign w:val="center"/>
          </w:tcPr>
          <w:p w:rsidR="00F51425" w:rsidRDefault="00F51425" w:rsidP="00724B5F">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.20%</w:t>
            </w:r>
          </w:p>
        </w:tc>
      </w:tr>
      <w:tr w:rsidR="00F51425" w:rsidTr="00F51425">
        <w:trPr>
          <w:trHeight w:val="313"/>
          <w:jc w:val="center"/>
        </w:trPr>
        <w:tc>
          <w:tcPr>
            <w:tcW w:w="562"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2</w:t>
            </w:r>
          </w:p>
        </w:tc>
        <w:tc>
          <w:tcPr>
            <w:tcW w:w="4536"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淳厚信睿核心精选混合型证券投资基金</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.50%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.20%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.20%</w:t>
            </w:r>
          </w:p>
        </w:tc>
      </w:tr>
      <w:tr w:rsidR="00F51425" w:rsidTr="00F51425">
        <w:trPr>
          <w:trHeight w:val="313"/>
          <w:jc w:val="center"/>
        </w:trPr>
        <w:tc>
          <w:tcPr>
            <w:tcW w:w="562"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3</w:t>
            </w:r>
          </w:p>
        </w:tc>
        <w:tc>
          <w:tcPr>
            <w:tcW w:w="4536"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淳厚欣享一年持有期混合型证券投资基金</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.50%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.20%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.20%</w:t>
            </w:r>
          </w:p>
        </w:tc>
      </w:tr>
      <w:tr w:rsidR="00F51425" w:rsidTr="00F51425">
        <w:trPr>
          <w:trHeight w:val="313"/>
          <w:jc w:val="center"/>
        </w:trPr>
        <w:tc>
          <w:tcPr>
            <w:tcW w:w="562"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4</w:t>
            </w:r>
          </w:p>
        </w:tc>
        <w:tc>
          <w:tcPr>
            <w:tcW w:w="4536"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淳厚欣颐一年持有期混合型证券投资基金</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.50%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.20%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.20%</w:t>
            </w:r>
          </w:p>
        </w:tc>
      </w:tr>
      <w:tr w:rsidR="00F51425" w:rsidTr="00F51425">
        <w:trPr>
          <w:trHeight w:val="313"/>
          <w:jc w:val="center"/>
        </w:trPr>
        <w:tc>
          <w:tcPr>
            <w:tcW w:w="562"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5</w:t>
            </w:r>
          </w:p>
        </w:tc>
        <w:tc>
          <w:tcPr>
            <w:tcW w:w="4536"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淳厚鑫淳一年持有期混合型证券投资基金</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.50%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.25%</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.20%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.20%</w:t>
            </w:r>
          </w:p>
        </w:tc>
      </w:tr>
      <w:tr w:rsidR="00F51425" w:rsidTr="00F51425">
        <w:trPr>
          <w:trHeight w:val="313"/>
          <w:jc w:val="center"/>
        </w:trPr>
        <w:tc>
          <w:tcPr>
            <w:tcW w:w="562"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6</w:t>
            </w:r>
          </w:p>
        </w:tc>
        <w:tc>
          <w:tcPr>
            <w:tcW w:w="4536"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淳厚现代服务业股票型证券投资基金</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.50%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.25%</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.20%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.20%</w:t>
            </w:r>
          </w:p>
        </w:tc>
      </w:tr>
      <w:tr w:rsidR="00F51425" w:rsidTr="00F51425">
        <w:trPr>
          <w:trHeight w:val="313"/>
          <w:jc w:val="center"/>
        </w:trPr>
        <w:tc>
          <w:tcPr>
            <w:tcW w:w="562"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7</w:t>
            </w:r>
          </w:p>
        </w:tc>
        <w:tc>
          <w:tcPr>
            <w:tcW w:w="4536"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淳厚鑫悦商业模式优选混合型证券投资基金</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.50%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.25%</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.20%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.20%</w:t>
            </w:r>
          </w:p>
        </w:tc>
      </w:tr>
      <w:tr w:rsidR="00F51425" w:rsidTr="00F51425">
        <w:trPr>
          <w:trHeight w:val="313"/>
          <w:jc w:val="center"/>
        </w:trPr>
        <w:tc>
          <w:tcPr>
            <w:tcW w:w="562"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8</w:t>
            </w:r>
          </w:p>
        </w:tc>
        <w:tc>
          <w:tcPr>
            <w:tcW w:w="4536"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淳厚时代优选混合型证券投资基金</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.50%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.20%</w:t>
            </w:r>
          </w:p>
        </w:tc>
        <w:tc>
          <w:tcPr>
            <w:tcW w:w="1134" w:type="dxa"/>
            <w:vAlign w:val="center"/>
          </w:tcPr>
          <w:p w:rsidR="00F51425" w:rsidRDefault="00F51425" w:rsidP="00F51425">
            <w:pPr>
              <w:spacing w:line="360" w:lineRule="auto"/>
              <w:jc w:val="center"/>
              <w:rPr>
                <w:rFonts w:asciiTheme="minorEastAsia" w:hAnsiTheme="minorEastAsia"/>
                <w:sz w:val="22"/>
                <w:szCs w:val="24"/>
              </w:rPr>
            </w:pPr>
            <w:r>
              <w:rPr>
                <w:rFonts w:asciiTheme="minorEastAsia" w:hAnsiTheme="minorEastAsia" w:hint="eastAsia"/>
                <w:sz w:val="22"/>
                <w:szCs w:val="24"/>
              </w:rPr>
              <w:t>0</w:t>
            </w:r>
            <w:r>
              <w:rPr>
                <w:rFonts w:asciiTheme="minorEastAsia" w:hAnsiTheme="minorEastAsia"/>
                <w:sz w:val="22"/>
                <w:szCs w:val="24"/>
              </w:rPr>
              <w:t>.20%</w:t>
            </w:r>
          </w:p>
        </w:tc>
      </w:tr>
    </w:tbl>
    <w:p w:rsidR="00F51425" w:rsidRPr="00F51425" w:rsidRDefault="00F51425" w:rsidP="00F51425">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420"/>
        <w:rPr>
          <w:color w:val="1E1E1E"/>
          <w:sz w:val="22"/>
        </w:rPr>
      </w:pPr>
    </w:p>
    <w:sectPr w:rsidR="00F51425" w:rsidRPr="00F51425" w:rsidSect="000D7D49">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DD3590" w16cid:durableId="2873D39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5B3" w:rsidRDefault="003015B3" w:rsidP="000668BF">
      <w:r>
        <w:separator/>
      </w:r>
    </w:p>
  </w:endnote>
  <w:endnote w:type="continuationSeparator" w:id="0">
    <w:p w:rsidR="003015B3" w:rsidRDefault="003015B3" w:rsidP="000668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5B3" w:rsidRDefault="003015B3" w:rsidP="000668BF">
      <w:r>
        <w:separator/>
      </w:r>
    </w:p>
  </w:footnote>
  <w:footnote w:type="continuationSeparator" w:id="0">
    <w:p w:rsidR="003015B3" w:rsidRDefault="003015B3" w:rsidP="000668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39A8"/>
    <w:rsid w:val="000668BF"/>
    <w:rsid w:val="0009235E"/>
    <w:rsid w:val="000A5ECF"/>
    <w:rsid w:val="000D1A61"/>
    <w:rsid w:val="000D7D49"/>
    <w:rsid w:val="00122084"/>
    <w:rsid w:val="001473F3"/>
    <w:rsid w:val="001600A4"/>
    <w:rsid w:val="00176621"/>
    <w:rsid w:val="0017740C"/>
    <w:rsid w:val="00190B76"/>
    <w:rsid w:val="001E30EC"/>
    <w:rsid w:val="001E378B"/>
    <w:rsid w:val="00233C30"/>
    <w:rsid w:val="00236052"/>
    <w:rsid w:val="00257420"/>
    <w:rsid w:val="00277231"/>
    <w:rsid w:val="0029038F"/>
    <w:rsid w:val="0029665A"/>
    <w:rsid w:val="002F35B2"/>
    <w:rsid w:val="003015B3"/>
    <w:rsid w:val="00307BA1"/>
    <w:rsid w:val="00372F98"/>
    <w:rsid w:val="0037731A"/>
    <w:rsid w:val="00387D1F"/>
    <w:rsid w:val="003A1DD7"/>
    <w:rsid w:val="003E24A1"/>
    <w:rsid w:val="0041593E"/>
    <w:rsid w:val="00452881"/>
    <w:rsid w:val="00482FD2"/>
    <w:rsid w:val="004B39A8"/>
    <w:rsid w:val="004C026B"/>
    <w:rsid w:val="004E4ADD"/>
    <w:rsid w:val="005049AB"/>
    <w:rsid w:val="005401A6"/>
    <w:rsid w:val="00541CA8"/>
    <w:rsid w:val="00586213"/>
    <w:rsid w:val="006372E6"/>
    <w:rsid w:val="006558EA"/>
    <w:rsid w:val="00657592"/>
    <w:rsid w:val="00660092"/>
    <w:rsid w:val="00661647"/>
    <w:rsid w:val="00670402"/>
    <w:rsid w:val="0067232C"/>
    <w:rsid w:val="006A6C1E"/>
    <w:rsid w:val="00715100"/>
    <w:rsid w:val="007358FC"/>
    <w:rsid w:val="00781D95"/>
    <w:rsid w:val="007946C9"/>
    <w:rsid w:val="007B27E3"/>
    <w:rsid w:val="007C3586"/>
    <w:rsid w:val="007E3D0D"/>
    <w:rsid w:val="00817575"/>
    <w:rsid w:val="00821E32"/>
    <w:rsid w:val="008253A8"/>
    <w:rsid w:val="00830A26"/>
    <w:rsid w:val="00835A03"/>
    <w:rsid w:val="008515EC"/>
    <w:rsid w:val="008553EF"/>
    <w:rsid w:val="0086172E"/>
    <w:rsid w:val="00872D12"/>
    <w:rsid w:val="00874691"/>
    <w:rsid w:val="00882E57"/>
    <w:rsid w:val="008B1768"/>
    <w:rsid w:val="008B4CF1"/>
    <w:rsid w:val="008D3875"/>
    <w:rsid w:val="008E3B0D"/>
    <w:rsid w:val="008F0924"/>
    <w:rsid w:val="008F723A"/>
    <w:rsid w:val="0090384B"/>
    <w:rsid w:val="0092427E"/>
    <w:rsid w:val="00927A0D"/>
    <w:rsid w:val="00955DEB"/>
    <w:rsid w:val="00986B4F"/>
    <w:rsid w:val="009960D9"/>
    <w:rsid w:val="009B702F"/>
    <w:rsid w:val="009D25DA"/>
    <w:rsid w:val="00A075CF"/>
    <w:rsid w:val="00A13E5B"/>
    <w:rsid w:val="00A258E7"/>
    <w:rsid w:val="00A56C2C"/>
    <w:rsid w:val="00A64196"/>
    <w:rsid w:val="00AA01B9"/>
    <w:rsid w:val="00AA0E44"/>
    <w:rsid w:val="00AC4ED1"/>
    <w:rsid w:val="00AC6CA2"/>
    <w:rsid w:val="00AC7C92"/>
    <w:rsid w:val="00AD0D75"/>
    <w:rsid w:val="00AE2033"/>
    <w:rsid w:val="00AF0A0F"/>
    <w:rsid w:val="00B2088F"/>
    <w:rsid w:val="00B35100"/>
    <w:rsid w:val="00B60090"/>
    <w:rsid w:val="00B65111"/>
    <w:rsid w:val="00B760D7"/>
    <w:rsid w:val="00B930BE"/>
    <w:rsid w:val="00BA573D"/>
    <w:rsid w:val="00BC5E3C"/>
    <w:rsid w:val="00BD02A1"/>
    <w:rsid w:val="00BD5916"/>
    <w:rsid w:val="00C102B4"/>
    <w:rsid w:val="00C11357"/>
    <w:rsid w:val="00C217C2"/>
    <w:rsid w:val="00C23BE8"/>
    <w:rsid w:val="00C51D7A"/>
    <w:rsid w:val="00C8144E"/>
    <w:rsid w:val="00C95B35"/>
    <w:rsid w:val="00C96FAF"/>
    <w:rsid w:val="00CC09D2"/>
    <w:rsid w:val="00CC415F"/>
    <w:rsid w:val="00CD5568"/>
    <w:rsid w:val="00CF50AB"/>
    <w:rsid w:val="00D06349"/>
    <w:rsid w:val="00D107F5"/>
    <w:rsid w:val="00D4598C"/>
    <w:rsid w:val="00D74351"/>
    <w:rsid w:val="00DD5358"/>
    <w:rsid w:val="00DE0C6B"/>
    <w:rsid w:val="00E04292"/>
    <w:rsid w:val="00E43B16"/>
    <w:rsid w:val="00E46D6A"/>
    <w:rsid w:val="00E5101D"/>
    <w:rsid w:val="00E752E3"/>
    <w:rsid w:val="00E900B8"/>
    <w:rsid w:val="00EA1989"/>
    <w:rsid w:val="00ED0718"/>
    <w:rsid w:val="00ED4316"/>
    <w:rsid w:val="00EE45C8"/>
    <w:rsid w:val="00F51425"/>
    <w:rsid w:val="00FD178C"/>
    <w:rsid w:val="00FD3540"/>
    <w:rsid w:val="00FD5846"/>
    <w:rsid w:val="00FE231D"/>
    <w:rsid w:val="00FF6289"/>
    <w:rsid w:val="7F9F5F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D49"/>
    <w:pPr>
      <w:widowControl w:val="0"/>
      <w:jc w:val="both"/>
    </w:pPr>
    <w:rPr>
      <w:kern w:val="2"/>
      <w:sz w:val="21"/>
      <w:szCs w:val="22"/>
    </w:rPr>
  </w:style>
  <w:style w:type="paragraph" w:styleId="1">
    <w:name w:val="heading 1"/>
    <w:basedOn w:val="a"/>
    <w:next w:val="a"/>
    <w:link w:val="1Char"/>
    <w:uiPriority w:val="9"/>
    <w:qFormat/>
    <w:rsid w:val="000D7D49"/>
    <w:pPr>
      <w:keepNext/>
      <w:keepLines/>
      <w:spacing w:before="120" w:after="120" w:line="360" w:lineRule="exact"/>
      <w:ind w:left="420" w:hanging="420"/>
      <w:jc w:val="left"/>
      <w:outlineLvl w:val="0"/>
    </w:pPr>
    <w:rPr>
      <w:rFonts w:eastAsia="微软雅黑"/>
      <w:b/>
      <w:bCs/>
      <w:color w:val="1F2A44"/>
      <w:kern w:val="44"/>
      <w:sz w:val="28"/>
      <w:szCs w:val="44"/>
    </w:rPr>
  </w:style>
  <w:style w:type="paragraph" w:styleId="2">
    <w:name w:val="heading 2"/>
    <w:basedOn w:val="a"/>
    <w:next w:val="a"/>
    <w:link w:val="2Char"/>
    <w:uiPriority w:val="9"/>
    <w:unhideWhenUsed/>
    <w:qFormat/>
    <w:rsid w:val="000D7D49"/>
    <w:pPr>
      <w:keepNext/>
      <w:keepLines/>
      <w:spacing w:before="120" w:after="120" w:line="360" w:lineRule="exact"/>
      <w:ind w:left="420" w:hanging="420"/>
      <w:jc w:val="left"/>
      <w:outlineLvl w:val="1"/>
    </w:pPr>
    <w:rPr>
      <w:rFonts w:asciiTheme="majorHAnsi" w:eastAsia="微软雅黑" w:hAnsiTheme="majorHAnsi" w:cstheme="majorBidi"/>
      <w:b/>
      <w:bCs/>
      <w:color w:val="000000" w:themeColor="text1"/>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D7D49"/>
    <w:pPr>
      <w:jc w:val="left"/>
    </w:pPr>
  </w:style>
  <w:style w:type="paragraph" w:styleId="a4">
    <w:name w:val="Balloon Text"/>
    <w:basedOn w:val="a"/>
    <w:link w:val="Char0"/>
    <w:uiPriority w:val="99"/>
    <w:semiHidden/>
    <w:unhideWhenUsed/>
    <w:rsid w:val="000D7D49"/>
    <w:rPr>
      <w:sz w:val="18"/>
      <w:szCs w:val="18"/>
    </w:rPr>
  </w:style>
  <w:style w:type="paragraph" w:styleId="a5">
    <w:name w:val="footer"/>
    <w:basedOn w:val="a"/>
    <w:link w:val="Char1"/>
    <w:uiPriority w:val="99"/>
    <w:unhideWhenUsed/>
    <w:rsid w:val="000D7D49"/>
    <w:pPr>
      <w:tabs>
        <w:tab w:val="center" w:pos="4153"/>
        <w:tab w:val="right" w:pos="8306"/>
      </w:tabs>
      <w:snapToGrid w:val="0"/>
      <w:jc w:val="left"/>
    </w:pPr>
    <w:rPr>
      <w:sz w:val="18"/>
      <w:szCs w:val="18"/>
    </w:rPr>
  </w:style>
  <w:style w:type="paragraph" w:styleId="a6">
    <w:name w:val="header"/>
    <w:basedOn w:val="a"/>
    <w:link w:val="Char2"/>
    <w:uiPriority w:val="99"/>
    <w:unhideWhenUsed/>
    <w:rsid w:val="000D7D49"/>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rsid w:val="000D7D49"/>
    <w:pPr>
      <w:spacing w:before="120" w:after="120" w:line="360" w:lineRule="exact"/>
      <w:ind w:firstLineChars="200" w:firstLine="200"/>
      <w:jc w:val="left"/>
      <w:outlineLvl w:val="1"/>
    </w:pPr>
    <w:rPr>
      <w:rFonts w:asciiTheme="majorHAnsi" w:eastAsia="微软雅黑" w:hAnsiTheme="majorHAnsi" w:cstheme="majorBidi"/>
      <w:bCs/>
      <w:color w:val="000000" w:themeColor="text1"/>
      <w:kern w:val="28"/>
      <w:szCs w:val="32"/>
    </w:rPr>
  </w:style>
  <w:style w:type="paragraph" w:styleId="a8">
    <w:name w:val="Normal (Web)"/>
    <w:basedOn w:val="a"/>
    <w:uiPriority w:val="99"/>
    <w:unhideWhenUsed/>
    <w:rsid w:val="000D7D49"/>
    <w:pPr>
      <w:widowControl/>
      <w:spacing w:before="100" w:beforeAutospacing="1" w:after="100" w:afterAutospacing="1"/>
      <w:jc w:val="left"/>
    </w:pPr>
    <w:rPr>
      <w:rFonts w:ascii="宋体" w:eastAsia="宋体" w:hAnsi="宋体" w:cs="宋体"/>
      <w:kern w:val="0"/>
      <w:sz w:val="24"/>
      <w:szCs w:val="24"/>
    </w:rPr>
  </w:style>
  <w:style w:type="paragraph" w:styleId="a9">
    <w:name w:val="Title"/>
    <w:basedOn w:val="a"/>
    <w:next w:val="a"/>
    <w:link w:val="Char4"/>
    <w:uiPriority w:val="10"/>
    <w:qFormat/>
    <w:rsid w:val="000D7D49"/>
    <w:pPr>
      <w:spacing w:before="120" w:after="120" w:line="360" w:lineRule="exact"/>
      <w:ind w:left="420" w:hanging="420"/>
      <w:jc w:val="left"/>
      <w:outlineLvl w:val="0"/>
    </w:pPr>
    <w:rPr>
      <w:rFonts w:asciiTheme="majorHAnsi" w:eastAsia="微软雅黑" w:hAnsiTheme="majorHAnsi" w:cstheme="majorBidi"/>
      <w:b/>
      <w:bCs/>
      <w:color w:val="1F2A44"/>
      <w:sz w:val="24"/>
      <w:szCs w:val="32"/>
    </w:rPr>
  </w:style>
  <w:style w:type="paragraph" w:styleId="aa">
    <w:name w:val="annotation subject"/>
    <w:basedOn w:val="a3"/>
    <w:next w:val="a3"/>
    <w:link w:val="Char5"/>
    <w:uiPriority w:val="99"/>
    <w:semiHidden/>
    <w:unhideWhenUsed/>
    <w:rsid w:val="000D7D49"/>
    <w:rPr>
      <w:b/>
      <w:bCs/>
    </w:rPr>
  </w:style>
  <w:style w:type="character" w:styleId="ab">
    <w:name w:val="Hyperlink"/>
    <w:basedOn w:val="a0"/>
    <w:uiPriority w:val="99"/>
    <w:rsid w:val="000D7D49"/>
    <w:rPr>
      <w:color w:val="0000FF"/>
      <w:u w:val="single"/>
    </w:rPr>
  </w:style>
  <w:style w:type="character" w:styleId="ac">
    <w:name w:val="annotation reference"/>
    <w:basedOn w:val="a0"/>
    <w:uiPriority w:val="99"/>
    <w:semiHidden/>
    <w:unhideWhenUsed/>
    <w:rsid w:val="000D7D49"/>
    <w:rPr>
      <w:sz w:val="21"/>
      <w:szCs w:val="21"/>
    </w:rPr>
  </w:style>
  <w:style w:type="paragraph" w:customStyle="1" w:styleId="ad">
    <w:name w:val="图表样式"/>
    <w:basedOn w:val="a7"/>
    <w:link w:val="Char6"/>
    <w:qFormat/>
    <w:rsid w:val="000D7D49"/>
    <w:pPr>
      <w:jc w:val="center"/>
    </w:pPr>
    <w:rPr>
      <w:b/>
      <w:color w:val="1F2A44"/>
      <w:sz w:val="18"/>
    </w:rPr>
  </w:style>
  <w:style w:type="character" w:customStyle="1" w:styleId="Char6">
    <w:name w:val="图表样式 Char"/>
    <w:basedOn w:val="Char3"/>
    <w:link w:val="ad"/>
    <w:rsid w:val="000D7D49"/>
    <w:rPr>
      <w:rFonts w:asciiTheme="majorHAnsi" w:eastAsia="微软雅黑" w:hAnsiTheme="majorHAnsi" w:cstheme="majorBidi"/>
      <w:b/>
      <w:bCs/>
      <w:color w:val="1F2A44"/>
      <w:kern w:val="28"/>
      <w:sz w:val="18"/>
      <w:szCs w:val="32"/>
    </w:rPr>
  </w:style>
  <w:style w:type="character" w:customStyle="1" w:styleId="Char3">
    <w:name w:val="副标题 Char"/>
    <w:basedOn w:val="a0"/>
    <w:link w:val="a7"/>
    <w:uiPriority w:val="11"/>
    <w:rsid w:val="000D7D49"/>
    <w:rPr>
      <w:rFonts w:asciiTheme="majorHAnsi" w:eastAsia="微软雅黑" w:hAnsiTheme="majorHAnsi" w:cstheme="majorBidi"/>
      <w:bCs/>
      <w:color w:val="000000" w:themeColor="text1"/>
      <w:kern w:val="28"/>
      <w:szCs w:val="32"/>
    </w:rPr>
  </w:style>
  <w:style w:type="character" w:customStyle="1" w:styleId="1Char">
    <w:name w:val="标题 1 Char"/>
    <w:basedOn w:val="a0"/>
    <w:link w:val="1"/>
    <w:uiPriority w:val="9"/>
    <w:rsid w:val="000D7D49"/>
    <w:rPr>
      <w:rFonts w:eastAsia="微软雅黑"/>
      <w:b/>
      <w:bCs/>
      <w:color w:val="1F2A44"/>
      <w:kern w:val="44"/>
      <w:sz w:val="28"/>
      <w:szCs w:val="44"/>
    </w:rPr>
  </w:style>
  <w:style w:type="character" w:customStyle="1" w:styleId="2Char">
    <w:name w:val="标题 2 Char"/>
    <w:basedOn w:val="a0"/>
    <w:link w:val="2"/>
    <w:uiPriority w:val="9"/>
    <w:rsid w:val="000D7D49"/>
    <w:rPr>
      <w:rFonts w:asciiTheme="majorHAnsi" w:eastAsia="微软雅黑" w:hAnsiTheme="majorHAnsi" w:cstheme="majorBidi"/>
      <w:b/>
      <w:bCs/>
      <w:color w:val="000000" w:themeColor="text1"/>
      <w:szCs w:val="32"/>
    </w:rPr>
  </w:style>
  <w:style w:type="character" w:customStyle="1" w:styleId="Char4">
    <w:name w:val="标题 Char"/>
    <w:basedOn w:val="a0"/>
    <w:link w:val="a9"/>
    <w:uiPriority w:val="10"/>
    <w:rsid w:val="000D7D49"/>
    <w:rPr>
      <w:rFonts w:asciiTheme="majorHAnsi" w:eastAsia="微软雅黑" w:hAnsiTheme="majorHAnsi" w:cstheme="majorBidi"/>
      <w:b/>
      <w:bCs/>
      <w:color w:val="1F2A44"/>
      <w:sz w:val="24"/>
      <w:szCs w:val="32"/>
    </w:rPr>
  </w:style>
  <w:style w:type="paragraph" w:styleId="ae">
    <w:name w:val="List Paragraph"/>
    <w:basedOn w:val="a"/>
    <w:uiPriority w:val="34"/>
    <w:qFormat/>
    <w:rsid w:val="000D7D49"/>
    <w:pPr>
      <w:ind w:firstLineChars="200" w:firstLine="420"/>
    </w:pPr>
  </w:style>
  <w:style w:type="character" w:customStyle="1" w:styleId="10">
    <w:name w:val="不明显强调1"/>
    <w:uiPriority w:val="19"/>
    <w:qFormat/>
    <w:rsid w:val="000D7D49"/>
    <w:rPr>
      <w:rFonts w:eastAsia="微软雅黑"/>
      <w:b/>
      <w:iCs/>
      <w:color w:val="202944"/>
      <w:sz w:val="18"/>
    </w:rPr>
  </w:style>
  <w:style w:type="character" w:customStyle="1" w:styleId="Char0">
    <w:name w:val="批注框文本 Char"/>
    <w:basedOn w:val="a0"/>
    <w:link w:val="a4"/>
    <w:uiPriority w:val="99"/>
    <w:semiHidden/>
    <w:rsid w:val="000D7D49"/>
    <w:rPr>
      <w:sz w:val="18"/>
      <w:szCs w:val="18"/>
    </w:rPr>
  </w:style>
  <w:style w:type="character" w:customStyle="1" w:styleId="Char2">
    <w:name w:val="页眉 Char"/>
    <w:basedOn w:val="a0"/>
    <w:link w:val="a6"/>
    <w:uiPriority w:val="99"/>
    <w:rsid w:val="000D7D49"/>
    <w:rPr>
      <w:sz w:val="18"/>
      <w:szCs w:val="18"/>
    </w:rPr>
  </w:style>
  <w:style w:type="character" w:customStyle="1" w:styleId="Char1">
    <w:name w:val="页脚 Char"/>
    <w:basedOn w:val="a0"/>
    <w:link w:val="a5"/>
    <w:uiPriority w:val="99"/>
    <w:rsid w:val="000D7D49"/>
    <w:rPr>
      <w:sz w:val="18"/>
      <w:szCs w:val="18"/>
    </w:rPr>
  </w:style>
  <w:style w:type="character" w:customStyle="1" w:styleId="Char">
    <w:name w:val="批注文字 Char"/>
    <w:basedOn w:val="a0"/>
    <w:link w:val="a3"/>
    <w:uiPriority w:val="99"/>
    <w:semiHidden/>
    <w:rsid w:val="000D7D49"/>
  </w:style>
  <w:style w:type="character" w:customStyle="1" w:styleId="Char5">
    <w:name w:val="批注主题 Char"/>
    <w:basedOn w:val="Char"/>
    <w:link w:val="aa"/>
    <w:uiPriority w:val="99"/>
    <w:semiHidden/>
    <w:rsid w:val="000D7D49"/>
    <w:rPr>
      <w:b/>
      <w:bCs/>
    </w:rPr>
  </w:style>
  <w:style w:type="table" w:styleId="af">
    <w:name w:val="Table Grid"/>
    <w:basedOn w:val="a1"/>
    <w:uiPriority w:val="39"/>
    <w:rsid w:val="00D7435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Date"/>
    <w:basedOn w:val="a"/>
    <w:next w:val="a"/>
    <w:link w:val="Char7"/>
    <w:uiPriority w:val="99"/>
    <w:semiHidden/>
    <w:unhideWhenUsed/>
    <w:rsid w:val="00F51425"/>
    <w:pPr>
      <w:ind w:leftChars="2500" w:left="100"/>
    </w:pPr>
  </w:style>
  <w:style w:type="character" w:customStyle="1" w:styleId="Char7">
    <w:name w:val="日期 Char"/>
    <w:basedOn w:val="a0"/>
    <w:link w:val="af0"/>
    <w:uiPriority w:val="99"/>
    <w:semiHidden/>
    <w:rsid w:val="00F51425"/>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rekindfund.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1130</Characters>
  <Application>Microsoft Office Word</Application>
  <DocSecurity>4</DocSecurity>
  <Lines>9</Lines>
  <Paragraphs>2</Paragraphs>
  <ScaleCrop>false</ScaleCrop>
  <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lixing 李星</dc:creator>
  <cp:lastModifiedBy>ZHONGM</cp:lastModifiedBy>
  <cp:revision>2</cp:revision>
  <cp:lastPrinted>2018-06-01T19:40:00Z</cp:lastPrinted>
  <dcterms:created xsi:type="dcterms:W3CDTF">2023-08-11T16:01:00Z</dcterms:created>
  <dcterms:modified xsi:type="dcterms:W3CDTF">2023-08-11T16:01:00Z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IPGFID">
    <vt:lpwstr>[DocID]=B693744C-FCBE-46FF-9436-781E55DF5738</vt:lpwstr>
  </property>
  <property fmtid="{D5CDD505-2E9C-101B-9397-08002B2CF9AE}" pid="4" name="DOCPROPERTY_INTERNAL_DELFLAGS2">
    <vt:lpwstr>1</vt:lpwstr>
  </property>
  <property fmtid="{D5CDD505-2E9C-101B-9397-08002B2CF9AE}" pid="5" name="_IPGFLOW_P-C6FA_E-0_CV-88520CEC_CN-123EF297">
    <vt:lpwstr>DPFPMK|3|50|1|0</vt:lpwstr>
  </property>
  <property fmtid="{D5CDD505-2E9C-101B-9397-08002B2CF9AE}" pid="6" name="_IPGFLOW_P-C6FA_E-1_FP-1_SP-1_CV-CD4177F3_CN-CA38E620">
    <vt:lpwstr>RJXr/Y+DgH3Q/b6UGxt1arKSq3VHIHmo6crlEUpPhyJsTmERGEu1O0Dsjj5Y/jPv3Il9mrrWZvr2oYdeTEpnBy7GXwRvkWX/TZs09x6B9ShhWJyQD+dS/r+l+woMR77EyxnspBIP7/RZ5DUrEQxn96JNGleTePJh5Cbqk1aCx91MHBM/4qoApteHMQKgMOlHeNvseNby8pTl9tLI6ndECSZMw/ct3xhkUm1ufs0iWejlwkVmBZa6M76ugZ6cb4U</vt:lpwstr>
  </property>
  <property fmtid="{D5CDD505-2E9C-101B-9397-08002B2CF9AE}" pid="7" name="_IPGFLOW_P-C6FA_E-1_FP-1_SP-2_CV-71041E96_CN-181A553A">
    <vt:lpwstr>er/HyTtrqAIEMVY+26V7mI1ps7gjOAbvT9ybwjxBDVnNBkAnA4yMG2JbMD+Hw9r6pHi46hlw/u7dY7Fj+3l5v/ODPjZiFga31Y01c2x603wR1XGbn/40IMCWlVguJwDqncqSz5bZ9LvH/i+d3l0Q+JQ==</vt:lpwstr>
  </property>
  <property fmtid="{D5CDD505-2E9C-101B-9397-08002B2CF9AE}" pid="8" name="_IPGFLOW_P-C6FA_E-0_FP-1_CV-FB4CA461_CN-93B9B93E">
    <vt:lpwstr>DPSPMK|3|408|2|0</vt:lpwstr>
  </property>
</Properties>
</file>