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C5531F" w:rsidP="00D031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建信基金管理有限责任公司旗下调低费率基金</w:t>
      </w:r>
      <w:r w:rsidR="004755A5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514E5F" w:rsidP="00514E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为更好地满足广大投资者的投资理财需求，降低投资者的理财成本，经与相关公开募集证券投资基金的基金托管人协商一致，并报中国证监会备案，建信基金管理有限责任公司</w:t>
      </w:r>
      <w:r w:rsidR="005B55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B55C4"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以下简称“</w:t>
      </w:r>
      <w:r w:rsidR="005B55C4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bookmarkStart w:id="0" w:name="_GoBack"/>
      <w:bookmarkEnd w:id="0"/>
      <w:r w:rsidR="005B55C4"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5B55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决定自2023年8月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日起，调低旗下部分基金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以下简称“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相关基金</w:t>
      </w: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14E5F">
        <w:rPr>
          <w:rFonts w:ascii="仿宋" w:eastAsia="仿宋" w:hAnsi="仿宋" w:hint="eastAsia"/>
          <w:color w:val="000000" w:themeColor="text1"/>
          <w:sz w:val="32"/>
          <w:szCs w:val="32"/>
        </w:rPr>
        <w:t>的管理费率及托管费率并对基金合同有关条款进行修订。相关基金的名单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见附表。相关</w:t>
      </w:r>
      <w:r w:rsidR="000D31CE" w:rsidRPr="000D31C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6119C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439C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F8105F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404A6">
        <w:rPr>
          <w:rStyle w:val="a7"/>
          <w:rFonts w:ascii="仿宋" w:eastAsia="仿宋" w:hAnsi="仿宋"/>
          <w:sz w:val="32"/>
          <w:szCs w:val="32"/>
        </w:rPr>
        <w:t>http://www.ccbfund.cn</w:t>
      </w:r>
      <w:r w:rsidR="00333296" w:rsidRPr="00333296">
        <w:rPr>
          <w:rStyle w:val="a7"/>
          <w:rFonts w:ascii="仿宋" w:eastAsia="仿宋" w:hAnsi="仿宋" w:hint="eastAsia"/>
          <w:sz w:val="32"/>
          <w:szCs w:val="32"/>
        </w:rPr>
        <w:t>/</w:t>
      </w:r>
      <w:r w:rsidR="00F8105F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F8105F" w:rsidRPr="00F8105F">
        <w:rPr>
          <w:rFonts w:ascii="仿宋" w:eastAsia="仿宋" w:hAnsi="仿宋" w:hint="eastAsia"/>
          <w:color w:val="000000" w:themeColor="text1"/>
          <w:sz w:val="32"/>
          <w:szCs w:val="32"/>
        </w:rPr>
        <w:t>400-81-95533（免长途通话费用）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222D9" w:rsidRDefault="00C222D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222D9" w:rsidRDefault="00C222D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222D9" w:rsidRDefault="00C222D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33296" w:rsidP="0033329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333296">
        <w:rPr>
          <w:rFonts w:ascii="仿宋" w:eastAsia="仿宋" w:hAnsi="仿宋" w:hint="eastAsia"/>
          <w:color w:val="000000" w:themeColor="text1"/>
          <w:sz w:val="32"/>
          <w:szCs w:val="32"/>
        </w:rPr>
        <w:t>建信基金管理有限责任公司</w:t>
      </w:r>
      <w:r w:rsidR="00917BD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A6119C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79004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439C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087B4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14E5F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087B4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C5531F" w:rsidRDefault="00C5531F" w:rsidP="00514E5F">
      <w:pPr>
        <w:spacing w:line="540" w:lineRule="exact"/>
        <w:ind w:firstLineChars="250" w:firstLine="700"/>
        <w:rPr>
          <w:rFonts w:asciiTheme="minorEastAsia" w:hAnsiTheme="minorEastAsia"/>
          <w:color w:val="000000" w:themeColor="text1"/>
          <w:sz w:val="28"/>
          <w:szCs w:val="32"/>
        </w:rPr>
      </w:pPr>
    </w:p>
    <w:p w:rsidR="00514E5F" w:rsidRPr="00C5531F" w:rsidRDefault="00514E5F" w:rsidP="00C5531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5531F">
        <w:rPr>
          <w:rFonts w:ascii="仿宋" w:eastAsia="仿宋" w:hAnsi="仿宋" w:hint="eastAsia"/>
          <w:color w:val="000000" w:themeColor="text1"/>
          <w:sz w:val="32"/>
          <w:szCs w:val="32"/>
        </w:rPr>
        <w:t>附件：相关基金名单</w:t>
      </w:r>
    </w:p>
    <w:tbl>
      <w:tblPr>
        <w:tblStyle w:val="ad"/>
        <w:tblW w:w="5000" w:type="pct"/>
        <w:jc w:val="center"/>
        <w:tblLook w:val="04A0"/>
      </w:tblPr>
      <w:tblGrid>
        <w:gridCol w:w="1503"/>
        <w:gridCol w:w="7443"/>
      </w:tblGrid>
      <w:tr w:rsidR="00514E5F" w:rsidRPr="00514E5F" w:rsidTr="00514E5F">
        <w:trPr>
          <w:trHeight w:val="624"/>
          <w:jc w:val="center"/>
        </w:trPr>
        <w:tc>
          <w:tcPr>
            <w:tcW w:w="1164" w:type="pct"/>
            <w:vMerge w:val="restar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836" w:type="pct"/>
            <w:vMerge w:val="restar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bCs/>
                <w:sz w:val="24"/>
                <w:szCs w:val="24"/>
              </w:rPr>
              <w:t>基金名称</w:t>
            </w:r>
          </w:p>
        </w:tc>
      </w:tr>
      <w:tr w:rsidR="00514E5F" w:rsidRPr="00514E5F" w:rsidTr="00514E5F">
        <w:trPr>
          <w:trHeight w:val="624"/>
          <w:jc w:val="center"/>
        </w:trPr>
        <w:tc>
          <w:tcPr>
            <w:tcW w:w="1164" w:type="pct"/>
            <w:vMerge/>
            <w:noWrap/>
            <w:vAlign w:val="center"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836" w:type="pct"/>
            <w:vMerge/>
            <w:noWrap/>
            <w:vAlign w:val="center"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建信高股息主题股票型证券投资基金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建信科技创新混合型证券投资基金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建信潜力新蓝筹股票型证券投资基金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建信沃信一年持有期混合型证券投资基金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建信裕利灵活配置混合型证券投资基金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建信智汇优选一年持有期混合型管理人中管理人(MOM)证券投资基金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建信战略精选灵活配置混合型证券投资基金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建信智能生活混合型证券投资基金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建信优势动力混合型证券投资基金(LOF)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建信央视财经50指数证券投资基金(LOF)</w:t>
            </w:r>
          </w:p>
        </w:tc>
      </w:tr>
      <w:tr w:rsidR="00514E5F" w:rsidRPr="00514E5F" w:rsidTr="00514E5F">
        <w:trPr>
          <w:trHeight w:val="285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建信食品饮料行业股票型证券投资基金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建信兴晟优选一年持有期混合型证券投资基金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建信互联网+产业升级股票型证券投资基金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建信睿盈灵活配置混合型证券投资基金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建信阿尔法一年持有期混合型证券投资基金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建信改革红利股票型证券投资基金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建信龙头企业股票型证券投资基金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建信社会责任混合型证券投资基金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建信臻选混合型证券投资基金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建信卓越成长一年持有期混合型证券投资基金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建信创新驱动混合型证券投资基金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建信丰裕多策略灵活配置混合型证券投资基金(LOF)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建信多因子量化股票型证券投资基金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建信消费升级混合型证券投资基金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建信新经济灵活配置混合型证券投资基金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建信电子行业股票型证券投资基金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建信中小盘先锋股票型证券投资基金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建信量化事件驱动股票型证券投资基金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建信新能源行业股票型证券投资基金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建信大安全战略精选股票型证券投资基金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建信兴润一年持有期混合型证券投资基金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建信高端装备股票型证券投资基金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建信核心精选混合型证券投资基金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建信积极配置混合型证券投资基金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建信内生动力混合型证券投资基金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建信优化配置混合型证券投资基金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建信优选成长混合型证券投资基金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建信创新中国混合型证券投资基金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建信环保产业股票型证券投资基金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建信恒久价值混合型证券投资基金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建信鑫利灵活配置混合型证券投资基金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建信兴利灵活配置混合型证券投资基金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建信弘利灵活配置混合型证券投资基金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建信恒稳价值混合型证券投资基金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建信健康民生混合型证券投资基金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建信信息产业股票型证券投资基金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建信中国制造2025股票型证券投资基金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建信智能汽车股票型证券投资基金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建信医疗健康行业股票型证券投资基金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建信港股通精选混合型证券投资基金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建信智远先锋混合型证券投资基金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建信高端医疗股票型证券投资基金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建信汇利灵活配置混合型证券投资基金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建信现代服务业股票型证券投资基金</w:t>
            </w:r>
          </w:p>
        </w:tc>
      </w:tr>
      <w:tr w:rsidR="00514E5F" w:rsidRPr="00514E5F" w:rsidTr="00514E5F">
        <w:trPr>
          <w:trHeight w:val="270"/>
          <w:jc w:val="center"/>
        </w:trPr>
        <w:tc>
          <w:tcPr>
            <w:tcW w:w="1164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3836" w:type="pct"/>
            <w:noWrap/>
            <w:vAlign w:val="center"/>
            <w:hideMark/>
          </w:tcPr>
          <w:p w:rsidR="00514E5F" w:rsidRPr="00514E5F" w:rsidRDefault="00514E5F" w:rsidP="001B30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4E5F">
              <w:rPr>
                <w:rFonts w:ascii="仿宋" w:eastAsia="仿宋" w:hAnsi="仿宋" w:hint="eastAsia"/>
                <w:sz w:val="24"/>
                <w:szCs w:val="24"/>
              </w:rPr>
              <w:t>建信兴衡优选一年持有期混合型证券投资基金</w:t>
            </w:r>
          </w:p>
        </w:tc>
      </w:tr>
    </w:tbl>
    <w:p w:rsidR="00514E5F" w:rsidRPr="00B17C02" w:rsidRDefault="00514E5F" w:rsidP="0033329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ED4F18" w:rsidRDefault="00BB3501" w:rsidP="00333296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51" w:rsidRDefault="00BA2751" w:rsidP="009A149B">
      <w:r>
        <w:separator/>
      </w:r>
    </w:p>
  </w:endnote>
  <w:endnote w:type="continuationSeparator" w:id="0">
    <w:p w:rsidR="00BA2751" w:rsidRDefault="00BA275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528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0317C" w:rsidRPr="00D0317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528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0317C" w:rsidRPr="00D0317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51" w:rsidRDefault="00BA2751" w:rsidP="009A149B">
      <w:r>
        <w:separator/>
      </w:r>
    </w:p>
  </w:footnote>
  <w:footnote w:type="continuationSeparator" w:id="0">
    <w:p w:rsidR="00BA2751" w:rsidRDefault="00BA275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75A5"/>
    <w:rsid w:val="00022ABD"/>
    <w:rsid w:val="00023E7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87B44"/>
    <w:rsid w:val="0009227A"/>
    <w:rsid w:val="00093E55"/>
    <w:rsid w:val="00094F20"/>
    <w:rsid w:val="000A0272"/>
    <w:rsid w:val="000A0ECE"/>
    <w:rsid w:val="000A588E"/>
    <w:rsid w:val="000B03BC"/>
    <w:rsid w:val="000B53A5"/>
    <w:rsid w:val="000C06E1"/>
    <w:rsid w:val="000C1032"/>
    <w:rsid w:val="000D18EF"/>
    <w:rsid w:val="000D31CE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2791"/>
    <w:rsid w:val="00163899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6686"/>
    <w:rsid w:val="001E7CAD"/>
    <w:rsid w:val="001F125D"/>
    <w:rsid w:val="001F15CB"/>
    <w:rsid w:val="001F533E"/>
    <w:rsid w:val="0021172E"/>
    <w:rsid w:val="00221DE2"/>
    <w:rsid w:val="00234298"/>
    <w:rsid w:val="002471D4"/>
    <w:rsid w:val="0025284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296"/>
    <w:rsid w:val="00333802"/>
    <w:rsid w:val="003467B5"/>
    <w:rsid w:val="00355B7C"/>
    <w:rsid w:val="00361065"/>
    <w:rsid w:val="0036248F"/>
    <w:rsid w:val="00382BCB"/>
    <w:rsid w:val="003861B3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5CAC"/>
    <w:rsid w:val="003F4E13"/>
    <w:rsid w:val="003F6960"/>
    <w:rsid w:val="0040020D"/>
    <w:rsid w:val="00405ADB"/>
    <w:rsid w:val="0042291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55A5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B7D"/>
    <w:rsid w:val="004C3109"/>
    <w:rsid w:val="004C44C4"/>
    <w:rsid w:val="004C625A"/>
    <w:rsid w:val="004C6355"/>
    <w:rsid w:val="004E1D5E"/>
    <w:rsid w:val="004E630B"/>
    <w:rsid w:val="004F7313"/>
    <w:rsid w:val="00514E5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5C4"/>
    <w:rsid w:val="005B5746"/>
    <w:rsid w:val="005C00AF"/>
    <w:rsid w:val="005C7C95"/>
    <w:rsid w:val="005D3C24"/>
    <w:rsid w:val="005D4528"/>
    <w:rsid w:val="005E088E"/>
    <w:rsid w:val="005E0F00"/>
    <w:rsid w:val="005E2B36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0E1D"/>
    <w:rsid w:val="006D17EF"/>
    <w:rsid w:val="006E4941"/>
    <w:rsid w:val="006E55E9"/>
    <w:rsid w:val="006E5DE5"/>
    <w:rsid w:val="006E7335"/>
    <w:rsid w:val="006F1E9F"/>
    <w:rsid w:val="006F2EC2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4C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220"/>
    <w:rsid w:val="00847A69"/>
    <w:rsid w:val="008619E1"/>
    <w:rsid w:val="00863A8C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5EAE"/>
    <w:rsid w:val="008E4CD7"/>
    <w:rsid w:val="008E58F7"/>
    <w:rsid w:val="008E6EC1"/>
    <w:rsid w:val="00903815"/>
    <w:rsid w:val="00903C0A"/>
    <w:rsid w:val="009062C4"/>
    <w:rsid w:val="0090723B"/>
    <w:rsid w:val="00910193"/>
    <w:rsid w:val="00917BD1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C37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44D"/>
    <w:rsid w:val="009F72D1"/>
    <w:rsid w:val="00A144A6"/>
    <w:rsid w:val="00A21627"/>
    <w:rsid w:val="00A36436"/>
    <w:rsid w:val="00A37A94"/>
    <w:rsid w:val="00A41611"/>
    <w:rsid w:val="00A441B7"/>
    <w:rsid w:val="00A447AF"/>
    <w:rsid w:val="00A46430"/>
    <w:rsid w:val="00A5780A"/>
    <w:rsid w:val="00A6119C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64E"/>
    <w:rsid w:val="00AE3F47"/>
    <w:rsid w:val="00AE69BF"/>
    <w:rsid w:val="00AF2104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5E57"/>
    <w:rsid w:val="00B404A6"/>
    <w:rsid w:val="00B41297"/>
    <w:rsid w:val="00B504F2"/>
    <w:rsid w:val="00B517DE"/>
    <w:rsid w:val="00B51CE1"/>
    <w:rsid w:val="00B53140"/>
    <w:rsid w:val="00B61D0F"/>
    <w:rsid w:val="00B646F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751"/>
    <w:rsid w:val="00BA3915"/>
    <w:rsid w:val="00BA3AE4"/>
    <w:rsid w:val="00BA439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8A"/>
    <w:rsid w:val="00BD7C42"/>
    <w:rsid w:val="00BE2CDD"/>
    <w:rsid w:val="00BE2E6B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D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531F"/>
    <w:rsid w:val="00C61988"/>
    <w:rsid w:val="00C64316"/>
    <w:rsid w:val="00C67F89"/>
    <w:rsid w:val="00C71F74"/>
    <w:rsid w:val="00C73CFC"/>
    <w:rsid w:val="00C74837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51E4"/>
    <w:rsid w:val="00CA6A56"/>
    <w:rsid w:val="00CB0EAF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17C"/>
    <w:rsid w:val="00D10B1F"/>
    <w:rsid w:val="00D11E1F"/>
    <w:rsid w:val="00D12332"/>
    <w:rsid w:val="00D20C81"/>
    <w:rsid w:val="00D21C0A"/>
    <w:rsid w:val="00D3262F"/>
    <w:rsid w:val="00D32A81"/>
    <w:rsid w:val="00D361FE"/>
    <w:rsid w:val="00D36E74"/>
    <w:rsid w:val="00D42F13"/>
    <w:rsid w:val="00D42FEB"/>
    <w:rsid w:val="00D43B3D"/>
    <w:rsid w:val="00D450D1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40F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105F"/>
    <w:rsid w:val="00F9100C"/>
    <w:rsid w:val="00FA0934"/>
    <w:rsid w:val="00FA653D"/>
    <w:rsid w:val="00FA6A1D"/>
    <w:rsid w:val="00FB23EE"/>
    <w:rsid w:val="00FC34DF"/>
    <w:rsid w:val="00FC6088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514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514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BD6A-12A0-4EFB-BF01-226CA528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2023-08-10T16:00:00Z</dcterms:created>
  <dcterms:modified xsi:type="dcterms:W3CDTF">2023-08-10T16:00:00Z</dcterms:modified>
</cp:coreProperties>
</file>