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67" w:rsidRDefault="00720382">
      <w:pPr>
        <w:spacing w:after="0" w:line="480" w:lineRule="auto"/>
        <w:ind w:left="0" w:firstLine="0"/>
        <w:jc w:val="center"/>
        <w:rPr>
          <w:b/>
          <w:sz w:val="28"/>
        </w:rPr>
      </w:pPr>
      <w:bookmarkStart w:id="0" w:name="OLE_LINK305"/>
      <w:bookmarkStart w:id="1" w:name="OLE_LINK306"/>
      <w:r>
        <w:rPr>
          <w:b/>
          <w:sz w:val="28"/>
        </w:rPr>
        <w:t>关于财通证券资产管理有限公司旗下部分基金</w:t>
      </w:r>
      <w:r>
        <w:rPr>
          <w:rFonts w:hint="eastAsia"/>
          <w:b/>
          <w:sz w:val="28"/>
        </w:rPr>
        <w:t>在直销渠道开通基金转换业务</w:t>
      </w:r>
      <w:r>
        <w:rPr>
          <w:rFonts w:ascii="Times New Roman" w:hAnsi="Times New Roman" w:hint="eastAsia"/>
          <w:b/>
          <w:bCs/>
          <w:kern w:val="0"/>
          <w:sz w:val="28"/>
          <w:szCs w:val="28"/>
        </w:rPr>
        <w:t>及费率优惠</w:t>
      </w:r>
      <w:r>
        <w:rPr>
          <w:b/>
          <w:sz w:val="28"/>
        </w:rPr>
        <w:t>的公告</w:t>
      </w:r>
    </w:p>
    <w:bookmarkEnd w:id="0"/>
    <w:bookmarkEnd w:id="1"/>
    <w:p w:rsidR="00097B67" w:rsidRDefault="00097B67">
      <w:pPr>
        <w:spacing w:after="28"/>
        <w:ind w:left="621" w:firstLine="0"/>
        <w:jc w:val="center"/>
      </w:pPr>
    </w:p>
    <w:p w:rsidR="00097B67" w:rsidRDefault="00720382" w:rsidP="00720382">
      <w:pPr>
        <w:spacing w:afterLines="100" w:line="366" w:lineRule="auto"/>
        <w:ind w:left="0" w:firstLine="482"/>
        <w:jc w:val="both"/>
        <w:rPr>
          <w:spacing w:val="-3"/>
        </w:rPr>
      </w:pPr>
      <w:bookmarkStart w:id="2" w:name="OLE_LINK252"/>
      <w:bookmarkStart w:id="3" w:name="OLE_LINK253"/>
      <w:r>
        <w:rPr>
          <w:rFonts w:hint="eastAsia"/>
          <w:spacing w:val="-3"/>
        </w:rPr>
        <w:t>为更好地满足投资者的投资理财需求，财通证券资产管理有限公司（以下简称“本公司”）决定，自</w:t>
      </w:r>
      <w:r>
        <w:rPr>
          <w:spacing w:val="-3"/>
        </w:rPr>
        <w:t>2023</w:t>
      </w:r>
      <w:r>
        <w:rPr>
          <w:spacing w:val="-3"/>
        </w:rPr>
        <w:t>年</w:t>
      </w:r>
      <w:r>
        <w:rPr>
          <w:rFonts w:hint="eastAsia"/>
          <w:spacing w:val="-3"/>
        </w:rPr>
        <w:t>8</w:t>
      </w:r>
      <w:r>
        <w:rPr>
          <w:spacing w:val="-3"/>
        </w:rPr>
        <w:t>月</w:t>
      </w:r>
      <w:r>
        <w:rPr>
          <w:rFonts w:hint="eastAsia"/>
          <w:spacing w:val="-3"/>
        </w:rPr>
        <w:t>11</w:t>
      </w:r>
      <w:r>
        <w:rPr>
          <w:spacing w:val="-3"/>
        </w:rPr>
        <w:t>日</w:t>
      </w:r>
      <w:r>
        <w:rPr>
          <w:rFonts w:hint="eastAsia"/>
          <w:spacing w:val="-3"/>
        </w:rPr>
        <w:t>起，</w:t>
      </w:r>
      <w:bookmarkStart w:id="4" w:name="OLE_LINK34"/>
      <w:bookmarkStart w:id="5" w:name="OLE_LINK33"/>
      <w:r>
        <w:rPr>
          <w:rFonts w:hint="eastAsia"/>
          <w:spacing w:val="-3"/>
        </w:rPr>
        <w:t>开通</w:t>
      </w:r>
      <w:r>
        <w:rPr>
          <w:rFonts w:hint="eastAsia"/>
          <w:color w:val="auto"/>
          <w:spacing w:val="-3"/>
        </w:rPr>
        <w:t>注册登记在本公司</w:t>
      </w:r>
      <w:r>
        <w:rPr>
          <w:rFonts w:hint="eastAsia"/>
          <w:spacing w:val="-3"/>
        </w:rPr>
        <w:t>的部分</w:t>
      </w:r>
      <w:r>
        <w:rPr>
          <w:spacing w:val="-3"/>
        </w:rPr>
        <w:t>开放式基</w:t>
      </w:r>
      <w:r>
        <w:rPr>
          <w:rFonts w:hint="eastAsia"/>
          <w:spacing w:val="-3"/>
        </w:rPr>
        <w:t>金在</w:t>
      </w:r>
      <w:r>
        <w:rPr>
          <w:rFonts w:hint="eastAsia"/>
          <w:color w:val="auto"/>
          <w:spacing w:val="-3"/>
        </w:rPr>
        <w:t>直销渠道</w:t>
      </w:r>
      <w:r>
        <w:rPr>
          <w:rFonts w:hint="eastAsia"/>
          <w:spacing w:val="-3"/>
        </w:rPr>
        <w:t>的</w:t>
      </w:r>
      <w:r>
        <w:rPr>
          <w:spacing w:val="-3"/>
        </w:rPr>
        <w:t>转换业务</w:t>
      </w:r>
      <w:bookmarkEnd w:id="4"/>
      <w:bookmarkEnd w:id="5"/>
      <w:r>
        <w:rPr>
          <w:spacing w:val="-3"/>
        </w:rPr>
        <w:t>，并实施相应的费率优惠</w:t>
      </w:r>
      <w:bookmarkEnd w:id="2"/>
      <w:bookmarkEnd w:id="3"/>
      <w:r>
        <w:rPr>
          <w:rFonts w:hint="eastAsia"/>
          <w:spacing w:val="-3"/>
        </w:rPr>
        <w:t>：</w:t>
      </w:r>
    </w:p>
    <w:p w:rsidR="00097B67" w:rsidRDefault="00720382" w:rsidP="00720382">
      <w:pPr>
        <w:numPr>
          <w:ilvl w:val="0"/>
          <w:numId w:val="1"/>
        </w:numPr>
        <w:spacing w:afterLines="50" w:line="367" w:lineRule="auto"/>
        <w:ind w:left="0" w:firstLineChars="200" w:firstLine="482"/>
        <w:rPr>
          <w:b/>
        </w:rPr>
      </w:pPr>
      <w:r>
        <w:rPr>
          <w:b/>
        </w:rPr>
        <w:t>开通旗下下述基金的基金转换业务</w:t>
      </w:r>
      <w:r>
        <w:rPr>
          <w:rFonts w:hint="eastAsia"/>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1"/>
        <w:gridCol w:w="1760"/>
      </w:tblGrid>
      <w:tr w:rsidR="00097B67">
        <w:trPr>
          <w:trHeight w:val="454"/>
          <w:jc w:val="center"/>
        </w:trPr>
        <w:tc>
          <w:tcPr>
            <w:tcW w:w="4591" w:type="dxa"/>
            <w:shd w:val="clear" w:color="auto" w:fill="auto"/>
            <w:noWrap/>
            <w:vAlign w:val="center"/>
          </w:tcPr>
          <w:p w:rsidR="00097B67" w:rsidRDefault="00720382">
            <w:pPr>
              <w:pStyle w:val="a9"/>
              <w:widowControl w:val="0"/>
              <w:spacing w:after="0" w:line="240" w:lineRule="auto"/>
              <w:ind w:left="0" w:firstLineChars="0" w:firstLine="0"/>
              <w:jc w:val="center"/>
              <w:rPr>
                <w:rFonts w:ascii="Times New Roman" w:hAnsi="Times New Roman" w:cs="Times New Roman"/>
                <w:b/>
                <w:color w:val="auto"/>
                <w:sz w:val="21"/>
                <w:szCs w:val="24"/>
              </w:rPr>
            </w:pPr>
            <w:r>
              <w:rPr>
                <w:rFonts w:ascii="Times New Roman" w:hAnsi="Times New Roman" w:cs="Times New Roman" w:hint="eastAsia"/>
                <w:b/>
                <w:color w:val="auto"/>
                <w:sz w:val="21"/>
                <w:szCs w:val="24"/>
              </w:rPr>
              <w:t>基金简称</w:t>
            </w:r>
          </w:p>
        </w:tc>
        <w:tc>
          <w:tcPr>
            <w:tcW w:w="1760" w:type="dxa"/>
            <w:shd w:val="clear" w:color="auto" w:fill="auto"/>
            <w:noWrap/>
            <w:vAlign w:val="center"/>
          </w:tcPr>
          <w:p w:rsidR="00097B67" w:rsidRDefault="00720382">
            <w:pPr>
              <w:widowControl w:val="0"/>
              <w:spacing w:after="0" w:line="240" w:lineRule="auto"/>
              <w:ind w:left="0" w:firstLine="0"/>
              <w:jc w:val="center"/>
              <w:rPr>
                <w:rFonts w:ascii="Times New Roman" w:hAnsi="Times New Roman" w:cs="Times New Roman"/>
                <w:b/>
                <w:color w:val="auto"/>
                <w:sz w:val="21"/>
                <w:szCs w:val="24"/>
              </w:rPr>
            </w:pPr>
            <w:r>
              <w:rPr>
                <w:rFonts w:ascii="Times New Roman" w:hAnsi="Times New Roman" w:cs="Times New Roman" w:hint="eastAsia"/>
                <w:b/>
                <w:color w:val="auto"/>
                <w:sz w:val="21"/>
                <w:szCs w:val="24"/>
              </w:rPr>
              <w:t>基金代码</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rFonts w:cs="Times New Roman"/>
                <w:color w:val="000000" w:themeColor="text1"/>
                <w:sz w:val="21"/>
                <w:szCs w:val="24"/>
              </w:rPr>
            </w:pPr>
            <w:r>
              <w:rPr>
                <w:rFonts w:hint="eastAsia"/>
                <w:kern w:val="0"/>
                <w:sz w:val="21"/>
                <w:szCs w:val="21"/>
                <w:lang/>
              </w:rPr>
              <w:t>财通资管睿兴债券</w:t>
            </w:r>
            <w:r>
              <w:rPr>
                <w:rFonts w:hint="eastAsia"/>
                <w:kern w:val="0"/>
                <w:sz w:val="21"/>
                <w:szCs w:val="21"/>
                <w:lang/>
              </w:rPr>
              <w:t>A</w:t>
            </w:r>
          </w:p>
        </w:tc>
        <w:tc>
          <w:tcPr>
            <w:tcW w:w="1760" w:type="dxa"/>
            <w:shd w:val="clear" w:color="auto" w:fill="auto"/>
            <w:noWrap/>
            <w:vAlign w:val="center"/>
          </w:tcPr>
          <w:p w:rsidR="00097B67" w:rsidRDefault="00720382">
            <w:pPr>
              <w:widowControl w:val="0"/>
              <w:spacing w:after="0" w:line="240" w:lineRule="auto"/>
              <w:ind w:left="0" w:firstLine="0"/>
              <w:jc w:val="center"/>
              <w:rPr>
                <w:rFonts w:cs="Times New Roman"/>
                <w:color w:val="000000" w:themeColor="text1"/>
                <w:szCs w:val="24"/>
              </w:rPr>
            </w:pPr>
            <w:r>
              <w:rPr>
                <w:rFonts w:hint="eastAsia"/>
                <w:kern w:val="0"/>
                <w:szCs w:val="24"/>
                <w:lang/>
              </w:rPr>
              <w:t>016432</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财通资管睿兴债券</w:t>
            </w:r>
            <w:r>
              <w:rPr>
                <w:rFonts w:hint="eastAsia"/>
                <w:kern w:val="0"/>
                <w:sz w:val="21"/>
                <w:szCs w:val="21"/>
                <w:lang/>
              </w:rPr>
              <w:t>C</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016433</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财通资管臻享成长混合</w:t>
            </w:r>
            <w:r>
              <w:rPr>
                <w:rFonts w:hint="eastAsia"/>
                <w:kern w:val="0"/>
                <w:sz w:val="21"/>
                <w:szCs w:val="21"/>
                <w:lang/>
              </w:rPr>
              <w:t>A</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016605</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财通资管臻享成长混合</w:t>
            </w:r>
            <w:r>
              <w:rPr>
                <w:rFonts w:hint="eastAsia"/>
                <w:kern w:val="0"/>
                <w:sz w:val="21"/>
                <w:szCs w:val="21"/>
                <w:lang/>
              </w:rPr>
              <w:t>C</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016606</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财通资管睿安债券</w:t>
            </w:r>
            <w:r>
              <w:rPr>
                <w:rFonts w:hint="eastAsia"/>
                <w:kern w:val="0"/>
                <w:sz w:val="21"/>
                <w:szCs w:val="21"/>
                <w:lang/>
              </w:rPr>
              <w:t>A</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016959</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财通资管睿安债券</w:t>
            </w:r>
            <w:r>
              <w:rPr>
                <w:rFonts w:hint="eastAsia"/>
                <w:kern w:val="0"/>
                <w:sz w:val="21"/>
                <w:szCs w:val="21"/>
                <w:lang/>
              </w:rPr>
              <w:t>C</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016960</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财通资管鑫锐混合</w:t>
            </w:r>
            <w:r>
              <w:rPr>
                <w:rFonts w:hint="eastAsia"/>
                <w:kern w:val="0"/>
                <w:sz w:val="21"/>
                <w:szCs w:val="21"/>
                <w:lang/>
              </w:rPr>
              <w:t>E</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018040</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财通资管鑫逸混合</w:t>
            </w:r>
            <w:r>
              <w:rPr>
                <w:rFonts w:hint="eastAsia"/>
                <w:kern w:val="0"/>
                <w:sz w:val="21"/>
                <w:szCs w:val="21"/>
                <w:lang/>
              </w:rPr>
              <w:t>E</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018041</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财通资管品质消费混合发起式</w:t>
            </w:r>
            <w:r>
              <w:rPr>
                <w:rFonts w:hint="eastAsia"/>
                <w:kern w:val="0"/>
                <w:sz w:val="21"/>
                <w:szCs w:val="21"/>
                <w:lang/>
              </w:rPr>
              <w:t>A</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018438</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财通资管品质消费混合发起式</w:t>
            </w:r>
            <w:r>
              <w:rPr>
                <w:rFonts w:hint="eastAsia"/>
                <w:kern w:val="0"/>
                <w:sz w:val="21"/>
                <w:szCs w:val="21"/>
                <w:lang/>
              </w:rPr>
              <w:t>C</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018439</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财通资管医疗保健混合</w:t>
            </w:r>
            <w:r>
              <w:rPr>
                <w:rFonts w:hint="eastAsia"/>
                <w:kern w:val="0"/>
                <w:sz w:val="21"/>
                <w:szCs w:val="21"/>
                <w:lang/>
              </w:rPr>
              <w:t>A</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018484</w:t>
            </w:r>
          </w:p>
        </w:tc>
      </w:tr>
      <w:tr w:rsidR="00097B67">
        <w:trPr>
          <w:trHeight w:val="454"/>
          <w:jc w:val="center"/>
        </w:trPr>
        <w:tc>
          <w:tcPr>
            <w:tcW w:w="4591" w:type="dxa"/>
            <w:shd w:val="clear" w:color="auto" w:fill="auto"/>
            <w:noWrap/>
            <w:vAlign w:val="center"/>
          </w:tcPr>
          <w:p w:rsidR="00097B67" w:rsidRDefault="00720382">
            <w:pPr>
              <w:widowControl w:val="0"/>
              <w:spacing w:after="0" w:line="240" w:lineRule="auto"/>
              <w:ind w:left="0" w:firstLine="0"/>
              <w:jc w:val="center"/>
              <w:rPr>
                <w:kern w:val="0"/>
                <w:sz w:val="21"/>
                <w:szCs w:val="21"/>
                <w:lang/>
              </w:rPr>
            </w:pPr>
            <w:r>
              <w:rPr>
                <w:rFonts w:hint="eastAsia"/>
                <w:kern w:val="0"/>
                <w:sz w:val="21"/>
                <w:szCs w:val="21"/>
                <w:lang/>
              </w:rPr>
              <w:t>财通资管医疗保健混合</w:t>
            </w:r>
            <w:r>
              <w:rPr>
                <w:rFonts w:hint="eastAsia"/>
                <w:kern w:val="0"/>
                <w:sz w:val="21"/>
                <w:szCs w:val="21"/>
                <w:lang/>
              </w:rPr>
              <w:t>C</w:t>
            </w:r>
          </w:p>
        </w:tc>
        <w:tc>
          <w:tcPr>
            <w:tcW w:w="1760" w:type="dxa"/>
            <w:shd w:val="clear" w:color="auto" w:fill="auto"/>
            <w:noWrap/>
            <w:vAlign w:val="center"/>
          </w:tcPr>
          <w:p w:rsidR="00097B67" w:rsidRDefault="00720382">
            <w:pPr>
              <w:widowControl w:val="0"/>
              <w:spacing w:after="0" w:line="240" w:lineRule="auto"/>
              <w:ind w:left="0" w:firstLine="0"/>
              <w:jc w:val="center"/>
              <w:rPr>
                <w:kern w:val="0"/>
                <w:szCs w:val="24"/>
                <w:lang/>
              </w:rPr>
            </w:pPr>
            <w:r>
              <w:rPr>
                <w:rFonts w:hint="eastAsia"/>
                <w:kern w:val="0"/>
                <w:szCs w:val="24"/>
                <w:lang/>
              </w:rPr>
              <w:t>018485</w:t>
            </w:r>
          </w:p>
        </w:tc>
      </w:tr>
    </w:tbl>
    <w:p w:rsidR="00097B67" w:rsidRDefault="00720382" w:rsidP="00720382">
      <w:pPr>
        <w:spacing w:beforeLines="100" w:line="360" w:lineRule="auto"/>
        <w:ind w:left="11" w:firstLineChars="200" w:firstLine="480"/>
        <w:jc w:val="both"/>
      </w:pPr>
      <w:r>
        <w:rPr>
          <w:rFonts w:hint="eastAsia"/>
        </w:rPr>
        <w:t>自</w:t>
      </w:r>
      <w:r>
        <w:rPr>
          <w:spacing w:val="-3"/>
        </w:rPr>
        <w:t>2023</w:t>
      </w:r>
      <w:r>
        <w:rPr>
          <w:spacing w:val="-3"/>
        </w:rPr>
        <w:t>年</w:t>
      </w:r>
      <w:r>
        <w:rPr>
          <w:rFonts w:hint="eastAsia"/>
          <w:spacing w:val="-3"/>
        </w:rPr>
        <w:t>8</w:t>
      </w:r>
      <w:r>
        <w:rPr>
          <w:spacing w:val="-3"/>
        </w:rPr>
        <w:t>月</w:t>
      </w:r>
      <w:r>
        <w:rPr>
          <w:rFonts w:hint="eastAsia"/>
          <w:spacing w:val="-3"/>
        </w:rPr>
        <w:t>11</w:t>
      </w:r>
      <w:r>
        <w:rPr>
          <w:spacing w:val="-3"/>
        </w:rPr>
        <w:t>日</w:t>
      </w:r>
      <w:r>
        <w:rPr>
          <w:rFonts w:hint="eastAsia"/>
          <w:spacing w:val="-3"/>
        </w:rPr>
        <w:t>起，基金份额持有人可以通过本公司的直销网点（直销柜台和网上交易系统）办理上述基金的转换业务。本次</w:t>
      </w:r>
      <w:r>
        <w:rPr>
          <w:rFonts w:hint="eastAsia"/>
          <w:color w:val="auto"/>
          <w:spacing w:val="-3"/>
        </w:rPr>
        <w:t>仅开通上述基金与本公司旗下其他注册登记在本公司的且已开通转换业务的基金转换业务。</w:t>
      </w:r>
    </w:p>
    <w:p w:rsidR="00097B67" w:rsidRDefault="00720382" w:rsidP="00720382">
      <w:pPr>
        <w:spacing w:beforeLines="100" w:line="360" w:lineRule="auto"/>
        <w:ind w:left="11" w:firstLineChars="200" w:firstLine="480"/>
        <w:jc w:val="both"/>
      </w:pPr>
      <w:r>
        <w:rPr>
          <w:rFonts w:hint="eastAsia"/>
        </w:rPr>
        <w:t>基金</w:t>
      </w:r>
      <w:r>
        <w:t>转换业务是</w:t>
      </w:r>
      <w:r>
        <w:rPr>
          <w:rFonts w:hint="eastAsia"/>
        </w:rPr>
        <w:t>指基金份额持有人申请将其持有本公司管理的某一基金的全部或部分基金份额转换为本公司管理的其他基金的基金份额的行为</w:t>
      </w:r>
      <w:r>
        <w:t>。</w:t>
      </w:r>
      <w:r>
        <w:rPr>
          <w:rFonts w:hint="eastAsia"/>
        </w:rPr>
        <w:t>本公司所管理的尚未开通转换的开放式基金及今后发行的开放式基金是否开转换业务将根据具体情况确定并另行公告。</w:t>
      </w:r>
    </w:p>
    <w:p w:rsidR="00097B67" w:rsidRDefault="00720382" w:rsidP="00720382">
      <w:pPr>
        <w:spacing w:afterLines="50" w:line="367" w:lineRule="auto"/>
        <w:ind w:left="0" w:firstLineChars="200" w:firstLine="482"/>
        <w:rPr>
          <w:b/>
        </w:rPr>
      </w:pPr>
      <w:r>
        <w:rPr>
          <w:rFonts w:hint="eastAsia"/>
          <w:b/>
        </w:rPr>
        <w:lastRenderedPageBreak/>
        <w:t>二</w:t>
      </w:r>
      <w:r>
        <w:rPr>
          <w:b/>
        </w:rPr>
        <w:t>、</w:t>
      </w:r>
      <w:r>
        <w:rPr>
          <w:rFonts w:hint="eastAsia"/>
          <w:b/>
        </w:rPr>
        <w:t>基金转换业务规则：</w:t>
      </w:r>
    </w:p>
    <w:p w:rsidR="00097B67" w:rsidRDefault="00720382">
      <w:pPr>
        <w:spacing w:after="0" w:line="360" w:lineRule="auto"/>
        <w:ind w:left="11" w:firstLineChars="200" w:firstLine="480"/>
        <w:jc w:val="both"/>
      </w:pPr>
      <w:r>
        <w:rPr>
          <w:rFonts w:hint="eastAsia"/>
        </w:rPr>
        <w:t>1</w:t>
      </w:r>
      <w:r>
        <w:rPr>
          <w:rFonts w:hint="eastAsia"/>
        </w:rPr>
        <w:t>、转换的两只基金必须都是由同一销售机构销售的同一基金管理人管理的、在同一基金注册登记机构处注册登记的基金。投资者办理基金转换业务时，转出方的基金必须处于可赎回状态，转入方的基金必须处于可申购状态。同一基金不同类别基金份额间不开放相互转换业务。</w:t>
      </w:r>
    </w:p>
    <w:p w:rsidR="00097B67" w:rsidRDefault="00720382">
      <w:pPr>
        <w:spacing w:after="0" w:line="360" w:lineRule="auto"/>
        <w:ind w:left="11" w:firstLineChars="200" w:firstLine="480"/>
        <w:jc w:val="both"/>
      </w:pPr>
      <w:r>
        <w:rPr>
          <w:rFonts w:hint="eastAsia"/>
        </w:rPr>
        <w:t>2</w:t>
      </w:r>
      <w:r>
        <w:rPr>
          <w:rFonts w:hint="eastAsia"/>
        </w:rPr>
        <w:t>、基金转换采取“未知价法”，即基金的转换价格以转换申请受理当日各基金转出、转入的基金份额资产净值为基准进行计算。</w:t>
      </w:r>
    </w:p>
    <w:p w:rsidR="00097B67" w:rsidRDefault="00720382">
      <w:pPr>
        <w:spacing w:after="0" w:line="360" w:lineRule="auto"/>
        <w:ind w:left="11" w:firstLineChars="200" w:firstLine="480"/>
        <w:jc w:val="both"/>
      </w:pPr>
      <w:r>
        <w:rPr>
          <w:rFonts w:hint="eastAsia"/>
        </w:rPr>
        <w:t>3</w:t>
      </w:r>
      <w:r>
        <w:rPr>
          <w:rFonts w:hint="eastAsia"/>
        </w:rPr>
        <w:t>、基金转换以份额为单位进行申请，遵循“先进先出”的业务规则，即份额注册日期在前的先转换出，份额注册日期在后的后转换出。基金转换申请转出的基金份额必须是可用的份额。</w:t>
      </w:r>
    </w:p>
    <w:p w:rsidR="00097B67" w:rsidRDefault="00720382">
      <w:pPr>
        <w:spacing w:after="0" w:line="360" w:lineRule="auto"/>
        <w:ind w:left="11" w:firstLineChars="200" w:firstLine="480"/>
        <w:jc w:val="both"/>
      </w:pPr>
      <w:r>
        <w:rPr>
          <w:rFonts w:hint="eastAsia"/>
        </w:rPr>
        <w:t>4</w:t>
      </w:r>
      <w:r>
        <w:rPr>
          <w:rFonts w:hint="eastAsia"/>
        </w:rPr>
        <w:t>、注册登记机构以收到有效转换申请的当天作为转换申请日（</w:t>
      </w:r>
      <w:r>
        <w:rPr>
          <w:rFonts w:hint="eastAsia"/>
        </w:rPr>
        <w:t>T</w:t>
      </w:r>
      <w:r>
        <w:rPr>
          <w:rFonts w:hint="eastAsia"/>
        </w:rPr>
        <w:t>日）。正常情况下，投资者转换基金成功的，注册登记机构将在</w:t>
      </w:r>
      <w:r>
        <w:rPr>
          <w:rFonts w:hint="eastAsia"/>
        </w:rPr>
        <w:t>T</w:t>
      </w:r>
      <w:r>
        <w:rPr>
          <w:rFonts w:hint="eastAsia"/>
        </w:rPr>
        <w:t>＋</w:t>
      </w:r>
      <w:r>
        <w:rPr>
          <w:rFonts w:hint="eastAsia"/>
        </w:rPr>
        <w:t>1</w:t>
      </w:r>
      <w:r>
        <w:rPr>
          <w:rFonts w:hint="eastAsia"/>
        </w:rPr>
        <w:t>日对投资者</w:t>
      </w:r>
      <w:r>
        <w:rPr>
          <w:rFonts w:hint="eastAsia"/>
        </w:rPr>
        <w:t>T</w:t>
      </w:r>
      <w:r>
        <w:rPr>
          <w:rFonts w:hint="eastAsia"/>
        </w:rPr>
        <w:t>日的基金转换业务申请进行有效性确认，办理转出基金的权益扣除以及转入基金的权益登记。自</w:t>
      </w:r>
      <w:r>
        <w:rPr>
          <w:rFonts w:hint="eastAsia"/>
        </w:rPr>
        <w:t>T</w:t>
      </w:r>
      <w:r>
        <w:rPr>
          <w:rFonts w:hint="eastAsia"/>
        </w:rPr>
        <w:t>＋</w:t>
      </w:r>
      <w:r>
        <w:rPr>
          <w:rFonts w:hint="eastAsia"/>
        </w:rPr>
        <w:t>2</w:t>
      </w:r>
      <w:r>
        <w:rPr>
          <w:rFonts w:hint="eastAsia"/>
        </w:rPr>
        <w:t>日起，投</w:t>
      </w:r>
      <w:r>
        <w:rPr>
          <w:rFonts w:hint="eastAsia"/>
        </w:rPr>
        <w:t>资者可向销售机构查询基金转换的成交情况，并有权转换或赎回该部分基金份额。</w:t>
      </w:r>
    </w:p>
    <w:p w:rsidR="00097B67" w:rsidRDefault="00720382">
      <w:pPr>
        <w:spacing w:after="0" w:line="360" w:lineRule="auto"/>
        <w:ind w:left="11" w:firstLineChars="200" w:firstLine="480"/>
        <w:jc w:val="both"/>
      </w:pPr>
      <w:r>
        <w:rPr>
          <w:rFonts w:hint="eastAsia"/>
        </w:rPr>
        <w:t>5</w:t>
      </w:r>
      <w:r>
        <w:rPr>
          <w:rFonts w:hint="eastAsia"/>
        </w:rPr>
        <w:t>、单笔转换申请应当满足基金《招募说明书》中转入基金最低申购数额和转出基金最低赎回数额限制。若转入基金有大额申购限制的，则需遵循相关大额申购限制的约定。</w:t>
      </w:r>
    </w:p>
    <w:p w:rsidR="00097B67" w:rsidRDefault="00720382">
      <w:pPr>
        <w:spacing w:after="0" w:line="360" w:lineRule="auto"/>
        <w:ind w:left="11" w:firstLineChars="200" w:firstLine="480"/>
        <w:jc w:val="both"/>
      </w:pPr>
      <w:r>
        <w:rPr>
          <w:rFonts w:hint="eastAsia"/>
        </w:rPr>
        <w:t>6</w:t>
      </w:r>
      <w:r>
        <w:rPr>
          <w:rFonts w:hint="eastAsia"/>
        </w:rPr>
        <w:t>、当某笔转换业务导致投资者基金交易账户内余额小于转出基金的《基金合同》和《招募说明书》中“最低持有份额”的相关条款规定时，剩余部分的基金份额将被强制赎回。</w:t>
      </w:r>
    </w:p>
    <w:p w:rsidR="00097B67" w:rsidRDefault="00720382">
      <w:pPr>
        <w:spacing w:after="0" w:line="360" w:lineRule="auto"/>
        <w:ind w:left="11" w:firstLineChars="200" w:firstLine="480"/>
        <w:jc w:val="both"/>
      </w:pPr>
      <w:r>
        <w:rPr>
          <w:rFonts w:hint="eastAsia"/>
        </w:rPr>
        <w:t>7</w:t>
      </w:r>
      <w:r>
        <w:rPr>
          <w:rFonts w:hint="eastAsia"/>
        </w:rPr>
        <w:t>、发生巨额赎回时，基金转出与基金赎回具有相同的优先级，由基金管理人按照基金合同规定的处理程序进行受理。</w:t>
      </w:r>
    </w:p>
    <w:p w:rsidR="00097B67" w:rsidRDefault="00720382" w:rsidP="00720382">
      <w:pPr>
        <w:spacing w:afterLines="100" w:line="360" w:lineRule="auto"/>
        <w:ind w:left="11" w:firstLineChars="200" w:firstLine="480"/>
        <w:jc w:val="both"/>
      </w:pPr>
      <w:r>
        <w:rPr>
          <w:rFonts w:hint="eastAsia"/>
        </w:rPr>
        <w:t>8</w:t>
      </w:r>
      <w:r>
        <w:rPr>
          <w:rFonts w:hint="eastAsia"/>
        </w:rPr>
        <w:t>、基金转换后，转入</w:t>
      </w:r>
      <w:r>
        <w:rPr>
          <w:rFonts w:hint="eastAsia"/>
        </w:rPr>
        <w:t>基金份额的持有时间将重新计算，即转入基金份额的持有期将自转入基金份额被确认日起重新开始计算。</w:t>
      </w:r>
    </w:p>
    <w:p w:rsidR="00097B67" w:rsidRDefault="00720382" w:rsidP="00720382">
      <w:pPr>
        <w:spacing w:afterLines="50" w:line="367" w:lineRule="auto"/>
        <w:ind w:left="0" w:firstLineChars="200" w:firstLine="482"/>
        <w:rPr>
          <w:b/>
        </w:rPr>
      </w:pPr>
      <w:r>
        <w:rPr>
          <w:rFonts w:hint="eastAsia"/>
          <w:b/>
        </w:rPr>
        <w:t>三</w:t>
      </w:r>
      <w:r>
        <w:rPr>
          <w:b/>
        </w:rPr>
        <w:t>、</w:t>
      </w:r>
      <w:r>
        <w:rPr>
          <w:rFonts w:hint="eastAsia"/>
          <w:b/>
        </w:rPr>
        <w:t>基金转换费用及计算公式：</w:t>
      </w:r>
    </w:p>
    <w:p w:rsidR="00097B67" w:rsidRDefault="00720382">
      <w:pPr>
        <w:spacing w:after="0" w:line="360" w:lineRule="auto"/>
        <w:ind w:firstLineChars="200" w:firstLine="480"/>
        <w:jc w:val="both"/>
      </w:pPr>
      <w:r>
        <w:rPr>
          <w:rFonts w:hint="eastAsia"/>
        </w:rPr>
        <w:lastRenderedPageBreak/>
        <w:t>基金转换费用由转出基金的赎回费和基金转换的申购补差费两部分构成，具体收取情况视每次转换时不同基金的申购费率和赎回费率的差异情况而定。基金转换费用由基金持有人承担。</w:t>
      </w:r>
    </w:p>
    <w:p w:rsidR="00097B67" w:rsidRDefault="00720382">
      <w:pPr>
        <w:spacing w:after="0" w:line="360" w:lineRule="auto"/>
        <w:ind w:firstLineChars="200" w:firstLine="480"/>
        <w:jc w:val="both"/>
      </w:pPr>
      <w:r>
        <w:rPr>
          <w:rFonts w:hint="eastAsia"/>
        </w:rPr>
        <w:t>1</w:t>
      </w:r>
      <w:r>
        <w:rPr>
          <w:rFonts w:hint="eastAsia"/>
        </w:rPr>
        <w:t>、转出基金赎回费用按转出基金的赎回费率收取，基金转换费用中转出基金的赎回费总额的归入转出基金的基金财产的比例参照赎回费率的规定。</w:t>
      </w:r>
    </w:p>
    <w:p w:rsidR="00097B67" w:rsidRDefault="00720382">
      <w:pPr>
        <w:spacing w:after="0" w:line="360" w:lineRule="auto"/>
        <w:ind w:firstLineChars="200" w:firstLine="480"/>
        <w:jc w:val="both"/>
      </w:pPr>
      <w:r>
        <w:rPr>
          <w:rFonts w:hint="eastAsia"/>
        </w:rPr>
        <w:t>2</w:t>
      </w:r>
      <w:r>
        <w:rPr>
          <w:rFonts w:hint="eastAsia"/>
        </w:rPr>
        <w:t>、申购补差费指转入基金与转出基金的申购费之差。当转入基金的申购费率高于转出基金的申购费率时</w:t>
      </w:r>
      <w:r>
        <w:rPr>
          <w:rFonts w:hint="eastAsia"/>
        </w:rPr>
        <w:t>，应缴纳转入基金和转出基金的申购费差额，反之则不收取申购补差费；各基金的申购费率指各基金的招募说明书等法律文件中规定的标准费率。</w:t>
      </w:r>
    </w:p>
    <w:p w:rsidR="00097B67" w:rsidRDefault="00720382">
      <w:pPr>
        <w:spacing w:after="0" w:line="360" w:lineRule="auto"/>
        <w:ind w:firstLineChars="200" w:firstLine="480"/>
        <w:jc w:val="both"/>
      </w:pPr>
      <w:r>
        <w:rPr>
          <w:rFonts w:hint="eastAsia"/>
        </w:rPr>
        <w:t>3</w:t>
      </w:r>
      <w:r>
        <w:rPr>
          <w:rFonts w:hint="eastAsia"/>
        </w:rPr>
        <w:t>、转换份额的计算公式：</w:t>
      </w:r>
    </w:p>
    <w:p w:rsidR="00097B67" w:rsidRDefault="00720382">
      <w:pPr>
        <w:spacing w:after="0" w:line="360" w:lineRule="auto"/>
        <w:ind w:leftChars="200" w:left="480" w:firstLine="0"/>
        <w:jc w:val="both"/>
      </w:pPr>
      <w:r>
        <w:rPr>
          <w:rFonts w:hint="eastAsia"/>
        </w:rPr>
        <w:t>转出基金赎回费</w:t>
      </w:r>
      <w:r>
        <w:rPr>
          <w:rFonts w:hint="eastAsia"/>
        </w:rPr>
        <w:t>=</w:t>
      </w:r>
      <w:r>
        <w:rPr>
          <w:rFonts w:hint="eastAsia"/>
        </w:rPr>
        <w:t>转出份额×转出基金当日份额净值×转出基金赎回费率</w:t>
      </w:r>
    </w:p>
    <w:p w:rsidR="00097B67" w:rsidRDefault="00720382">
      <w:pPr>
        <w:spacing w:after="0" w:line="360" w:lineRule="auto"/>
        <w:ind w:leftChars="200" w:left="480" w:firstLine="0"/>
        <w:jc w:val="both"/>
      </w:pPr>
      <w:r>
        <w:rPr>
          <w:rFonts w:hint="eastAsia"/>
        </w:rPr>
        <w:t>转出金额＝转出份额×转出基金当日基金份额净值</w:t>
      </w:r>
      <w:r>
        <w:rPr>
          <w:rFonts w:hint="eastAsia"/>
        </w:rPr>
        <w:t>-</w:t>
      </w:r>
      <w:r>
        <w:rPr>
          <w:rFonts w:hint="eastAsia"/>
        </w:rPr>
        <w:t>转出基金赎回费</w:t>
      </w:r>
    </w:p>
    <w:p w:rsidR="00097B67" w:rsidRDefault="00720382">
      <w:pPr>
        <w:spacing w:after="0" w:line="360" w:lineRule="auto"/>
        <w:ind w:leftChars="200" w:left="480" w:firstLine="0"/>
        <w:jc w:val="both"/>
      </w:pPr>
      <w:r>
        <w:rPr>
          <w:rFonts w:hint="eastAsia"/>
        </w:rPr>
        <w:t>申购补差费（外扣法）：</w:t>
      </w:r>
      <w:r>
        <w:rPr>
          <w:rFonts w:hint="eastAsia"/>
        </w:rPr>
        <w:t>Max[</w:t>
      </w:r>
      <w:r>
        <w:rPr>
          <w:rFonts w:hint="eastAsia"/>
        </w:rPr>
        <w:t>转出金额×转入基金的申购费率</w:t>
      </w:r>
      <w:r>
        <w:rPr>
          <w:rFonts w:hint="eastAsia"/>
        </w:rPr>
        <w:t>/</w:t>
      </w:r>
      <w:r>
        <w:rPr>
          <w:rFonts w:hint="eastAsia"/>
        </w:rPr>
        <w:t>（</w:t>
      </w:r>
      <w:r>
        <w:rPr>
          <w:rFonts w:hint="eastAsia"/>
        </w:rPr>
        <w:t>1</w:t>
      </w:r>
      <w:r>
        <w:rPr>
          <w:rFonts w:hint="eastAsia"/>
        </w:rPr>
        <w:t>＋转入基金申购费率）－转出金额×转出基金申购费率</w:t>
      </w:r>
      <w:r>
        <w:rPr>
          <w:rFonts w:hint="eastAsia"/>
        </w:rPr>
        <w:t>/</w:t>
      </w:r>
      <w:r>
        <w:rPr>
          <w:rFonts w:hint="eastAsia"/>
        </w:rPr>
        <w:t>（</w:t>
      </w:r>
      <w:r>
        <w:rPr>
          <w:rFonts w:hint="eastAsia"/>
        </w:rPr>
        <w:t>1</w:t>
      </w:r>
      <w:r>
        <w:rPr>
          <w:rFonts w:hint="eastAsia"/>
        </w:rPr>
        <w:t>＋转出基金申购费率）</w:t>
      </w:r>
      <w:r>
        <w:rPr>
          <w:rFonts w:hint="eastAsia"/>
        </w:rPr>
        <w:t>,0]</w:t>
      </w:r>
      <w:r>
        <w:rPr>
          <w:rFonts w:hint="eastAsia"/>
        </w:rPr>
        <w:t>转换费用＝转出基金赎回费＋申购补差费</w:t>
      </w:r>
    </w:p>
    <w:p w:rsidR="00097B67" w:rsidRDefault="00720382">
      <w:pPr>
        <w:spacing w:after="0" w:line="360" w:lineRule="auto"/>
        <w:ind w:leftChars="200" w:left="490"/>
        <w:jc w:val="both"/>
      </w:pPr>
      <w:r>
        <w:rPr>
          <w:rFonts w:hint="eastAsia"/>
        </w:rPr>
        <w:t>转入金额＝转出金额－申购补差费</w:t>
      </w:r>
    </w:p>
    <w:p w:rsidR="00097B67" w:rsidRDefault="00720382">
      <w:pPr>
        <w:spacing w:after="0" w:line="360" w:lineRule="auto"/>
        <w:ind w:leftChars="200" w:left="490"/>
        <w:jc w:val="both"/>
      </w:pPr>
      <w:r>
        <w:rPr>
          <w:rFonts w:hint="eastAsia"/>
        </w:rPr>
        <w:t>转入份额＝转入金额</w:t>
      </w:r>
      <w:r>
        <w:rPr>
          <w:rFonts w:hint="eastAsia"/>
        </w:rPr>
        <w:t>/</w:t>
      </w:r>
      <w:r>
        <w:rPr>
          <w:rFonts w:hint="eastAsia"/>
        </w:rPr>
        <w:t>转入基金转入申请当日基金份额净值</w:t>
      </w:r>
    </w:p>
    <w:p w:rsidR="00097B67" w:rsidRDefault="00720382" w:rsidP="00720382">
      <w:pPr>
        <w:spacing w:afterLines="50" w:line="367" w:lineRule="auto"/>
        <w:ind w:firstLineChars="200" w:firstLine="480"/>
        <w:jc w:val="both"/>
      </w:pPr>
      <w:r>
        <w:rPr>
          <w:rFonts w:hint="eastAsia"/>
        </w:rPr>
        <w:t>具体份额以注册登记机构的记录为准。转出基金赎回费用、转出转入基金申购补差费用保留小数点后两位，两位以后的部分四舍五入，由此产生的误差计入基金财产。</w:t>
      </w:r>
    </w:p>
    <w:p w:rsidR="00097B67" w:rsidRDefault="00720382" w:rsidP="00720382">
      <w:pPr>
        <w:spacing w:afterLines="50" w:line="367" w:lineRule="auto"/>
        <w:ind w:firstLineChars="200" w:firstLine="482"/>
        <w:rPr>
          <w:b/>
        </w:rPr>
      </w:pPr>
      <w:r>
        <w:rPr>
          <w:rFonts w:hint="eastAsia"/>
          <w:b/>
        </w:rPr>
        <w:t>四、费率优惠</w:t>
      </w:r>
    </w:p>
    <w:p w:rsidR="00097B67" w:rsidRDefault="00720382" w:rsidP="00720382">
      <w:pPr>
        <w:spacing w:afterLines="50" w:line="367" w:lineRule="auto"/>
        <w:ind w:firstLineChars="200" w:firstLine="480"/>
        <w:jc w:val="both"/>
      </w:pPr>
      <w:r>
        <w:rPr>
          <w:rFonts w:hint="eastAsia"/>
        </w:rPr>
        <w:t>自</w:t>
      </w:r>
      <w:r>
        <w:rPr>
          <w:rFonts w:hint="eastAsia"/>
        </w:rPr>
        <w:t>2</w:t>
      </w:r>
      <w:r>
        <w:t>023</w:t>
      </w:r>
      <w:r>
        <w:rPr>
          <w:rFonts w:hint="eastAsia"/>
        </w:rPr>
        <w:t>年</w:t>
      </w:r>
      <w:r>
        <w:t>8</w:t>
      </w:r>
      <w:r>
        <w:rPr>
          <w:rFonts w:hint="eastAsia"/>
        </w:rPr>
        <w:t>月</w:t>
      </w:r>
      <w:r>
        <w:rPr>
          <w:rFonts w:hint="eastAsia"/>
        </w:rPr>
        <w:t>11</w:t>
      </w:r>
      <w:r>
        <w:rPr>
          <w:rFonts w:hint="eastAsia"/>
        </w:rPr>
        <w:t>日起，投资者通过本公司直销渠道办理上述基金的转换业务时，转换出与转换入基金仍然享受原申购费率优惠，补差费已在上述计算过程中享有优惠，不再单独享有费率优惠。</w:t>
      </w:r>
    </w:p>
    <w:p w:rsidR="00097B67" w:rsidRDefault="00720382" w:rsidP="00720382">
      <w:pPr>
        <w:spacing w:afterLines="50" w:line="367" w:lineRule="auto"/>
        <w:ind w:firstLineChars="200" w:firstLine="482"/>
        <w:rPr>
          <w:b/>
        </w:rPr>
      </w:pPr>
      <w:r>
        <w:rPr>
          <w:rFonts w:hint="eastAsia"/>
          <w:b/>
        </w:rPr>
        <w:t>五、其他重要提示</w:t>
      </w:r>
      <w:r>
        <w:rPr>
          <w:rFonts w:hint="eastAsia"/>
          <w:b/>
        </w:rPr>
        <w:t>:</w:t>
      </w:r>
      <w:bookmarkStart w:id="6" w:name="_GoBack"/>
      <w:bookmarkEnd w:id="6"/>
    </w:p>
    <w:p w:rsidR="00097B67" w:rsidRDefault="00720382">
      <w:pPr>
        <w:spacing w:line="360" w:lineRule="auto"/>
        <w:ind w:leftChars="50" w:left="120" w:rightChars="50" w:right="120" w:firstLine="480"/>
        <w:jc w:val="both"/>
      </w:pPr>
      <w:bookmarkStart w:id="7" w:name="OLE_LINK359"/>
      <w:bookmarkStart w:id="8" w:name="OLE_LINK358"/>
      <w:r>
        <w:t>1</w:t>
      </w:r>
      <w:r>
        <w:t>、本次</w:t>
      </w:r>
      <w:bookmarkStart w:id="9" w:name="OLE_LINK35"/>
      <w:bookmarkStart w:id="10" w:name="OLE_LINK36"/>
      <w:r>
        <w:rPr>
          <w:rFonts w:hint="eastAsia"/>
        </w:rPr>
        <w:t>开通</w:t>
      </w:r>
      <w:r>
        <w:t>的</w:t>
      </w:r>
      <w:r>
        <w:rPr>
          <w:rFonts w:hint="eastAsia"/>
        </w:rPr>
        <w:t>基金</w:t>
      </w:r>
      <w:r>
        <w:t>转换业务只针对</w:t>
      </w:r>
      <w:r>
        <w:rPr>
          <w:rFonts w:hint="eastAsia"/>
        </w:rPr>
        <w:t>本公司</w:t>
      </w:r>
      <w:bookmarkStart w:id="11" w:name="OLE_LINK3"/>
      <w:bookmarkStart w:id="12" w:name="OLE_LINK4"/>
      <w:r>
        <w:rPr>
          <w:rFonts w:hint="eastAsia"/>
        </w:rPr>
        <w:t>直销</w:t>
      </w:r>
      <w:bookmarkEnd w:id="9"/>
      <w:bookmarkEnd w:id="10"/>
      <w:r>
        <w:rPr>
          <w:rFonts w:hint="eastAsia"/>
        </w:rPr>
        <w:t>渠道</w:t>
      </w:r>
      <w:bookmarkEnd w:id="11"/>
      <w:bookmarkEnd w:id="12"/>
      <w:r>
        <w:t>，各代销机构办理本公司旗下基金转换业务的时间将另行公告</w:t>
      </w:r>
      <w:r>
        <w:rPr>
          <w:rFonts w:hint="eastAsia"/>
        </w:rPr>
        <w:t>。</w:t>
      </w:r>
    </w:p>
    <w:p w:rsidR="00097B67" w:rsidRDefault="00720382">
      <w:pPr>
        <w:spacing w:line="360" w:lineRule="auto"/>
        <w:ind w:leftChars="50" w:left="120" w:rightChars="50" w:right="120" w:firstLine="480"/>
        <w:jc w:val="both"/>
      </w:pPr>
      <w:r>
        <w:t>2</w:t>
      </w:r>
      <w:r>
        <w:t>、</w:t>
      </w:r>
      <w:r>
        <w:rPr>
          <w:rFonts w:hint="eastAsia"/>
        </w:rPr>
        <w:t>本公告中未提及或未明确规定的相关事宜应参照本公司相关业务规则、业务公告及相关基金的法律文件。</w:t>
      </w:r>
    </w:p>
    <w:p w:rsidR="00097B67" w:rsidRDefault="00720382">
      <w:pPr>
        <w:spacing w:line="360" w:lineRule="auto"/>
        <w:ind w:leftChars="50" w:left="120" w:rightChars="50" w:right="120" w:firstLine="480"/>
        <w:jc w:val="both"/>
      </w:pPr>
      <w:r>
        <w:rPr>
          <w:rFonts w:hint="eastAsia"/>
        </w:rPr>
        <w:t>3</w:t>
      </w:r>
      <w:r>
        <w:rPr>
          <w:rFonts w:hint="eastAsia"/>
        </w:rPr>
        <w:t>、</w:t>
      </w:r>
      <w:r>
        <w:t>投资者欲了解基金的详细情况，请仔细阅读刊登于本公司</w:t>
      </w:r>
      <w:r>
        <w:rPr>
          <w:rFonts w:hint="eastAsia"/>
        </w:rPr>
        <w:t>网站（</w:t>
      </w:r>
      <w:r>
        <w:t>www.ctzg.com</w:t>
      </w:r>
      <w:r>
        <w:t>）</w:t>
      </w:r>
      <w:r>
        <w:rPr>
          <w:rFonts w:hint="eastAsia"/>
        </w:rPr>
        <w:t>的</w:t>
      </w:r>
      <w:r>
        <w:t>旗下基金的《基金合同》《招募说明书》等法律文件以及相关业务公告</w:t>
      </w:r>
      <w:r>
        <w:rPr>
          <w:rFonts w:hint="eastAsia"/>
        </w:rPr>
        <w:t>，了解所投资基金的风险收益特征，并根据自身情况购买与本人风险承受能力相匹配的产品</w:t>
      </w:r>
      <w:r>
        <w:t>。</w:t>
      </w:r>
      <w:bookmarkEnd w:id="7"/>
      <w:bookmarkEnd w:id="8"/>
    </w:p>
    <w:p w:rsidR="00097B67" w:rsidRDefault="00720382">
      <w:pPr>
        <w:spacing w:line="360" w:lineRule="auto"/>
        <w:ind w:leftChars="50" w:left="120" w:rightChars="50" w:right="120" w:firstLine="480"/>
        <w:jc w:val="both"/>
      </w:pPr>
      <w:r>
        <w:rPr>
          <w:rFonts w:hint="eastAsia"/>
        </w:rPr>
        <w:t>4</w:t>
      </w:r>
      <w:r>
        <w:rPr>
          <w:rFonts w:hint="eastAsia"/>
        </w:rPr>
        <w:t>、</w:t>
      </w:r>
      <w:bookmarkStart w:id="13" w:name="OLE_LINK414"/>
      <w:bookmarkStart w:id="14" w:name="OLE_LINK415"/>
      <w:r>
        <w:t>如有疑问</w:t>
      </w:r>
      <w:r>
        <w:t>,</w:t>
      </w:r>
      <w:r>
        <w:t>投资者可拨打本公司客户服务电话或登陆相关网址进</w:t>
      </w:r>
      <w:r>
        <w:rPr>
          <w:rFonts w:hint="eastAsia"/>
        </w:rPr>
        <w:t>行咨询：</w:t>
      </w:r>
      <w:bookmarkEnd w:id="13"/>
      <w:bookmarkEnd w:id="14"/>
    </w:p>
    <w:p w:rsidR="00097B67" w:rsidRDefault="00720382">
      <w:pPr>
        <w:spacing w:line="360" w:lineRule="auto"/>
        <w:ind w:leftChars="50" w:left="120" w:rightChars="50" w:right="120" w:firstLine="420"/>
      </w:pPr>
      <w:r>
        <w:t>客户服务电话热线</w:t>
      </w:r>
      <w:r>
        <w:t>:95336</w:t>
      </w:r>
    </w:p>
    <w:p w:rsidR="00097B67" w:rsidRDefault="00720382">
      <w:pPr>
        <w:spacing w:line="360" w:lineRule="auto"/>
        <w:ind w:leftChars="50" w:left="120" w:rightChars="50" w:right="120" w:firstLine="420"/>
        <w:rPr>
          <w:rFonts w:ascii="Times New Roman" w:eastAsia="Times New Roman" w:hAnsi="Times New Roman"/>
        </w:rPr>
      </w:pPr>
      <w:r>
        <w:t>公司网址</w:t>
      </w:r>
      <w:r>
        <w:t>:www.ctzg.com</w:t>
      </w:r>
    </w:p>
    <w:p w:rsidR="00097B67" w:rsidRDefault="00720382" w:rsidP="00720382">
      <w:pPr>
        <w:spacing w:afterLines="50" w:line="367" w:lineRule="auto"/>
        <w:ind w:left="0" w:firstLineChars="200" w:firstLine="482"/>
        <w:rPr>
          <w:b/>
        </w:rPr>
      </w:pPr>
      <w:r>
        <w:rPr>
          <w:rFonts w:hint="eastAsia"/>
          <w:b/>
        </w:rPr>
        <w:t>六</w:t>
      </w:r>
      <w:r>
        <w:rPr>
          <w:b/>
        </w:rPr>
        <w:t>、风险提示</w:t>
      </w:r>
      <w:r>
        <w:rPr>
          <w:b/>
        </w:rPr>
        <w:t>:</w:t>
      </w:r>
    </w:p>
    <w:p w:rsidR="00097B67" w:rsidRDefault="00720382">
      <w:pPr>
        <w:spacing w:line="360" w:lineRule="auto"/>
        <w:ind w:leftChars="50" w:left="120" w:rightChars="50" w:right="120" w:firstLine="490"/>
        <w:jc w:val="both"/>
      </w:pPr>
      <w:r>
        <w:t>本公司承诺以诚实信用、勤</w:t>
      </w:r>
      <w:r>
        <w:t>勉尽责的原则管理和运用基金资产</w:t>
      </w:r>
      <w:r>
        <w:t>,</w:t>
      </w:r>
      <w:r>
        <w:t>但不保证基金一定盈利</w:t>
      </w:r>
      <w:r>
        <w:t>,</w:t>
      </w:r>
      <w:r>
        <w:t>也不保证最低收益。</w:t>
      </w:r>
      <w:r>
        <w:rPr>
          <w:rFonts w:hint="eastAsia"/>
        </w:rPr>
        <w:t>本公司提醒投资者，</w:t>
      </w:r>
      <w:r>
        <w:t>投资者投资于上述基金前应认真阅读基金的基金合同、更新的招募说明书</w:t>
      </w:r>
      <w:r>
        <w:rPr>
          <w:rFonts w:hint="eastAsia"/>
        </w:rPr>
        <w:t>等文件</w:t>
      </w:r>
      <w:r>
        <w:t>。</w:t>
      </w:r>
      <w:r>
        <w:rPr>
          <w:rFonts w:hint="eastAsia"/>
        </w:rPr>
        <w:t>基金的过往业绩不预示未来表现，基金管理人管理的其他基金的业绩并不构成基金业绩表现的保证。</w:t>
      </w:r>
    </w:p>
    <w:p w:rsidR="00097B67" w:rsidRDefault="00720382">
      <w:pPr>
        <w:spacing w:line="360" w:lineRule="auto"/>
        <w:ind w:leftChars="50" w:left="120" w:rightChars="50" w:right="120" w:firstLine="480"/>
        <w:jc w:val="both"/>
      </w:pPr>
      <w:r>
        <w:t>投资者申请使用网上直销交易业务前</w:t>
      </w:r>
      <w:r>
        <w:t>,</w:t>
      </w:r>
      <w:r>
        <w:t>应认真阅读相关规则</w:t>
      </w:r>
      <w:r>
        <w:rPr>
          <w:rFonts w:hint="eastAsia"/>
        </w:rPr>
        <w:t>，</w:t>
      </w:r>
      <w:r>
        <w:t>了解网上直销交易的固有风险。投资者应慎重选择</w:t>
      </w:r>
      <w:r>
        <w:t>,</w:t>
      </w:r>
      <w:r>
        <w:t>并在使用时妥善保管好网上直销交易信息</w:t>
      </w:r>
      <w:r>
        <w:rPr>
          <w:rFonts w:hint="eastAsia"/>
        </w:rPr>
        <w:t>，</w:t>
      </w:r>
      <w:r>
        <w:t>特别是账号和密码。</w:t>
      </w:r>
    </w:p>
    <w:p w:rsidR="00097B67" w:rsidRDefault="00720382">
      <w:pPr>
        <w:spacing w:line="360" w:lineRule="auto"/>
        <w:ind w:leftChars="50" w:left="120" w:rightChars="50" w:right="120" w:firstLine="420"/>
      </w:pPr>
      <w:r>
        <w:t>本公告解释权归本公司所有。</w:t>
      </w:r>
    </w:p>
    <w:p w:rsidR="00097B67" w:rsidRDefault="00720382">
      <w:pPr>
        <w:spacing w:line="360" w:lineRule="auto"/>
        <w:ind w:leftChars="50" w:left="120" w:rightChars="50" w:right="120" w:firstLine="420"/>
      </w:pPr>
      <w:r>
        <w:t>特此公告。</w:t>
      </w:r>
    </w:p>
    <w:p w:rsidR="00097B67" w:rsidRDefault="00720382">
      <w:pPr>
        <w:spacing w:after="281"/>
        <w:ind w:right="-12"/>
        <w:jc w:val="right"/>
      </w:pPr>
      <w:r>
        <w:t>财通证券资产管理有限公司</w:t>
      </w:r>
    </w:p>
    <w:p w:rsidR="00097B67" w:rsidRDefault="00720382">
      <w:pPr>
        <w:spacing w:after="348"/>
        <w:ind w:right="-12"/>
        <w:jc w:val="right"/>
      </w:pPr>
      <w:r>
        <w:rPr>
          <w:rFonts w:hint="eastAsia"/>
        </w:rPr>
        <w:t>2</w:t>
      </w:r>
      <w:r>
        <w:t>023</w:t>
      </w:r>
      <w:r>
        <w:t>年</w:t>
      </w:r>
      <w:r>
        <w:rPr>
          <w:rFonts w:hint="eastAsia"/>
        </w:rPr>
        <w:t>8</w:t>
      </w:r>
      <w:r>
        <w:t>月</w:t>
      </w:r>
      <w:r>
        <w:rPr>
          <w:rFonts w:hint="eastAsia"/>
        </w:rPr>
        <w:t>11</w:t>
      </w:r>
      <w:r>
        <w:t>日</w:t>
      </w:r>
    </w:p>
    <w:p w:rsidR="00097B67" w:rsidRDefault="00097B67"/>
    <w:sectPr w:rsidR="00097B67" w:rsidSect="00097B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B67" w:rsidRDefault="00720382">
      <w:pPr>
        <w:spacing w:line="240" w:lineRule="auto"/>
      </w:pPr>
      <w:r>
        <w:separator/>
      </w:r>
    </w:p>
  </w:endnote>
  <w:endnote w:type="continuationSeparator" w:id="0">
    <w:p w:rsidR="00097B67" w:rsidRDefault="007203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B67" w:rsidRDefault="00720382">
      <w:pPr>
        <w:spacing w:after="0"/>
      </w:pPr>
      <w:r>
        <w:separator/>
      </w:r>
    </w:p>
  </w:footnote>
  <w:footnote w:type="continuationSeparator" w:id="0">
    <w:p w:rsidR="00097B67" w:rsidRDefault="0072038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DA65AF"/>
    <w:multiLevelType w:val="singleLevel"/>
    <w:tmpl w:val="F8DA65A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0D0B"/>
    <w:rsid w:val="0000668F"/>
    <w:rsid w:val="00030D0B"/>
    <w:rsid w:val="00097B67"/>
    <w:rsid w:val="000C6E0E"/>
    <w:rsid w:val="001635C8"/>
    <w:rsid w:val="001B56C9"/>
    <w:rsid w:val="002301B6"/>
    <w:rsid w:val="00237A35"/>
    <w:rsid w:val="00266280"/>
    <w:rsid w:val="002A6B6E"/>
    <w:rsid w:val="00302690"/>
    <w:rsid w:val="00442726"/>
    <w:rsid w:val="0045400C"/>
    <w:rsid w:val="004B0028"/>
    <w:rsid w:val="004F5F7D"/>
    <w:rsid w:val="00541CD4"/>
    <w:rsid w:val="0060403C"/>
    <w:rsid w:val="0060746F"/>
    <w:rsid w:val="00655009"/>
    <w:rsid w:val="007173FF"/>
    <w:rsid w:val="00720243"/>
    <w:rsid w:val="00720382"/>
    <w:rsid w:val="00770A45"/>
    <w:rsid w:val="0085240D"/>
    <w:rsid w:val="00856570"/>
    <w:rsid w:val="008A6A26"/>
    <w:rsid w:val="0096386E"/>
    <w:rsid w:val="00977869"/>
    <w:rsid w:val="00A21A38"/>
    <w:rsid w:val="00A67601"/>
    <w:rsid w:val="00AB0B8C"/>
    <w:rsid w:val="00AC46B4"/>
    <w:rsid w:val="00AE6050"/>
    <w:rsid w:val="00BA4B76"/>
    <w:rsid w:val="00C71098"/>
    <w:rsid w:val="00CC35F3"/>
    <w:rsid w:val="00D709B6"/>
    <w:rsid w:val="00DB4A06"/>
    <w:rsid w:val="00E865AE"/>
    <w:rsid w:val="00FA3CAE"/>
    <w:rsid w:val="04E92E1E"/>
    <w:rsid w:val="062F49AC"/>
    <w:rsid w:val="083F1633"/>
    <w:rsid w:val="39023682"/>
    <w:rsid w:val="3ABB4BCA"/>
    <w:rsid w:val="400F37CF"/>
    <w:rsid w:val="5F4079DE"/>
    <w:rsid w:val="67523376"/>
    <w:rsid w:val="67D219F3"/>
    <w:rsid w:val="782A6FF1"/>
    <w:rsid w:val="7BE27A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67"/>
    <w:pPr>
      <w:spacing w:after="129" w:line="259" w:lineRule="auto"/>
      <w:ind w:left="10" w:hanging="10"/>
    </w:pPr>
    <w:rPr>
      <w:rFonts w:ascii="宋体" w:hAnsi="宋体" w:cs="宋体"/>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97B67"/>
  </w:style>
  <w:style w:type="paragraph" w:styleId="a4">
    <w:name w:val="Balloon Text"/>
    <w:basedOn w:val="a"/>
    <w:link w:val="Char0"/>
    <w:uiPriority w:val="99"/>
    <w:semiHidden/>
    <w:unhideWhenUsed/>
    <w:qFormat/>
    <w:rsid w:val="00097B67"/>
    <w:pPr>
      <w:spacing w:after="0" w:line="240" w:lineRule="auto"/>
    </w:pPr>
    <w:rPr>
      <w:sz w:val="18"/>
      <w:szCs w:val="18"/>
    </w:rPr>
  </w:style>
  <w:style w:type="paragraph" w:styleId="a5">
    <w:name w:val="footer"/>
    <w:basedOn w:val="a"/>
    <w:link w:val="Char1"/>
    <w:uiPriority w:val="99"/>
    <w:unhideWhenUsed/>
    <w:qFormat/>
    <w:rsid w:val="00097B67"/>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rsid w:val="00097B67"/>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097B67"/>
    <w:rPr>
      <w:b/>
      <w:bCs/>
    </w:rPr>
  </w:style>
  <w:style w:type="character" w:styleId="a8">
    <w:name w:val="annotation reference"/>
    <w:basedOn w:val="a0"/>
    <w:uiPriority w:val="99"/>
    <w:semiHidden/>
    <w:unhideWhenUsed/>
    <w:qFormat/>
    <w:rsid w:val="00097B67"/>
    <w:rPr>
      <w:sz w:val="21"/>
      <w:szCs w:val="21"/>
    </w:rPr>
  </w:style>
  <w:style w:type="paragraph" w:styleId="a9">
    <w:name w:val="List Paragraph"/>
    <w:basedOn w:val="a"/>
    <w:uiPriority w:val="34"/>
    <w:qFormat/>
    <w:rsid w:val="00097B67"/>
    <w:pPr>
      <w:ind w:firstLineChars="200" w:firstLine="420"/>
    </w:pPr>
  </w:style>
  <w:style w:type="character" w:customStyle="1" w:styleId="Char">
    <w:name w:val="批注文字 Char"/>
    <w:basedOn w:val="a0"/>
    <w:link w:val="a3"/>
    <w:uiPriority w:val="99"/>
    <w:semiHidden/>
    <w:qFormat/>
    <w:rsid w:val="00097B67"/>
    <w:rPr>
      <w:rFonts w:ascii="宋体" w:eastAsia="宋体" w:hAnsi="宋体" w:cs="宋体"/>
      <w:color w:val="000000"/>
      <w:sz w:val="24"/>
    </w:rPr>
  </w:style>
  <w:style w:type="character" w:customStyle="1" w:styleId="Char0">
    <w:name w:val="批注框文本 Char"/>
    <w:basedOn w:val="a0"/>
    <w:link w:val="a4"/>
    <w:uiPriority w:val="99"/>
    <w:semiHidden/>
    <w:qFormat/>
    <w:rsid w:val="00097B67"/>
    <w:rPr>
      <w:rFonts w:ascii="宋体" w:eastAsia="宋体" w:hAnsi="宋体" w:cs="宋体"/>
      <w:color w:val="000000"/>
      <w:sz w:val="18"/>
      <w:szCs w:val="18"/>
    </w:rPr>
  </w:style>
  <w:style w:type="character" w:customStyle="1" w:styleId="Char3">
    <w:name w:val="批注主题 Char"/>
    <w:basedOn w:val="Char"/>
    <w:link w:val="a7"/>
    <w:uiPriority w:val="99"/>
    <w:semiHidden/>
    <w:qFormat/>
    <w:rsid w:val="00097B67"/>
    <w:rPr>
      <w:rFonts w:ascii="宋体" w:eastAsia="宋体" w:hAnsi="宋体" w:cs="宋体"/>
      <w:b/>
      <w:bCs/>
      <w:color w:val="000000"/>
      <w:sz w:val="24"/>
    </w:rPr>
  </w:style>
  <w:style w:type="character" w:customStyle="1" w:styleId="Char2">
    <w:name w:val="页眉 Char"/>
    <w:basedOn w:val="a0"/>
    <w:link w:val="a6"/>
    <w:uiPriority w:val="99"/>
    <w:qFormat/>
    <w:rsid w:val="00097B67"/>
    <w:rPr>
      <w:rFonts w:ascii="宋体" w:eastAsia="宋体" w:hAnsi="宋体" w:cs="宋体"/>
      <w:color w:val="000000"/>
      <w:sz w:val="18"/>
      <w:szCs w:val="18"/>
    </w:rPr>
  </w:style>
  <w:style w:type="character" w:customStyle="1" w:styleId="Char1">
    <w:name w:val="页脚 Char"/>
    <w:basedOn w:val="a0"/>
    <w:link w:val="a5"/>
    <w:uiPriority w:val="99"/>
    <w:qFormat/>
    <w:rsid w:val="00097B67"/>
    <w:rPr>
      <w:rFonts w:ascii="宋体" w:eastAsia="宋体" w:hAnsi="宋体" w:cs="宋体"/>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2155</Characters>
  <Application>Microsoft Office Word</Application>
  <DocSecurity>4</DocSecurity>
  <Lines>17</Lines>
  <Paragraphs>5</Paragraphs>
  <ScaleCrop>false</ScaleCrop>
  <Company>CNSTOCK</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田苗</dc:creator>
  <cp:lastModifiedBy>ZHONGM</cp:lastModifiedBy>
  <cp:revision>2</cp:revision>
  <cp:lastPrinted>2023-03-08T07:33:00Z</cp:lastPrinted>
  <dcterms:created xsi:type="dcterms:W3CDTF">2023-08-10T16:01:00Z</dcterms:created>
  <dcterms:modified xsi:type="dcterms:W3CDTF">2023-08-10T16:01:00Z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54E069E49B9145BD9D155CD254458C2F</vt:lpwstr>
  </property>
</Properties>
</file>