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D3531">
      <w:pPr>
        <w:spacing w:line="360" w:lineRule="auto"/>
        <w:jc w:val="center"/>
        <w:rPr>
          <w:rFonts w:hint="eastAsia"/>
          <w:b/>
          <w:bCs/>
          <w:sz w:val="36"/>
          <w:szCs w:val="40"/>
        </w:rPr>
      </w:pPr>
      <w:r>
        <w:rPr>
          <w:rFonts w:hint="eastAsia"/>
          <w:b/>
          <w:bCs/>
          <w:sz w:val="36"/>
          <w:szCs w:val="40"/>
        </w:rPr>
        <w:t>中银国际证券股份有限公司关于增加腾安基金为旗下部分基金销售机构并进行费率优惠的公告</w:t>
      </w:r>
    </w:p>
    <w:p w:rsidR="00000000" w:rsidRDefault="002D3531">
      <w:pPr>
        <w:spacing w:line="360" w:lineRule="auto"/>
        <w:ind w:firstLineChars="200" w:firstLine="723"/>
        <w:jc w:val="center"/>
        <w:rPr>
          <w:rFonts w:hint="eastAsia"/>
          <w:b/>
          <w:bCs/>
          <w:sz w:val="36"/>
          <w:szCs w:val="40"/>
        </w:rPr>
      </w:pPr>
    </w:p>
    <w:p w:rsidR="00000000" w:rsidRDefault="002D3531">
      <w:pPr>
        <w:spacing w:line="360" w:lineRule="auto"/>
        <w:ind w:firstLineChars="200" w:firstLine="480"/>
        <w:rPr>
          <w:rFonts w:hint="eastAsia"/>
          <w:sz w:val="24"/>
          <w:szCs w:val="28"/>
        </w:rPr>
      </w:pPr>
      <w:r>
        <w:rPr>
          <w:rFonts w:hint="eastAsia"/>
          <w:sz w:val="24"/>
          <w:szCs w:val="28"/>
        </w:rPr>
        <w:t>根据中银国际证券股份有限公司</w:t>
      </w:r>
      <w:r>
        <w:rPr>
          <w:rFonts w:hint="eastAsia"/>
          <w:sz w:val="24"/>
          <w:szCs w:val="28"/>
        </w:rPr>
        <w:t>(</w:t>
      </w:r>
      <w:r>
        <w:rPr>
          <w:rFonts w:hint="eastAsia"/>
          <w:sz w:val="24"/>
          <w:szCs w:val="28"/>
        </w:rPr>
        <w:t>以下简称“本公司”</w:t>
      </w:r>
      <w:r>
        <w:rPr>
          <w:rFonts w:hint="eastAsia"/>
          <w:sz w:val="24"/>
          <w:szCs w:val="28"/>
        </w:rPr>
        <w:t>)</w:t>
      </w:r>
      <w:r>
        <w:rPr>
          <w:rFonts w:hint="eastAsia"/>
          <w:sz w:val="24"/>
          <w:szCs w:val="28"/>
        </w:rPr>
        <w:t>与腾安基金销售（深圳）有限公司</w:t>
      </w:r>
      <w:r>
        <w:rPr>
          <w:rFonts w:hint="eastAsia"/>
          <w:sz w:val="24"/>
          <w:szCs w:val="28"/>
        </w:rPr>
        <w:t>(</w:t>
      </w:r>
      <w:r>
        <w:rPr>
          <w:rFonts w:hint="eastAsia"/>
          <w:sz w:val="24"/>
          <w:szCs w:val="28"/>
        </w:rPr>
        <w:t>以下简称“</w:t>
      </w:r>
      <w:r>
        <w:rPr>
          <w:rFonts w:hint="eastAsia"/>
          <w:sz w:val="24"/>
          <w:szCs w:val="28"/>
        </w:rPr>
        <w:t>腾安</w:t>
      </w:r>
      <w:r>
        <w:rPr>
          <w:rFonts w:hint="eastAsia"/>
          <w:sz w:val="24"/>
          <w:szCs w:val="28"/>
        </w:rPr>
        <w:t>基金”</w:t>
      </w:r>
      <w:r>
        <w:rPr>
          <w:rFonts w:hint="eastAsia"/>
          <w:sz w:val="24"/>
          <w:szCs w:val="28"/>
        </w:rPr>
        <w:t>)</w:t>
      </w:r>
      <w:r>
        <w:rPr>
          <w:rFonts w:hint="eastAsia"/>
          <w:sz w:val="24"/>
          <w:szCs w:val="28"/>
        </w:rPr>
        <w:t>签署的销售代理协议，自</w:t>
      </w:r>
      <w:r>
        <w:rPr>
          <w:rFonts w:hint="eastAsia"/>
          <w:sz w:val="24"/>
          <w:szCs w:val="28"/>
        </w:rPr>
        <w:t>2023</w:t>
      </w:r>
      <w:r>
        <w:rPr>
          <w:rFonts w:hint="eastAsia"/>
          <w:sz w:val="24"/>
          <w:szCs w:val="28"/>
        </w:rPr>
        <w:t>年</w:t>
      </w:r>
      <w:r>
        <w:rPr>
          <w:rFonts w:hint="eastAsia"/>
          <w:sz w:val="24"/>
          <w:szCs w:val="28"/>
        </w:rPr>
        <w:t>8</w:t>
      </w:r>
      <w:r>
        <w:rPr>
          <w:rFonts w:hint="eastAsia"/>
          <w:sz w:val="24"/>
          <w:szCs w:val="28"/>
        </w:rPr>
        <w:t>月</w:t>
      </w:r>
      <w:r>
        <w:rPr>
          <w:rFonts w:hint="eastAsia"/>
          <w:sz w:val="24"/>
          <w:szCs w:val="28"/>
        </w:rPr>
        <w:t>9</w:t>
      </w:r>
      <w:r>
        <w:rPr>
          <w:rFonts w:hint="eastAsia"/>
          <w:sz w:val="24"/>
          <w:szCs w:val="28"/>
        </w:rPr>
        <w:t>日起</w:t>
      </w:r>
      <w:r>
        <w:rPr>
          <w:rFonts w:hint="eastAsia"/>
          <w:sz w:val="24"/>
          <w:szCs w:val="28"/>
        </w:rPr>
        <w:t>，</w:t>
      </w:r>
      <w:r>
        <w:rPr>
          <w:rFonts w:hint="eastAsia"/>
          <w:sz w:val="24"/>
          <w:szCs w:val="28"/>
        </w:rPr>
        <w:t>腾安</w:t>
      </w:r>
      <w:r>
        <w:rPr>
          <w:rFonts w:hint="eastAsia"/>
          <w:sz w:val="24"/>
          <w:szCs w:val="28"/>
        </w:rPr>
        <w:t>基金将代理销售本公司旗下部分基金。现将有关事项公告如下：</w:t>
      </w:r>
    </w:p>
    <w:p w:rsidR="00000000" w:rsidRDefault="002D3531">
      <w:pPr>
        <w:spacing w:line="360" w:lineRule="auto"/>
        <w:rPr>
          <w:rFonts w:hint="eastAsia"/>
          <w:sz w:val="24"/>
          <w:szCs w:val="28"/>
        </w:rPr>
      </w:pPr>
    </w:p>
    <w:tbl>
      <w:tblPr>
        <w:tblpPr w:leftFromText="180" w:rightFromText="180" w:vertAnchor="text" w:horzAnchor="page" w:tblpX="1954" w:tblpY="310"/>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
        <w:gridCol w:w="5588"/>
        <w:gridCol w:w="1746"/>
      </w:tblGrid>
      <w:tr w:rsidR="00000000">
        <w:tc>
          <w:tcPr>
            <w:tcW w:w="1021" w:type="dxa"/>
            <w:vAlign w:val="center"/>
          </w:tcPr>
          <w:p w:rsidR="00000000" w:rsidRDefault="002D3531">
            <w:pPr>
              <w:spacing w:line="360" w:lineRule="auto"/>
              <w:jc w:val="center"/>
              <w:rPr>
                <w:rFonts w:ascii="宋体" w:hAnsi="宋体" w:cs="宋体" w:hint="eastAsia"/>
                <w:color w:val="000000"/>
                <w:sz w:val="24"/>
              </w:rPr>
            </w:pPr>
            <w:r>
              <w:rPr>
                <w:rFonts w:ascii="宋体" w:hAnsi="宋体" w:cs="宋体" w:hint="eastAsia"/>
                <w:color w:val="000000"/>
                <w:sz w:val="24"/>
              </w:rPr>
              <w:t>序号</w:t>
            </w:r>
          </w:p>
        </w:tc>
        <w:tc>
          <w:tcPr>
            <w:tcW w:w="5588" w:type="dxa"/>
            <w:vAlign w:val="center"/>
          </w:tcPr>
          <w:p w:rsidR="00000000" w:rsidRDefault="002D3531">
            <w:pPr>
              <w:spacing w:line="360" w:lineRule="auto"/>
              <w:jc w:val="center"/>
              <w:rPr>
                <w:rFonts w:ascii="宋体" w:hAnsi="宋体" w:cs="宋体" w:hint="eastAsia"/>
                <w:color w:val="000000"/>
                <w:sz w:val="24"/>
              </w:rPr>
            </w:pPr>
            <w:r>
              <w:rPr>
                <w:rFonts w:ascii="宋体" w:hAnsi="宋体" w:cs="宋体" w:hint="eastAsia"/>
                <w:color w:val="000000"/>
                <w:sz w:val="24"/>
              </w:rPr>
              <w:t>基金名称</w:t>
            </w:r>
          </w:p>
        </w:tc>
        <w:tc>
          <w:tcPr>
            <w:tcW w:w="1746" w:type="dxa"/>
            <w:vAlign w:val="center"/>
          </w:tcPr>
          <w:p w:rsidR="00000000" w:rsidRDefault="002D3531">
            <w:pPr>
              <w:spacing w:line="360" w:lineRule="auto"/>
              <w:jc w:val="center"/>
              <w:rPr>
                <w:rFonts w:ascii="宋体" w:hAnsi="宋体" w:cs="宋体" w:hint="eastAsia"/>
                <w:color w:val="000000"/>
                <w:sz w:val="24"/>
              </w:rPr>
            </w:pPr>
            <w:r>
              <w:rPr>
                <w:rFonts w:ascii="宋体" w:hAnsi="宋体" w:cs="宋体" w:hint="eastAsia"/>
                <w:color w:val="000000"/>
                <w:sz w:val="24"/>
              </w:rPr>
              <w:t>基金代码</w:t>
            </w:r>
          </w:p>
        </w:tc>
      </w:tr>
      <w:tr w:rsidR="00000000">
        <w:tc>
          <w:tcPr>
            <w:tcW w:w="1021" w:type="dxa"/>
            <w:vAlign w:val="center"/>
          </w:tcPr>
          <w:p w:rsidR="00000000" w:rsidRDefault="002D3531">
            <w:pPr>
              <w:spacing w:line="360" w:lineRule="auto"/>
              <w:jc w:val="center"/>
              <w:rPr>
                <w:rFonts w:ascii="宋体" w:hAnsi="宋体" w:cs="宋体" w:hint="eastAsia"/>
                <w:color w:val="000000"/>
                <w:sz w:val="24"/>
              </w:rPr>
            </w:pPr>
            <w:r>
              <w:rPr>
                <w:rFonts w:ascii="宋体" w:hAnsi="宋体" w:cs="宋体" w:hint="eastAsia"/>
                <w:color w:val="000000"/>
                <w:sz w:val="24"/>
              </w:rPr>
              <w:t>1</w:t>
            </w:r>
          </w:p>
        </w:tc>
        <w:tc>
          <w:tcPr>
            <w:tcW w:w="5588" w:type="dxa"/>
            <w:vAlign w:val="center"/>
          </w:tcPr>
          <w:p w:rsidR="00000000" w:rsidRDefault="002D3531">
            <w:pPr>
              <w:spacing w:line="360" w:lineRule="auto"/>
              <w:jc w:val="center"/>
              <w:rPr>
                <w:rFonts w:ascii="宋体" w:hAnsi="宋体" w:cs="宋体" w:hint="eastAsia"/>
                <w:color w:val="000000"/>
                <w:sz w:val="24"/>
              </w:rPr>
            </w:pPr>
            <w:r>
              <w:rPr>
                <w:rFonts w:ascii="宋体" w:hAnsi="宋体" w:cs="宋体" w:hint="eastAsia"/>
                <w:color w:val="000000"/>
                <w:sz w:val="24"/>
              </w:rPr>
              <w:t>中银证券聚瑞混合型证券投资基金</w:t>
            </w:r>
          </w:p>
        </w:tc>
        <w:tc>
          <w:tcPr>
            <w:tcW w:w="1746" w:type="dxa"/>
            <w:vAlign w:val="center"/>
          </w:tcPr>
          <w:p w:rsidR="00000000" w:rsidRDefault="002D3531">
            <w:pPr>
              <w:spacing w:line="360" w:lineRule="auto"/>
              <w:jc w:val="center"/>
              <w:rPr>
                <w:rFonts w:ascii="宋体" w:hAnsi="宋体" w:cs="宋体" w:hint="eastAsia"/>
                <w:color w:val="000000"/>
                <w:sz w:val="24"/>
              </w:rPr>
            </w:pPr>
            <w:r>
              <w:rPr>
                <w:rFonts w:ascii="宋体" w:hAnsi="宋体" w:cs="宋体" w:hint="eastAsia"/>
                <w:color w:val="000000"/>
                <w:sz w:val="24"/>
              </w:rPr>
              <w:t>A</w:t>
            </w:r>
            <w:r>
              <w:rPr>
                <w:rFonts w:ascii="宋体" w:hAnsi="宋体" w:cs="宋体" w:hint="eastAsia"/>
                <w:color w:val="000000"/>
                <w:sz w:val="24"/>
              </w:rPr>
              <w:t>类：</w:t>
            </w:r>
            <w:r>
              <w:rPr>
                <w:rFonts w:ascii="宋体" w:hAnsi="宋体" w:cs="宋体" w:hint="eastAsia"/>
                <w:color w:val="000000"/>
                <w:sz w:val="24"/>
              </w:rPr>
              <w:t>004913</w:t>
            </w:r>
          </w:p>
          <w:p w:rsidR="00000000" w:rsidRDefault="002D3531">
            <w:pPr>
              <w:spacing w:line="360" w:lineRule="auto"/>
              <w:jc w:val="center"/>
              <w:rPr>
                <w:rFonts w:ascii="宋体" w:hAnsi="宋体" w:cs="宋体" w:hint="eastAsia"/>
                <w:color w:val="000000"/>
                <w:sz w:val="24"/>
              </w:rPr>
            </w:pPr>
            <w:r>
              <w:rPr>
                <w:rFonts w:ascii="宋体" w:hAnsi="宋体" w:cs="宋体" w:hint="eastAsia"/>
                <w:color w:val="000000"/>
                <w:sz w:val="24"/>
              </w:rPr>
              <w:t>C</w:t>
            </w:r>
            <w:r>
              <w:rPr>
                <w:rFonts w:ascii="宋体" w:hAnsi="宋体" w:cs="宋体" w:hint="eastAsia"/>
                <w:color w:val="000000"/>
                <w:sz w:val="24"/>
              </w:rPr>
              <w:t>类：</w:t>
            </w:r>
            <w:r>
              <w:rPr>
                <w:rFonts w:ascii="宋体" w:hAnsi="宋体" w:cs="宋体" w:hint="eastAsia"/>
                <w:color w:val="000000"/>
                <w:sz w:val="24"/>
              </w:rPr>
              <w:t>004914</w:t>
            </w:r>
          </w:p>
        </w:tc>
      </w:tr>
      <w:tr w:rsidR="00000000">
        <w:tc>
          <w:tcPr>
            <w:tcW w:w="1021" w:type="dxa"/>
            <w:vAlign w:val="center"/>
          </w:tcPr>
          <w:p w:rsidR="00000000" w:rsidRDefault="002D3531">
            <w:pPr>
              <w:spacing w:line="360" w:lineRule="auto"/>
              <w:jc w:val="center"/>
              <w:rPr>
                <w:rFonts w:ascii="宋体" w:hAnsi="宋体" w:cs="宋体"/>
                <w:strike/>
                <w:color w:val="000000"/>
                <w:sz w:val="24"/>
              </w:rPr>
            </w:pPr>
            <w:r>
              <w:rPr>
                <w:rFonts w:ascii="宋体" w:hAnsi="宋体" w:cs="宋体" w:hint="eastAsia"/>
                <w:color w:val="000000"/>
                <w:sz w:val="24"/>
              </w:rPr>
              <w:t>2</w:t>
            </w:r>
          </w:p>
        </w:tc>
        <w:tc>
          <w:tcPr>
            <w:tcW w:w="5588" w:type="dxa"/>
            <w:vAlign w:val="center"/>
          </w:tcPr>
          <w:p w:rsidR="00000000" w:rsidRDefault="002D3531">
            <w:pPr>
              <w:spacing w:line="360" w:lineRule="auto"/>
              <w:jc w:val="center"/>
              <w:rPr>
                <w:rFonts w:ascii="宋体" w:hAnsi="宋体" w:cs="宋体" w:hint="eastAsia"/>
                <w:strike/>
                <w:color w:val="000000"/>
                <w:sz w:val="24"/>
              </w:rPr>
            </w:pPr>
            <w:r>
              <w:rPr>
                <w:rFonts w:ascii="宋体" w:hAnsi="宋体" w:cs="宋体" w:hint="eastAsia"/>
                <w:color w:val="000000"/>
                <w:sz w:val="24"/>
              </w:rPr>
              <w:t>中银证券安泰债券型证券投资基金</w:t>
            </w:r>
          </w:p>
        </w:tc>
        <w:tc>
          <w:tcPr>
            <w:tcW w:w="1746" w:type="dxa"/>
            <w:vAlign w:val="center"/>
          </w:tcPr>
          <w:p w:rsidR="00000000" w:rsidRDefault="002D3531">
            <w:pPr>
              <w:tabs>
                <w:tab w:val="left" w:pos="720"/>
              </w:tabs>
              <w:spacing w:line="360" w:lineRule="auto"/>
              <w:jc w:val="center"/>
              <w:rPr>
                <w:rFonts w:ascii="宋体" w:hAnsi="宋体" w:cs="宋体" w:hint="eastAsia"/>
                <w:color w:val="000000"/>
                <w:sz w:val="24"/>
              </w:rPr>
            </w:pPr>
            <w:r>
              <w:rPr>
                <w:rFonts w:ascii="宋体" w:hAnsi="宋体" w:cs="宋体" w:hint="eastAsia"/>
                <w:color w:val="000000"/>
                <w:sz w:val="24"/>
              </w:rPr>
              <w:t>A</w:t>
            </w:r>
            <w:r>
              <w:rPr>
                <w:rFonts w:ascii="宋体" w:hAnsi="宋体" w:cs="宋体" w:hint="eastAsia"/>
                <w:color w:val="000000"/>
                <w:sz w:val="24"/>
              </w:rPr>
              <w:t>类：</w:t>
            </w:r>
            <w:r>
              <w:rPr>
                <w:rFonts w:ascii="宋体" w:hAnsi="宋体" w:cs="宋体" w:hint="eastAsia"/>
                <w:color w:val="000000"/>
                <w:sz w:val="24"/>
              </w:rPr>
              <w:t>009728</w:t>
            </w:r>
          </w:p>
          <w:p w:rsidR="00000000" w:rsidRDefault="002D3531">
            <w:pPr>
              <w:tabs>
                <w:tab w:val="left" w:pos="720"/>
              </w:tabs>
              <w:spacing w:line="360" w:lineRule="auto"/>
              <w:jc w:val="center"/>
              <w:rPr>
                <w:rFonts w:ascii="宋体" w:hAnsi="宋体" w:cs="宋体" w:hint="eastAsia"/>
                <w:strike/>
                <w:color w:val="000000"/>
                <w:sz w:val="24"/>
              </w:rPr>
            </w:pPr>
            <w:r>
              <w:rPr>
                <w:rFonts w:ascii="宋体" w:hAnsi="宋体" w:cs="宋体" w:hint="eastAsia"/>
                <w:color w:val="000000"/>
                <w:sz w:val="24"/>
              </w:rPr>
              <w:t>C</w:t>
            </w:r>
            <w:r>
              <w:rPr>
                <w:rFonts w:ascii="宋体" w:hAnsi="宋体" w:cs="宋体" w:hint="eastAsia"/>
                <w:color w:val="000000"/>
                <w:sz w:val="24"/>
              </w:rPr>
              <w:t>类：</w:t>
            </w:r>
            <w:r>
              <w:rPr>
                <w:rFonts w:ascii="宋体" w:hAnsi="宋体" w:cs="宋体" w:hint="eastAsia"/>
                <w:color w:val="000000"/>
                <w:sz w:val="24"/>
              </w:rPr>
              <w:t>009729</w:t>
            </w:r>
          </w:p>
        </w:tc>
      </w:tr>
      <w:tr w:rsidR="00000000">
        <w:tc>
          <w:tcPr>
            <w:tcW w:w="1021" w:type="dxa"/>
            <w:vAlign w:val="center"/>
          </w:tcPr>
          <w:p w:rsidR="00000000" w:rsidRDefault="002D3531">
            <w:pPr>
              <w:spacing w:line="360" w:lineRule="auto"/>
              <w:jc w:val="center"/>
              <w:rPr>
                <w:rFonts w:ascii="宋体" w:hAnsi="宋体" w:cs="宋体"/>
                <w:color w:val="000000"/>
                <w:sz w:val="24"/>
              </w:rPr>
            </w:pPr>
            <w:r>
              <w:rPr>
                <w:rFonts w:ascii="宋体" w:hAnsi="宋体" w:cs="宋体" w:hint="eastAsia"/>
                <w:color w:val="000000"/>
                <w:sz w:val="24"/>
              </w:rPr>
              <w:t>3</w:t>
            </w:r>
          </w:p>
        </w:tc>
        <w:tc>
          <w:tcPr>
            <w:tcW w:w="5588" w:type="dxa"/>
            <w:vAlign w:val="center"/>
          </w:tcPr>
          <w:p w:rsidR="00000000" w:rsidRDefault="002D3531">
            <w:pPr>
              <w:spacing w:line="360" w:lineRule="auto"/>
              <w:jc w:val="center"/>
              <w:rPr>
                <w:rFonts w:ascii="宋体" w:hAnsi="宋体" w:cs="宋体" w:hint="eastAsia"/>
                <w:color w:val="000000"/>
                <w:sz w:val="24"/>
              </w:rPr>
            </w:pPr>
            <w:r>
              <w:rPr>
                <w:rFonts w:ascii="宋体" w:hAnsi="宋体" w:cs="宋体" w:hint="eastAsia"/>
                <w:color w:val="000000"/>
                <w:sz w:val="24"/>
              </w:rPr>
              <w:t>中银证券创业板交易型开放式</w:t>
            </w:r>
            <w:r>
              <w:rPr>
                <w:rFonts w:ascii="宋体" w:hAnsi="宋体" w:cs="宋体" w:hint="eastAsia"/>
                <w:color w:val="000000"/>
                <w:sz w:val="24"/>
              </w:rPr>
              <w:t>指数证券投资</w:t>
            </w:r>
          </w:p>
          <w:p w:rsidR="00000000" w:rsidRDefault="002D3531">
            <w:pPr>
              <w:spacing w:line="360" w:lineRule="auto"/>
              <w:jc w:val="center"/>
              <w:rPr>
                <w:rFonts w:ascii="宋体" w:hAnsi="宋体" w:cs="宋体" w:hint="eastAsia"/>
                <w:color w:val="000000"/>
                <w:sz w:val="24"/>
              </w:rPr>
            </w:pPr>
            <w:r>
              <w:rPr>
                <w:rFonts w:ascii="宋体" w:hAnsi="宋体" w:cs="宋体" w:hint="eastAsia"/>
                <w:color w:val="000000"/>
                <w:sz w:val="24"/>
              </w:rPr>
              <w:t>基金发起式联接基</w:t>
            </w:r>
            <w:r>
              <w:rPr>
                <w:rFonts w:ascii="宋体" w:hAnsi="宋体" w:cs="宋体" w:hint="eastAsia"/>
                <w:color w:val="000000"/>
                <w:sz w:val="24"/>
              </w:rPr>
              <w:t>金</w:t>
            </w:r>
          </w:p>
        </w:tc>
        <w:tc>
          <w:tcPr>
            <w:tcW w:w="1746" w:type="dxa"/>
            <w:vAlign w:val="center"/>
          </w:tcPr>
          <w:p w:rsidR="00000000" w:rsidRDefault="002D3531">
            <w:pPr>
              <w:spacing w:line="360" w:lineRule="auto"/>
              <w:jc w:val="center"/>
              <w:rPr>
                <w:rFonts w:ascii="宋体" w:hAnsi="宋体" w:cs="宋体" w:hint="eastAsia"/>
                <w:color w:val="000000"/>
                <w:sz w:val="24"/>
              </w:rPr>
            </w:pPr>
            <w:r>
              <w:rPr>
                <w:rFonts w:ascii="宋体" w:hAnsi="宋体" w:cs="宋体" w:hint="eastAsia"/>
                <w:color w:val="000000"/>
                <w:sz w:val="24"/>
              </w:rPr>
              <w:t>A</w:t>
            </w:r>
            <w:r>
              <w:rPr>
                <w:rFonts w:ascii="宋体" w:hAnsi="宋体" w:cs="宋体" w:hint="eastAsia"/>
                <w:color w:val="000000"/>
                <w:sz w:val="24"/>
              </w:rPr>
              <w:t>类：</w:t>
            </w:r>
            <w:r>
              <w:rPr>
                <w:rFonts w:ascii="宋体" w:hAnsi="宋体" w:cs="宋体" w:hint="eastAsia"/>
                <w:color w:val="000000"/>
                <w:sz w:val="24"/>
              </w:rPr>
              <w:t>012116</w:t>
            </w:r>
          </w:p>
          <w:p w:rsidR="00000000" w:rsidRDefault="002D3531">
            <w:pPr>
              <w:spacing w:line="360" w:lineRule="auto"/>
              <w:jc w:val="center"/>
              <w:rPr>
                <w:rFonts w:ascii="宋体" w:hAnsi="宋体" w:cs="宋体" w:hint="eastAsia"/>
                <w:color w:val="000000"/>
                <w:sz w:val="24"/>
              </w:rPr>
            </w:pPr>
            <w:r>
              <w:rPr>
                <w:rFonts w:ascii="宋体" w:hAnsi="宋体" w:cs="宋体" w:hint="eastAsia"/>
                <w:color w:val="000000"/>
                <w:sz w:val="24"/>
              </w:rPr>
              <w:t>C</w:t>
            </w:r>
            <w:r>
              <w:rPr>
                <w:rFonts w:ascii="宋体" w:hAnsi="宋体" w:cs="宋体" w:hint="eastAsia"/>
                <w:color w:val="000000"/>
                <w:sz w:val="24"/>
              </w:rPr>
              <w:t>类：</w:t>
            </w:r>
            <w:r>
              <w:rPr>
                <w:rFonts w:ascii="微软雅黑" w:eastAsia="微软雅黑" w:hAnsi="微软雅黑" w:cs="微软雅黑" w:hint="eastAsia"/>
                <w:color w:val="000000"/>
                <w:sz w:val="20"/>
                <w:szCs w:val="18"/>
              </w:rPr>
              <w:t>012117</w:t>
            </w:r>
          </w:p>
        </w:tc>
      </w:tr>
      <w:tr w:rsidR="00000000">
        <w:tc>
          <w:tcPr>
            <w:tcW w:w="1021" w:type="dxa"/>
            <w:vAlign w:val="center"/>
          </w:tcPr>
          <w:p w:rsidR="00000000" w:rsidRDefault="002D3531">
            <w:pPr>
              <w:spacing w:line="360" w:lineRule="auto"/>
              <w:jc w:val="center"/>
              <w:rPr>
                <w:rFonts w:ascii="宋体" w:hAnsi="宋体" w:cs="宋体"/>
                <w:color w:val="000000"/>
                <w:sz w:val="24"/>
              </w:rPr>
            </w:pPr>
            <w:r>
              <w:rPr>
                <w:rFonts w:ascii="宋体" w:hAnsi="宋体" w:cs="宋体" w:hint="eastAsia"/>
                <w:color w:val="000000"/>
                <w:sz w:val="24"/>
              </w:rPr>
              <w:t>4</w:t>
            </w:r>
          </w:p>
        </w:tc>
        <w:tc>
          <w:tcPr>
            <w:tcW w:w="5588" w:type="dxa"/>
            <w:vAlign w:val="center"/>
          </w:tcPr>
          <w:p w:rsidR="00000000" w:rsidRDefault="002D3531">
            <w:pPr>
              <w:spacing w:line="360" w:lineRule="auto"/>
              <w:jc w:val="center"/>
              <w:rPr>
                <w:rFonts w:ascii="宋体" w:eastAsia="微软雅黑" w:hAnsi="宋体" w:cs="宋体" w:hint="eastAsia"/>
                <w:color w:val="000000"/>
                <w:sz w:val="24"/>
              </w:rPr>
            </w:pPr>
            <w:r>
              <w:rPr>
                <w:rFonts w:ascii="宋体" w:hAnsi="宋体" w:cs="宋体" w:hint="eastAsia"/>
                <w:sz w:val="24"/>
              </w:rPr>
              <w:t>中银证券恒瑞</w:t>
            </w:r>
            <w:r>
              <w:rPr>
                <w:rFonts w:ascii="宋体" w:hAnsi="宋体" w:cs="宋体" w:hint="eastAsia"/>
                <w:sz w:val="24"/>
              </w:rPr>
              <w:t>9</w:t>
            </w:r>
            <w:r>
              <w:rPr>
                <w:rFonts w:ascii="宋体" w:hAnsi="宋体" w:cs="宋体" w:hint="eastAsia"/>
                <w:sz w:val="24"/>
              </w:rPr>
              <w:t>个月持有期混合型证券投资基金</w:t>
            </w:r>
          </w:p>
        </w:tc>
        <w:tc>
          <w:tcPr>
            <w:tcW w:w="1746" w:type="dxa"/>
            <w:vAlign w:val="center"/>
          </w:tcPr>
          <w:p w:rsidR="00000000" w:rsidRDefault="002D3531">
            <w:pPr>
              <w:spacing w:line="360" w:lineRule="auto"/>
              <w:jc w:val="center"/>
              <w:rPr>
                <w:rFonts w:ascii="宋体" w:hAnsi="宋体" w:cs="宋体" w:hint="eastAsia"/>
                <w:sz w:val="24"/>
              </w:rPr>
            </w:pPr>
            <w:r>
              <w:rPr>
                <w:rFonts w:ascii="宋体" w:hAnsi="宋体" w:cs="宋体" w:hint="eastAsia"/>
                <w:sz w:val="24"/>
              </w:rPr>
              <w:t>A</w:t>
            </w:r>
            <w:r>
              <w:rPr>
                <w:rFonts w:ascii="宋体" w:hAnsi="宋体" w:cs="宋体" w:hint="eastAsia"/>
                <w:sz w:val="24"/>
              </w:rPr>
              <w:t>类：</w:t>
            </w:r>
            <w:r>
              <w:rPr>
                <w:rFonts w:ascii="宋体" w:hAnsi="宋体" w:cs="宋体" w:hint="eastAsia"/>
                <w:sz w:val="24"/>
              </w:rPr>
              <w:t>013929</w:t>
            </w:r>
          </w:p>
          <w:p w:rsidR="00000000" w:rsidRDefault="002D3531">
            <w:pPr>
              <w:spacing w:line="360" w:lineRule="auto"/>
              <w:jc w:val="center"/>
              <w:rPr>
                <w:rFonts w:ascii="宋体" w:hAnsi="宋体" w:cs="宋体" w:hint="eastAsia"/>
                <w:color w:val="000000"/>
                <w:sz w:val="24"/>
              </w:rPr>
            </w:pPr>
            <w:r>
              <w:rPr>
                <w:rFonts w:ascii="宋体" w:hAnsi="宋体" w:cs="宋体" w:hint="eastAsia"/>
                <w:sz w:val="24"/>
              </w:rPr>
              <w:t>C</w:t>
            </w:r>
            <w:r>
              <w:rPr>
                <w:rFonts w:ascii="宋体" w:hAnsi="宋体" w:cs="宋体" w:hint="eastAsia"/>
                <w:sz w:val="24"/>
              </w:rPr>
              <w:t>类：</w:t>
            </w:r>
            <w:r>
              <w:rPr>
                <w:rFonts w:ascii="宋体" w:hAnsi="宋体" w:cs="宋体" w:hint="eastAsia"/>
                <w:sz w:val="24"/>
              </w:rPr>
              <w:t>013930</w:t>
            </w:r>
          </w:p>
        </w:tc>
      </w:tr>
    </w:tbl>
    <w:p w:rsidR="00000000" w:rsidRDefault="002D3531">
      <w:pPr>
        <w:spacing w:line="360" w:lineRule="auto"/>
        <w:ind w:firstLineChars="200" w:firstLine="480"/>
        <w:rPr>
          <w:rFonts w:hint="eastAsia"/>
          <w:sz w:val="24"/>
          <w:szCs w:val="28"/>
        </w:rPr>
      </w:pPr>
    </w:p>
    <w:p w:rsidR="00000000" w:rsidRDefault="002D3531">
      <w:pPr>
        <w:spacing w:line="360" w:lineRule="auto"/>
        <w:ind w:firstLineChars="200" w:firstLine="480"/>
        <w:rPr>
          <w:rFonts w:hint="eastAsia"/>
          <w:sz w:val="24"/>
          <w:szCs w:val="28"/>
        </w:rPr>
      </w:pPr>
    </w:p>
    <w:p w:rsidR="00000000" w:rsidRDefault="002D3531">
      <w:pPr>
        <w:spacing w:line="360" w:lineRule="auto"/>
        <w:ind w:firstLineChars="200" w:firstLine="480"/>
        <w:rPr>
          <w:sz w:val="24"/>
          <w:szCs w:val="28"/>
        </w:rPr>
      </w:pPr>
      <w:r>
        <w:rPr>
          <w:rFonts w:hint="eastAsia"/>
          <w:sz w:val="24"/>
          <w:szCs w:val="28"/>
        </w:rPr>
        <w:t>一、适用基金及业务范围</w:t>
      </w:r>
    </w:p>
    <w:p w:rsidR="00000000" w:rsidRDefault="002D3531">
      <w:pPr>
        <w:spacing w:line="360" w:lineRule="auto"/>
        <w:ind w:firstLineChars="200" w:firstLine="480"/>
        <w:rPr>
          <w:rFonts w:hint="eastAsia"/>
          <w:sz w:val="24"/>
          <w:szCs w:val="28"/>
        </w:rPr>
      </w:pPr>
      <w:r>
        <w:rPr>
          <w:rFonts w:hint="eastAsia"/>
          <w:sz w:val="24"/>
          <w:szCs w:val="28"/>
        </w:rPr>
        <w:t>自</w:t>
      </w:r>
      <w:r>
        <w:rPr>
          <w:rFonts w:hint="eastAsia"/>
          <w:sz w:val="24"/>
          <w:szCs w:val="28"/>
        </w:rPr>
        <w:t>2023</w:t>
      </w:r>
      <w:r>
        <w:rPr>
          <w:rFonts w:hint="eastAsia"/>
          <w:sz w:val="24"/>
          <w:szCs w:val="28"/>
        </w:rPr>
        <w:t>年</w:t>
      </w:r>
      <w:r>
        <w:rPr>
          <w:rFonts w:hint="eastAsia"/>
          <w:sz w:val="24"/>
          <w:szCs w:val="28"/>
        </w:rPr>
        <w:t>8</w:t>
      </w:r>
      <w:r>
        <w:rPr>
          <w:rFonts w:hint="eastAsia"/>
          <w:sz w:val="24"/>
          <w:szCs w:val="28"/>
        </w:rPr>
        <w:t>月</w:t>
      </w:r>
      <w:r>
        <w:rPr>
          <w:rFonts w:hint="eastAsia"/>
          <w:sz w:val="24"/>
          <w:szCs w:val="28"/>
        </w:rPr>
        <w:t>9</w:t>
      </w:r>
      <w:r>
        <w:rPr>
          <w:rFonts w:hint="eastAsia"/>
          <w:sz w:val="24"/>
          <w:szCs w:val="28"/>
        </w:rPr>
        <w:t>日起</w:t>
      </w:r>
      <w:r>
        <w:rPr>
          <w:rFonts w:hint="eastAsia"/>
          <w:sz w:val="24"/>
          <w:szCs w:val="28"/>
        </w:rPr>
        <w:t>，投资者可通过</w:t>
      </w:r>
      <w:r>
        <w:rPr>
          <w:rFonts w:hint="eastAsia"/>
          <w:sz w:val="24"/>
          <w:szCs w:val="28"/>
        </w:rPr>
        <w:t>腾安基金</w:t>
      </w:r>
      <w:r>
        <w:rPr>
          <w:rFonts w:hint="eastAsia"/>
          <w:sz w:val="24"/>
          <w:szCs w:val="28"/>
        </w:rPr>
        <w:t>办理上述适用基金的开户、申</w:t>
      </w:r>
      <w:r>
        <w:rPr>
          <w:rFonts w:hint="eastAsia"/>
          <w:sz w:val="24"/>
          <w:szCs w:val="28"/>
        </w:rPr>
        <w:t>(</w:t>
      </w:r>
      <w:r>
        <w:rPr>
          <w:rFonts w:hint="eastAsia"/>
          <w:sz w:val="24"/>
          <w:szCs w:val="28"/>
        </w:rPr>
        <w:t>认</w:t>
      </w:r>
      <w:r>
        <w:rPr>
          <w:rFonts w:hint="eastAsia"/>
          <w:sz w:val="24"/>
          <w:szCs w:val="28"/>
        </w:rPr>
        <w:t>)</w:t>
      </w:r>
      <w:r>
        <w:rPr>
          <w:rFonts w:hint="eastAsia"/>
          <w:sz w:val="24"/>
          <w:szCs w:val="28"/>
        </w:rPr>
        <w:t>购、赎回、转换、定期定额申购等业务。</w:t>
      </w:r>
    </w:p>
    <w:p w:rsidR="00000000" w:rsidRDefault="002D3531">
      <w:pPr>
        <w:spacing w:line="360" w:lineRule="auto"/>
        <w:ind w:firstLineChars="200" w:firstLine="480"/>
        <w:rPr>
          <w:rFonts w:hint="eastAsia"/>
          <w:sz w:val="24"/>
          <w:szCs w:val="28"/>
        </w:rPr>
      </w:pPr>
      <w:r>
        <w:rPr>
          <w:rFonts w:hint="eastAsia"/>
          <w:sz w:val="24"/>
          <w:szCs w:val="28"/>
        </w:rPr>
        <w:t>二、重要提示</w:t>
      </w:r>
    </w:p>
    <w:p w:rsidR="00000000" w:rsidRDefault="002D3531">
      <w:pPr>
        <w:spacing w:line="360" w:lineRule="auto"/>
        <w:ind w:firstLineChars="200" w:firstLine="480"/>
        <w:rPr>
          <w:rFonts w:hint="eastAsia"/>
          <w:sz w:val="24"/>
          <w:szCs w:val="28"/>
        </w:rPr>
      </w:pPr>
      <w:r>
        <w:rPr>
          <w:rFonts w:hint="eastAsia"/>
          <w:sz w:val="24"/>
          <w:szCs w:val="28"/>
        </w:rPr>
        <w:t>上述申购赎回业务仅适用于处于正常开放期的基金。基金封闭期等特殊期间的有关规定详见对应基金的基金合同和招募说明书等相关法律文件及本公司发布的最新业务公告。</w:t>
      </w:r>
    </w:p>
    <w:p w:rsidR="00000000" w:rsidRDefault="002D3531">
      <w:pPr>
        <w:spacing w:line="360" w:lineRule="auto"/>
        <w:ind w:firstLineChars="200" w:firstLine="480"/>
        <w:rPr>
          <w:sz w:val="24"/>
          <w:szCs w:val="28"/>
        </w:rPr>
      </w:pPr>
      <w:r>
        <w:rPr>
          <w:rFonts w:hint="eastAsia"/>
          <w:sz w:val="24"/>
          <w:szCs w:val="28"/>
        </w:rPr>
        <w:t>三、费率调整</w:t>
      </w:r>
    </w:p>
    <w:p w:rsidR="00000000" w:rsidRDefault="002D3531">
      <w:pPr>
        <w:spacing w:line="360" w:lineRule="auto"/>
        <w:ind w:firstLineChars="200" w:firstLine="480"/>
        <w:rPr>
          <w:rFonts w:hint="eastAsia"/>
          <w:sz w:val="24"/>
          <w:szCs w:val="28"/>
        </w:rPr>
      </w:pPr>
      <w:r>
        <w:rPr>
          <w:rFonts w:hint="eastAsia"/>
          <w:sz w:val="24"/>
          <w:szCs w:val="28"/>
        </w:rPr>
        <w:t>1</w:t>
      </w:r>
      <w:r>
        <w:rPr>
          <w:rFonts w:hint="eastAsia"/>
          <w:sz w:val="24"/>
          <w:szCs w:val="28"/>
        </w:rPr>
        <w:t>、费率调整内容</w:t>
      </w:r>
    </w:p>
    <w:p w:rsidR="00000000" w:rsidRDefault="002D3531">
      <w:pPr>
        <w:spacing w:line="360" w:lineRule="auto"/>
        <w:ind w:firstLineChars="200" w:firstLine="480"/>
        <w:rPr>
          <w:rFonts w:hint="eastAsia"/>
          <w:sz w:val="24"/>
          <w:szCs w:val="28"/>
        </w:rPr>
      </w:pPr>
      <w:r>
        <w:rPr>
          <w:rFonts w:hint="eastAsia"/>
          <w:sz w:val="24"/>
          <w:szCs w:val="28"/>
        </w:rPr>
        <w:lastRenderedPageBreak/>
        <w:t>20</w:t>
      </w:r>
      <w:r>
        <w:rPr>
          <w:rFonts w:hint="eastAsia"/>
          <w:sz w:val="24"/>
          <w:szCs w:val="28"/>
        </w:rPr>
        <w:t>23</w:t>
      </w:r>
      <w:r>
        <w:rPr>
          <w:rFonts w:hint="eastAsia"/>
          <w:sz w:val="24"/>
          <w:szCs w:val="28"/>
        </w:rPr>
        <w:t>年</w:t>
      </w:r>
      <w:r>
        <w:rPr>
          <w:rFonts w:hint="eastAsia"/>
          <w:sz w:val="24"/>
          <w:szCs w:val="28"/>
        </w:rPr>
        <w:t>8</w:t>
      </w:r>
      <w:r>
        <w:rPr>
          <w:rFonts w:hint="eastAsia"/>
          <w:sz w:val="24"/>
          <w:szCs w:val="28"/>
        </w:rPr>
        <w:t>月</w:t>
      </w:r>
      <w:r>
        <w:rPr>
          <w:rFonts w:hint="eastAsia"/>
          <w:sz w:val="24"/>
          <w:szCs w:val="28"/>
        </w:rPr>
        <w:t>9</w:t>
      </w:r>
      <w:r>
        <w:rPr>
          <w:rFonts w:hint="eastAsia"/>
          <w:sz w:val="24"/>
          <w:szCs w:val="28"/>
        </w:rPr>
        <w:t>日起</w:t>
      </w:r>
      <w:r>
        <w:rPr>
          <w:rFonts w:hint="eastAsia"/>
          <w:sz w:val="24"/>
          <w:szCs w:val="28"/>
        </w:rPr>
        <w:t>，投资者通过</w:t>
      </w:r>
      <w:r>
        <w:rPr>
          <w:rFonts w:hint="eastAsia"/>
          <w:sz w:val="24"/>
          <w:szCs w:val="28"/>
        </w:rPr>
        <w:t>腾安基金</w:t>
      </w:r>
      <w:r>
        <w:rPr>
          <w:rFonts w:hint="eastAsia"/>
          <w:sz w:val="24"/>
          <w:szCs w:val="28"/>
        </w:rPr>
        <w:t>申</w:t>
      </w:r>
      <w:r>
        <w:rPr>
          <w:rFonts w:hint="eastAsia"/>
          <w:sz w:val="24"/>
          <w:szCs w:val="28"/>
        </w:rPr>
        <w:t>(</w:t>
      </w:r>
      <w:r>
        <w:rPr>
          <w:rFonts w:hint="eastAsia"/>
          <w:sz w:val="24"/>
          <w:szCs w:val="28"/>
        </w:rPr>
        <w:t>认</w:t>
      </w:r>
      <w:r>
        <w:rPr>
          <w:rFonts w:hint="eastAsia"/>
          <w:sz w:val="24"/>
          <w:szCs w:val="28"/>
        </w:rPr>
        <w:t>)</w:t>
      </w:r>
      <w:r>
        <w:rPr>
          <w:rFonts w:hint="eastAsia"/>
          <w:sz w:val="24"/>
          <w:szCs w:val="28"/>
        </w:rPr>
        <w:t>购本公司旗下基金，参与</w:t>
      </w:r>
      <w:r>
        <w:rPr>
          <w:rFonts w:hint="eastAsia"/>
          <w:sz w:val="24"/>
          <w:szCs w:val="28"/>
        </w:rPr>
        <w:t>腾安基金</w:t>
      </w:r>
      <w:r>
        <w:rPr>
          <w:rFonts w:hint="eastAsia"/>
          <w:sz w:val="24"/>
          <w:szCs w:val="28"/>
        </w:rPr>
        <w:t>费率优惠活动，具体折扣费率以</w:t>
      </w:r>
      <w:r>
        <w:rPr>
          <w:rFonts w:hint="eastAsia"/>
          <w:sz w:val="24"/>
          <w:szCs w:val="28"/>
        </w:rPr>
        <w:t>腾安基金</w:t>
      </w:r>
      <w:r>
        <w:rPr>
          <w:rFonts w:hint="eastAsia"/>
          <w:sz w:val="24"/>
          <w:szCs w:val="28"/>
        </w:rPr>
        <w:t>活动为准。基金标准费率请详见基金合同、招募说明书</w:t>
      </w:r>
      <w:r>
        <w:rPr>
          <w:rFonts w:hint="eastAsia"/>
          <w:sz w:val="24"/>
          <w:szCs w:val="28"/>
        </w:rPr>
        <w:t>(</w:t>
      </w:r>
      <w:r>
        <w:rPr>
          <w:rFonts w:hint="eastAsia"/>
          <w:sz w:val="24"/>
          <w:szCs w:val="28"/>
        </w:rPr>
        <w:t>更新</w:t>
      </w:r>
      <w:r>
        <w:rPr>
          <w:rFonts w:hint="eastAsia"/>
          <w:sz w:val="24"/>
          <w:szCs w:val="28"/>
        </w:rPr>
        <w:t>)</w:t>
      </w:r>
      <w:r>
        <w:rPr>
          <w:rFonts w:hint="eastAsia"/>
          <w:sz w:val="24"/>
          <w:szCs w:val="28"/>
        </w:rPr>
        <w:t>等法律文件，以及本公司发布的最新业务公告。</w:t>
      </w:r>
    </w:p>
    <w:p w:rsidR="00000000" w:rsidRDefault="002D3531">
      <w:pPr>
        <w:spacing w:line="360" w:lineRule="auto"/>
        <w:ind w:firstLineChars="200" w:firstLine="480"/>
        <w:rPr>
          <w:rFonts w:hint="eastAsia"/>
          <w:sz w:val="24"/>
          <w:szCs w:val="28"/>
        </w:rPr>
      </w:pPr>
      <w:r>
        <w:rPr>
          <w:rFonts w:hint="eastAsia"/>
          <w:sz w:val="24"/>
          <w:szCs w:val="28"/>
        </w:rPr>
        <w:t>费率调整期限内，如本公司新增通过</w:t>
      </w:r>
      <w:r>
        <w:rPr>
          <w:rFonts w:hint="eastAsia"/>
          <w:sz w:val="24"/>
          <w:szCs w:val="28"/>
        </w:rPr>
        <w:t>腾安基金</w:t>
      </w:r>
      <w:r>
        <w:rPr>
          <w:rFonts w:hint="eastAsia"/>
          <w:sz w:val="24"/>
          <w:szCs w:val="28"/>
        </w:rPr>
        <w:t>销售的基金产品，则自该基金产品开放申</w:t>
      </w:r>
      <w:r>
        <w:rPr>
          <w:rFonts w:hint="eastAsia"/>
          <w:sz w:val="24"/>
          <w:szCs w:val="28"/>
        </w:rPr>
        <w:t>(</w:t>
      </w:r>
      <w:r>
        <w:rPr>
          <w:rFonts w:hint="eastAsia"/>
          <w:sz w:val="24"/>
          <w:szCs w:val="28"/>
        </w:rPr>
        <w:t>认</w:t>
      </w:r>
      <w:r>
        <w:rPr>
          <w:rFonts w:hint="eastAsia"/>
          <w:sz w:val="24"/>
          <w:szCs w:val="28"/>
        </w:rPr>
        <w:t>)</w:t>
      </w:r>
      <w:r>
        <w:rPr>
          <w:rFonts w:hint="eastAsia"/>
          <w:sz w:val="24"/>
          <w:szCs w:val="28"/>
        </w:rPr>
        <w:t>购当日起，将同时遵循以上费率调整内容。</w:t>
      </w:r>
    </w:p>
    <w:p w:rsidR="00000000" w:rsidRDefault="002D3531">
      <w:pPr>
        <w:spacing w:line="360" w:lineRule="auto"/>
        <w:ind w:firstLineChars="200" w:firstLine="480"/>
        <w:rPr>
          <w:sz w:val="24"/>
          <w:szCs w:val="28"/>
        </w:rPr>
      </w:pPr>
      <w:r>
        <w:rPr>
          <w:sz w:val="24"/>
          <w:szCs w:val="28"/>
        </w:rPr>
        <w:t>2</w:t>
      </w:r>
      <w:r>
        <w:rPr>
          <w:rFonts w:hint="eastAsia"/>
          <w:sz w:val="24"/>
          <w:szCs w:val="28"/>
        </w:rPr>
        <w:t>、费率调整期限</w:t>
      </w:r>
      <w:r>
        <w:rPr>
          <w:sz w:val="24"/>
          <w:szCs w:val="28"/>
        </w:rPr>
        <w:t xml:space="preserve"> </w:t>
      </w:r>
    </w:p>
    <w:p w:rsidR="00000000" w:rsidRDefault="002D3531">
      <w:pPr>
        <w:spacing w:line="360" w:lineRule="auto"/>
        <w:ind w:firstLineChars="200" w:firstLine="480"/>
        <w:rPr>
          <w:rFonts w:hint="eastAsia"/>
          <w:sz w:val="24"/>
          <w:szCs w:val="28"/>
        </w:rPr>
      </w:pPr>
      <w:r>
        <w:rPr>
          <w:rFonts w:hint="eastAsia"/>
          <w:sz w:val="24"/>
          <w:szCs w:val="28"/>
        </w:rPr>
        <w:t>以</w:t>
      </w:r>
      <w:r>
        <w:rPr>
          <w:rFonts w:hint="eastAsia"/>
          <w:sz w:val="24"/>
          <w:szCs w:val="28"/>
        </w:rPr>
        <w:t>腾安基金</w:t>
      </w:r>
      <w:r>
        <w:rPr>
          <w:rFonts w:hint="eastAsia"/>
          <w:sz w:val="24"/>
          <w:szCs w:val="28"/>
        </w:rPr>
        <w:t>公示为准。</w:t>
      </w:r>
    </w:p>
    <w:p w:rsidR="00000000" w:rsidRDefault="002D3531">
      <w:pPr>
        <w:spacing w:line="360" w:lineRule="auto"/>
        <w:ind w:firstLineChars="200" w:firstLine="480"/>
        <w:rPr>
          <w:rFonts w:hint="eastAsia"/>
          <w:sz w:val="24"/>
          <w:szCs w:val="28"/>
        </w:rPr>
      </w:pPr>
      <w:r>
        <w:rPr>
          <w:rFonts w:hint="eastAsia"/>
          <w:sz w:val="24"/>
          <w:szCs w:val="28"/>
        </w:rPr>
        <w:t>3</w:t>
      </w:r>
      <w:r>
        <w:rPr>
          <w:rFonts w:hint="eastAsia"/>
          <w:sz w:val="24"/>
          <w:szCs w:val="28"/>
        </w:rPr>
        <w:t>、费率调整提示</w:t>
      </w:r>
    </w:p>
    <w:p w:rsidR="00000000" w:rsidRDefault="002D3531">
      <w:pPr>
        <w:spacing w:line="360" w:lineRule="auto"/>
        <w:ind w:firstLineChars="200" w:firstLine="480"/>
        <w:rPr>
          <w:rFonts w:hint="eastAsia"/>
          <w:sz w:val="24"/>
          <w:szCs w:val="28"/>
        </w:rPr>
      </w:pPr>
      <w:r>
        <w:rPr>
          <w:rFonts w:hint="eastAsia"/>
          <w:sz w:val="24"/>
          <w:szCs w:val="28"/>
        </w:rPr>
        <w:t>(1)</w:t>
      </w:r>
      <w:r>
        <w:rPr>
          <w:rFonts w:hint="eastAsia"/>
          <w:sz w:val="24"/>
          <w:szCs w:val="28"/>
        </w:rPr>
        <w:t>本次费率调整仅适用于本公司在</w:t>
      </w:r>
      <w:r>
        <w:rPr>
          <w:rFonts w:hint="eastAsia"/>
          <w:sz w:val="24"/>
          <w:szCs w:val="28"/>
        </w:rPr>
        <w:t>腾安基金</w:t>
      </w:r>
      <w:r>
        <w:rPr>
          <w:rFonts w:hint="eastAsia"/>
          <w:sz w:val="24"/>
          <w:szCs w:val="28"/>
        </w:rPr>
        <w:t>处于正常申购期的基金产品的前端收费模式的申购费及处于基金募集期的基金认购费，不</w:t>
      </w:r>
      <w:r>
        <w:rPr>
          <w:rFonts w:hint="eastAsia"/>
          <w:sz w:val="24"/>
          <w:szCs w:val="28"/>
        </w:rPr>
        <w:t>包括基金赎回等其他业务的手续费。</w:t>
      </w:r>
    </w:p>
    <w:p w:rsidR="00000000" w:rsidRDefault="002D3531">
      <w:pPr>
        <w:spacing w:line="360" w:lineRule="auto"/>
        <w:ind w:firstLineChars="200" w:firstLine="480"/>
        <w:rPr>
          <w:rFonts w:hint="eastAsia"/>
          <w:sz w:val="24"/>
          <w:szCs w:val="28"/>
        </w:rPr>
      </w:pPr>
      <w:r>
        <w:rPr>
          <w:rFonts w:hint="eastAsia"/>
          <w:sz w:val="24"/>
          <w:szCs w:val="28"/>
        </w:rPr>
        <w:t>(2)</w:t>
      </w:r>
      <w:r>
        <w:rPr>
          <w:rFonts w:hint="eastAsia"/>
          <w:sz w:val="24"/>
          <w:szCs w:val="28"/>
        </w:rPr>
        <w:t>本次费率调整解释权归</w:t>
      </w:r>
      <w:r>
        <w:rPr>
          <w:rFonts w:hint="eastAsia"/>
          <w:sz w:val="24"/>
          <w:szCs w:val="28"/>
        </w:rPr>
        <w:t>腾安基金</w:t>
      </w:r>
      <w:r>
        <w:rPr>
          <w:rFonts w:hint="eastAsia"/>
          <w:sz w:val="24"/>
          <w:szCs w:val="28"/>
        </w:rPr>
        <w:t>所有，有关费率调整的具体规定如有变化，敬请投资者留意</w:t>
      </w:r>
      <w:r>
        <w:rPr>
          <w:rFonts w:hint="eastAsia"/>
          <w:sz w:val="24"/>
          <w:szCs w:val="28"/>
        </w:rPr>
        <w:t>腾安基金</w:t>
      </w:r>
      <w:r>
        <w:rPr>
          <w:rFonts w:hint="eastAsia"/>
          <w:sz w:val="24"/>
          <w:szCs w:val="28"/>
        </w:rPr>
        <w:t>的有关告知。</w:t>
      </w:r>
    </w:p>
    <w:p w:rsidR="00000000" w:rsidRDefault="002D3531">
      <w:pPr>
        <w:spacing w:line="360" w:lineRule="auto"/>
        <w:ind w:firstLineChars="200" w:firstLine="480"/>
        <w:rPr>
          <w:sz w:val="24"/>
          <w:szCs w:val="28"/>
        </w:rPr>
      </w:pPr>
      <w:r>
        <w:rPr>
          <w:rFonts w:hint="eastAsia"/>
          <w:sz w:val="24"/>
          <w:szCs w:val="28"/>
        </w:rPr>
        <w:t>四、投资者可通过以下途径咨询有关详情：</w:t>
      </w:r>
    </w:p>
    <w:p w:rsidR="00000000" w:rsidRDefault="002D3531">
      <w:pPr>
        <w:spacing w:line="360" w:lineRule="auto"/>
        <w:ind w:firstLineChars="200" w:firstLine="480"/>
        <w:rPr>
          <w:rFonts w:hint="eastAsia"/>
          <w:sz w:val="24"/>
          <w:szCs w:val="28"/>
        </w:rPr>
      </w:pPr>
      <w:r>
        <w:rPr>
          <w:rFonts w:hint="eastAsia"/>
          <w:sz w:val="24"/>
          <w:szCs w:val="28"/>
        </w:rPr>
        <w:t>1</w:t>
      </w:r>
      <w:r>
        <w:rPr>
          <w:rFonts w:hint="eastAsia"/>
          <w:sz w:val="24"/>
          <w:szCs w:val="28"/>
        </w:rPr>
        <w:t>、腾安基金销售（深圳）有限公司</w:t>
      </w:r>
      <w:r>
        <w:rPr>
          <w:rFonts w:hint="eastAsia"/>
          <w:sz w:val="24"/>
          <w:szCs w:val="28"/>
        </w:rPr>
        <w:t xml:space="preserve"> </w:t>
      </w:r>
    </w:p>
    <w:p w:rsidR="00000000" w:rsidRDefault="002D3531">
      <w:pPr>
        <w:spacing w:line="360" w:lineRule="auto"/>
        <w:ind w:firstLineChars="200" w:firstLine="480"/>
        <w:rPr>
          <w:rFonts w:ascii="宋体" w:hAnsi="宋体" w:cs="宋体" w:hint="eastAsia"/>
          <w:sz w:val="24"/>
          <w:szCs w:val="28"/>
        </w:rPr>
      </w:pPr>
      <w:r>
        <w:rPr>
          <w:rFonts w:ascii="宋体" w:hAnsi="宋体" w:cs="宋体" w:hint="eastAsia"/>
          <w:sz w:val="24"/>
          <w:szCs w:val="28"/>
        </w:rPr>
        <w:t>客服电话：</w:t>
      </w:r>
      <w:r>
        <w:rPr>
          <w:rFonts w:ascii="宋体" w:hAnsi="宋体" w:cs="宋体" w:hint="eastAsia"/>
          <w:sz w:val="24"/>
          <w:szCs w:val="28"/>
        </w:rPr>
        <w:t xml:space="preserve">95017 </w:t>
      </w:r>
    </w:p>
    <w:p w:rsidR="00000000" w:rsidRDefault="002D3531">
      <w:pPr>
        <w:spacing w:line="360" w:lineRule="auto"/>
        <w:ind w:firstLineChars="200" w:firstLine="480"/>
        <w:rPr>
          <w:rFonts w:ascii="宋体" w:hAnsi="宋体" w:cs="宋体" w:hint="eastAsia"/>
          <w:sz w:val="24"/>
          <w:szCs w:val="28"/>
        </w:rPr>
      </w:pPr>
      <w:r>
        <w:rPr>
          <w:rFonts w:ascii="宋体" w:hAnsi="宋体" w:cs="宋体" w:hint="eastAsia"/>
          <w:sz w:val="24"/>
          <w:szCs w:val="28"/>
        </w:rPr>
        <w:t>网址：</w:t>
      </w:r>
      <w:hyperlink r:id="rId4" w:history="1">
        <w:r>
          <w:rPr>
            <w:rStyle w:val="aa"/>
            <w:rFonts w:ascii="宋体" w:hAnsi="宋体" w:cs="宋体" w:hint="eastAsia"/>
            <w:sz w:val="24"/>
            <w:szCs w:val="28"/>
          </w:rPr>
          <w:t>www.txfund.com</w:t>
        </w:r>
      </w:hyperlink>
    </w:p>
    <w:p w:rsidR="00000000" w:rsidRDefault="002D3531">
      <w:pPr>
        <w:spacing w:line="360" w:lineRule="auto"/>
        <w:ind w:firstLineChars="200" w:firstLine="480"/>
        <w:rPr>
          <w:rFonts w:ascii="宋体" w:hAnsi="宋体" w:cs="宋体" w:hint="eastAsia"/>
          <w:sz w:val="24"/>
          <w:szCs w:val="28"/>
        </w:rPr>
      </w:pPr>
      <w:r>
        <w:rPr>
          <w:rFonts w:ascii="宋体" w:hAnsi="宋体" w:cs="宋体" w:hint="eastAsia"/>
          <w:sz w:val="24"/>
          <w:szCs w:val="28"/>
        </w:rPr>
        <w:t>2</w:t>
      </w:r>
      <w:r>
        <w:rPr>
          <w:rFonts w:ascii="宋体" w:hAnsi="宋体" w:cs="宋体" w:hint="eastAsia"/>
          <w:sz w:val="24"/>
          <w:szCs w:val="28"/>
        </w:rPr>
        <w:t>、中银国际证券股份有限公司</w:t>
      </w:r>
    </w:p>
    <w:p w:rsidR="00000000" w:rsidRDefault="002D3531">
      <w:pPr>
        <w:spacing w:line="360" w:lineRule="auto"/>
        <w:ind w:firstLineChars="200" w:firstLine="480"/>
        <w:rPr>
          <w:rFonts w:ascii="宋体" w:hAnsi="宋体" w:cs="宋体" w:hint="eastAsia"/>
          <w:sz w:val="24"/>
          <w:szCs w:val="28"/>
        </w:rPr>
      </w:pPr>
      <w:r>
        <w:rPr>
          <w:rFonts w:ascii="宋体" w:hAnsi="宋体" w:cs="宋体" w:hint="eastAsia"/>
          <w:sz w:val="24"/>
          <w:szCs w:val="28"/>
        </w:rPr>
        <w:t>客服电话：</w:t>
      </w:r>
      <w:r>
        <w:rPr>
          <w:rFonts w:ascii="宋体" w:hAnsi="宋体" w:cs="宋体" w:hint="eastAsia"/>
          <w:sz w:val="24"/>
          <w:szCs w:val="28"/>
        </w:rPr>
        <w:t>021-61195566,400-620-8888</w:t>
      </w:r>
    </w:p>
    <w:p w:rsidR="00000000" w:rsidRDefault="002D3531">
      <w:pPr>
        <w:spacing w:line="360" w:lineRule="auto"/>
        <w:ind w:firstLineChars="200" w:firstLine="480"/>
        <w:rPr>
          <w:rFonts w:ascii="宋体" w:hAnsi="宋体" w:cs="宋体" w:hint="eastAsia"/>
          <w:sz w:val="24"/>
          <w:szCs w:val="28"/>
        </w:rPr>
      </w:pPr>
      <w:r>
        <w:rPr>
          <w:rFonts w:ascii="宋体" w:hAnsi="宋体" w:cs="宋体" w:hint="eastAsia"/>
          <w:sz w:val="24"/>
          <w:szCs w:val="28"/>
        </w:rPr>
        <w:t>网址：</w:t>
      </w:r>
      <w:r>
        <w:rPr>
          <w:rFonts w:ascii="宋体" w:hAnsi="宋体" w:cs="宋体" w:hint="eastAsia"/>
          <w:sz w:val="24"/>
          <w:szCs w:val="28"/>
        </w:rPr>
        <w:t xml:space="preserve"> www.bocifunds.com</w:t>
      </w:r>
    </w:p>
    <w:p w:rsidR="00000000" w:rsidRDefault="002D3531">
      <w:pPr>
        <w:spacing w:line="360" w:lineRule="auto"/>
        <w:ind w:firstLineChars="200" w:firstLine="480"/>
        <w:rPr>
          <w:sz w:val="24"/>
          <w:szCs w:val="28"/>
        </w:rPr>
      </w:pPr>
      <w:r>
        <w:rPr>
          <w:rFonts w:hint="eastAsia"/>
          <w:sz w:val="24"/>
          <w:szCs w:val="28"/>
        </w:rPr>
        <w:t>五、风险提示：</w:t>
      </w:r>
    </w:p>
    <w:p w:rsidR="00000000" w:rsidRDefault="002D3531">
      <w:pPr>
        <w:spacing w:line="360" w:lineRule="auto"/>
        <w:ind w:firstLineChars="200" w:firstLine="480"/>
        <w:rPr>
          <w:rFonts w:hint="eastAsia"/>
          <w:sz w:val="24"/>
          <w:szCs w:val="28"/>
        </w:rPr>
      </w:pPr>
      <w:r>
        <w:rPr>
          <w:rFonts w:hint="eastAsia"/>
          <w:sz w:val="24"/>
          <w:szCs w:val="28"/>
        </w:rPr>
        <w:t>本公司</w:t>
      </w:r>
      <w:r>
        <w:rPr>
          <w:rFonts w:hint="eastAsia"/>
          <w:sz w:val="24"/>
          <w:szCs w:val="28"/>
        </w:rPr>
        <w:t>承诺以诚实信用、勤勉尽责的原则管理和运用基金资产，但不保证基金一定盈利，也不保证最低收益。基金的过往业绩及其净值高低并不预示其未来业绩表现。</w:t>
      </w:r>
    </w:p>
    <w:p w:rsidR="00000000" w:rsidRDefault="002D3531">
      <w:pPr>
        <w:spacing w:line="360" w:lineRule="auto"/>
        <w:ind w:firstLineChars="200" w:firstLine="480"/>
        <w:rPr>
          <w:rFonts w:hint="eastAsia"/>
          <w:sz w:val="24"/>
          <w:szCs w:val="28"/>
        </w:rPr>
      </w:pPr>
      <w:r>
        <w:rPr>
          <w:rFonts w:hint="eastAsia"/>
          <w:sz w:val="24"/>
          <w:szCs w:val="28"/>
        </w:rPr>
        <w:t>投资者投资于货币市场基金并不等于将资金作为存款存放在银行或存款类金融机构，基金的过往业绩并不预示其未来表现，基金管理人管理的其他基金的业绩并不构成对货币市场基金表现的保证。</w:t>
      </w:r>
    </w:p>
    <w:p w:rsidR="00000000" w:rsidRDefault="002D3531">
      <w:pPr>
        <w:spacing w:line="360" w:lineRule="auto"/>
        <w:ind w:firstLineChars="200" w:firstLine="480"/>
        <w:rPr>
          <w:rFonts w:hint="eastAsia"/>
          <w:sz w:val="24"/>
          <w:szCs w:val="28"/>
        </w:rPr>
      </w:pPr>
      <w:r>
        <w:rPr>
          <w:rFonts w:hint="eastAsia"/>
          <w:sz w:val="24"/>
          <w:szCs w:val="28"/>
        </w:rPr>
        <w:t>投资前请投资者认真阅读《基金合同》、《招募说明书》等法律文件，了解基金的风险收益特征，并根据自身的投资</w:t>
      </w:r>
      <w:r>
        <w:rPr>
          <w:rFonts w:hint="eastAsia"/>
          <w:sz w:val="24"/>
          <w:szCs w:val="28"/>
        </w:rPr>
        <w:t>目</w:t>
      </w:r>
      <w:r>
        <w:rPr>
          <w:rFonts w:hint="eastAsia"/>
          <w:sz w:val="24"/>
          <w:szCs w:val="28"/>
        </w:rPr>
        <w:t>的、投资期限、投资经验、资产状况</w:t>
      </w:r>
      <w:r>
        <w:rPr>
          <w:rFonts w:hint="eastAsia"/>
          <w:sz w:val="24"/>
          <w:szCs w:val="28"/>
        </w:rPr>
        <w:lastRenderedPageBreak/>
        <w:t>等判断基金是否和投资人的风险承受能力相适应。</w:t>
      </w:r>
    </w:p>
    <w:p w:rsidR="00000000" w:rsidRDefault="002D3531">
      <w:pPr>
        <w:spacing w:line="360" w:lineRule="auto"/>
        <w:ind w:firstLineChars="200" w:firstLine="480"/>
        <w:rPr>
          <w:rFonts w:hint="eastAsia"/>
          <w:sz w:val="24"/>
          <w:szCs w:val="28"/>
        </w:rPr>
      </w:pPr>
      <w:r>
        <w:rPr>
          <w:rFonts w:hint="eastAsia"/>
          <w:sz w:val="24"/>
          <w:szCs w:val="28"/>
        </w:rPr>
        <w:t>本公告的解释权</w:t>
      </w:r>
      <w:r>
        <w:rPr>
          <w:rFonts w:hint="eastAsia"/>
          <w:sz w:val="24"/>
          <w:szCs w:val="28"/>
        </w:rPr>
        <w:t>归中银国际证券股份有限公司所有。</w:t>
      </w:r>
    </w:p>
    <w:p w:rsidR="00000000" w:rsidRDefault="002D3531">
      <w:pPr>
        <w:spacing w:line="360" w:lineRule="auto"/>
        <w:ind w:firstLineChars="200" w:firstLine="480"/>
        <w:rPr>
          <w:rFonts w:hint="eastAsia"/>
          <w:sz w:val="24"/>
          <w:szCs w:val="28"/>
        </w:rPr>
      </w:pPr>
    </w:p>
    <w:p w:rsidR="00000000" w:rsidRDefault="002D3531">
      <w:pPr>
        <w:spacing w:line="360" w:lineRule="auto"/>
        <w:ind w:firstLineChars="200" w:firstLine="480"/>
        <w:rPr>
          <w:sz w:val="24"/>
          <w:szCs w:val="28"/>
        </w:rPr>
      </w:pPr>
      <w:r>
        <w:rPr>
          <w:rFonts w:hint="eastAsia"/>
          <w:sz w:val="24"/>
          <w:szCs w:val="28"/>
        </w:rPr>
        <w:t>特此公告</w:t>
      </w:r>
    </w:p>
    <w:p w:rsidR="00000000" w:rsidRDefault="002D3531">
      <w:pPr>
        <w:spacing w:line="360" w:lineRule="auto"/>
        <w:ind w:firstLineChars="200" w:firstLine="480"/>
        <w:rPr>
          <w:sz w:val="24"/>
          <w:szCs w:val="28"/>
        </w:rPr>
      </w:pPr>
    </w:p>
    <w:p w:rsidR="00000000" w:rsidRDefault="002D3531">
      <w:pPr>
        <w:spacing w:line="360" w:lineRule="auto"/>
        <w:ind w:firstLineChars="200" w:firstLine="480"/>
        <w:jc w:val="right"/>
        <w:rPr>
          <w:sz w:val="24"/>
          <w:szCs w:val="28"/>
        </w:rPr>
      </w:pPr>
      <w:r>
        <w:rPr>
          <w:rFonts w:hint="eastAsia"/>
          <w:sz w:val="24"/>
          <w:szCs w:val="28"/>
        </w:rPr>
        <w:t xml:space="preserve">　中银国际证券股份有限公司</w:t>
      </w:r>
    </w:p>
    <w:p w:rsidR="00000000" w:rsidRDefault="002D3531">
      <w:pPr>
        <w:spacing w:line="360" w:lineRule="auto"/>
        <w:ind w:firstLineChars="200" w:firstLine="480"/>
        <w:jc w:val="right"/>
        <w:rPr>
          <w:sz w:val="24"/>
          <w:szCs w:val="28"/>
        </w:rPr>
      </w:pPr>
      <w:r>
        <w:rPr>
          <w:rFonts w:hint="eastAsia"/>
          <w:sz w:val="24"/>
          <w:szCs w:val="28"/>
        </w:rPr>
        <w:t xml:space="preserve">　</w:t>
      </w:r>
      <w:r>
        <w:rPr>
          <w:rFonts w:hint="eastAsia"/>
          <w:sz w:val="24"/>
          <w:szCs w:val="28"/>
        </w:rPr>
        <w:t>202</w:t>
      </w:r>
      <w:r>
        <w:rPr>
          <w:rFonts w:hint="eastAsia"/>
          <w:sz w:val="24"/>
          <w:szCs w:val="28"/>
        </w:rPr>
        <w:t>3</w:t>
      </w:r>
      <w:r>
        <w:rPr>
          <w:rFonts w:hint="eastAsia"/>
          <w:sz w:val="24"/>
          <w:szCs w:val="28"/>
        </w:rPr>
        <w:t>年</w:t>
      </w:r>
      <w:r>
        <w:rPr>
          <w:rFonts w:hint="eastAsia"/>
          <w:sz w:val="24"/>
          <w:szCs w:val="28"/>
        </w:rPr>
        <w:t>8</w:t>
      </w:r>
      <w:r>
        <w:rPr>
          <w:rFonts w:hint="eastAsia"/>
          <w:sz w:val="24"/>
          <w:szCs w:val="28"/>
        </w:rPr>
        <w:t>月</w:t>
      </w:r>
      <w:r>
        <w:rPr>
          <w:rFonts w:hint="eastAsia"/>
          <w:sz w:val="24"/>
          <w:szCs w:val="28"/>
        </w:rPr>
        <w:t>9</w:t>
      </w:r>
      <w:r>
        <w:rPr>
          <w:rFonts w:hint="eastAsia"/>
          <w:sz w:val="24"/>
          <w:szCs w:val="28"/>
        </w:rPr>
        <w:t>日</w:t>
      </w:r>
    </w:p>
    <w:sectPr w:rsidR="000000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zBlN2MzNTg1NjYyMDY3NTE1M2ZlY2Y4ZGVkYWViZDUifQ=="/>
  </w:docVars>
  <w:rsids>
    <w:rsidRoot w:val="00342F7C"/>
    <w:rsid w:val="00013B27"/>
    <w:rsid w:val="00030073"/>
    <w:rsid w:val="000521F5"/>
    <w:rsid w:val="00057887"/>
    <w:rsid w:val="00094BCE"/>
    <w:rsid w:val="000C33A5"/>
    <w:rsid w:val="000D179B"/>
    <w:rsid w:val="000E3337"/>
    <w:rsid w:val="0012395A"/>
    <w:rsid w:val="00124EDB"/>
    <w:rsid w:val="00180711"/>
    <w:rsid w:val="00181B7D"/>
    <w:rsid w:val="001A18E4"/>
    <w:rsid w:val="001A6B7D"/>
    <w:rsid w:val="001F4575"/>
    <w:rsid w:val="00201666"/>
    <w:rsid w:val="00205FDD"/>
    <w:rsid w:val="00213A8F"/>
    <w:rsid w:val="00215941"/>
    <w:rsid w:val="0029003E"/>
    <w:rsid w:val="002912E9"/>
    <w:rsid w:val="00292459"/>
    <w:rsid w:val="00294AE4"/>
    <w:rsid w:val="002D3531"/>
    <w:rsid w:val="002D4DAB"/>
    <w:rsid w:val="002D4ECB"/>
    <w:rsid w:val="002E265D"/>
    <w:rsid w:val="002F5789"/>
    <w:rsid w:val="00342F7C"/>
    <w:rsid w:val="003648F2"/>
    <w:rsid w:val="003716CF"/>
    <w:rsid w:val="00385893"/>
    <w:rsid w:val="003926DB"/>
    <w:rsid w:val="003A31B8"/>
    <w:rsid w:val="003B3025"/>
    <w:rsid w:val="00412D84"/>
    <w:rsid w:val="00422E5B"/>
    <w:rsid w:val="00425657"/>
    <w:rsid w:val="004257E8"/>
    <w:rsid w:val="004433C3"/>
    <w:rsid w:val="004479EA"/>
    <w:rsid w:val="00467169"/>
    <w:rsid w:val="00530662"/>
    <w:rsid w:val="00563E68"/>
    <w:rsid w:val="0057554F"/>
    <w:rsid w:val="00594014"/>
    <w:rsid w:val="005C0C5E"/>
    <w:rsid w:val="005F098A"/>
    <w:rsid w:val="005F1D84"/>
    <w:rsid w:val="006552D4"/>
    <w:rsid w:val="00660FBC"/>
    <w:rsid w:val="006731C8"/>
    <w:rsid w:val="0068533D"/>
    <w:rsid w:val="006E0598"/>
    <w:rsid w:val="007045D6"/>
    <w:rsid w:val="00705856"/>
    <w:rsid w:val="0071549A"/>
    <w:rsid w:val="00751B6D"/>
    <w:rsid w:val="00763964"/>
    <w:rsid w:val="00767306"/>
    <w:rsid w:val="00781A0C"/>
    <w:rsid w:val="00787898"/>
    <w:rsid w:val="007929CE"/>
    <w:rsid w:val="007A4321"/>
    <w:rsid w:val="007B2CAA"/>
    <w:rsid w:val="007B6C8F"/>
    <w:rsid w:val="007B7798"/>
    <w:rsid w:val="007C155F"/>
    <w:rsid w:val="007D03A0"/>
    <w:rsid w:val="007E5F62"/>
    <w:rsid w:val="008012A5"/>
    <w:rsid w:val="00824CFB"/>
    <w:rsid w:val="008932D6"/>
    <w:rsid w:val="008B0C39"/>
    <w:rsid w:val="008B508F"/>
    <w:rsid w:val="008B5892"/>
    <w:rsid w:val="008C40BC"/>
    <w:rsid w:val="008E5966"/>
    <w:rsid w:val="008E7492"/>
    <w:rsid w:val="0098353B"/>
    <w:rsid w:val="009B6D09"/>
    <w:rsid w:val="009E6E52"/>
    <w:rsid w:val="00A122F6"/>
    <w:rsid w:val="00A17B0B"/>
    <w:rsid w:val="00A51C5F"/>
    <w:rsid w:val="00AB031B"/>
    <w:rsid w:val="00AB2487"/>
    <w:rsid w:val="00AF7B6C"/>
    <w:rsid w:val="00B0053E"/>
    <w:rsid w:val="00B06043"/>
    <w:rsid w:val="00B14C0E"/>
    <w:rsid w:val="00B43115"/>
    <w:rsid w:val="00B7755B"/>
    <w:rsid w:val="00BB5569"/>
    <w:rsid w:val="00BF17BB"/>
    <w:rsid w:val="00C40BC6"/>
    <w:rsid w:val="00C462DD"/>
    <w:rsid w:val="00C6496B"/>
    <w:rsid w:val="00C77842"/>
    <w:rsid w:val="00CE1AAE"/>
    <w:rsid w:val="00CE3722"/>
    <w:rsid w:val="00CE4B50"/>
    <w:rsid w:val="00D002AD"/>
    <w:rsid w:val="00D20992"/>
    <w:rsid w:val="00D83CE2"/>
    <w:rsid w:val="00D91D06"/>
    <w:rsid w:val="00D933AC"/>
    <w:rsid w:val="00DD0CC0"/>
    <w:rsid w:val="00DD6116"/>
    <w:rsid w:val="00DF2FC2"/>
    <w:rsid w:val="00DF3B6E"/>
    <w:rsid w:val="00E23FB6"/>
    <w:rsid w:val="00E4371B"/>
    <w:rsid w:val="00E551C0"/>
    <w:rsid w:val="00E82CC6"/>
    <w:rsid w:val="00EE7C9A"/>
    <w:rsid w:val="00F0447B"/>
    <w:rsid w:val="00F12276"/>
    <w:rsid w:val="00F15255"/>
    <w:rsid w:val="00F1528D"/>
    <w:rsid w:val="00F3165D"/>
    <w:rsid w:val="00F40CA6"/>
    <w:rsid w:val="00F5702C"/>
    <w:rsid w:val="00F85CFE"/>
    <w:rsid w:val="00FA240A"/>
    <w:rsid w:val="00FD045F"/>
    <w:rsid w:val="00FD5B2A"/>
    <w:rsid w:val="00FD6415"/>
    <w:rsid w:val="00FE379F"/>
    <w:rsid w:val="02E42DB9"/>
    <w:rsid w:val="08E32D55"/>
    <w:rsid w:val="0BF26547"/>
    <w:rsid w:val="0D39102F"/>
    <w:rsid w:val="10B10DE8"/>
    <w:rsid w:val="114E5629"/>
    <w:rsid w:val="1BF45CDF"/>
    <w:rsid w:val="2054104B"/>
    <w:rsid w:val="208A5D5A"/>
    <w:rsid w:val="28D25E7D"/>
    <w:rsid w:val="2B4F6E2D"/>
    <w:rsid w:val="2C6F1FEE"/>
    <w:rsid w:val="30DD6F16"/>
    <w:rsid w:val="324C75D4"/>
    <w:rsid w:val="353A4937"/>
    <w:rsid w:val="36C810FD"/>
    <w:rsid w:val="389E4FEF"/>
    <w:rsid w:val="3C9233CC"/>
    <w:rsid w:val="3DAE32BB"/>
    <w:rsid w:val="42404795"/>
    <w:rsid w:val="43963B97"/>
    <w:rsid w:val="454D2630"/>
    <w:rsid w:val="45A2519B"/>
    <w:rsid w:val="4964066C"/>
    <w:rsid w:val="4AC53F2A"/>
    <w:rsid w:val="4CAC181F"/>
    <w:rsid w:val="55924C15"/>
    <w:rsid w:val="5A332E0E"/>
    <w:rsid w:val="5BCF03E1"/>
    <w:rsid w:val="64B01E0A"/>
    <w:rsid w:val="65443129"/>
    <w:rsid w:val="66BC1490"/>
    <w:rsid w:val="6767547F"/>
    <w:rsid w:val="6A5D1F52"/>
    <w:rsid w:val="6A5F5CCB"/>
    <w:rsid w:val="6BF26754"/>
    <w:rsid w:val="6DAC353E"/>
    <w:rsid w:val="6FA95868"/>
    <w:rsid w:val="79964ED5"/>
    <w:rsid w:val="7A77576D"/>
    <w:rsid w:val="7DB428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character" w:customStyle="1" w:styleId="Char">
    <w:name w:val="批注文字 Char"/>
    <w:basedOn w:val="a0"/>
    <w:link w:val="a3"/>
    <w:uiPriority w:val="99"/>
    <w:semiHidden/>
    <w:qFormat/>
  </w:style>
  <w:style w:type="paragraph" w:styleId="a4">
    <w:name w:val="Balloon Text"/>
    <w:basedOn w:val="a"/>
    <w:link w:val="Char0"/>
    <w:uiPriority w:val="99"/>
    <w:unhideWhenUsed/>
    <w:qFormat/>
    <w:rPr>
      <w:sz w:val="18"/>
      <w:szCs w:val="18"/>
    </w:rPr>
  </w:style>
  <w:style w:type="character" w:customStyle="1" w:styleId="Char0">
    <w:name w:val="批注框文本 Char"/>
    <w:basedOn w:val="a0"/>
    <w:link w:val="a4"/>
    <w:uiPriority w:val="99"/>
    <w:semiHidden/>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character" w:customStyle="1" w:styleId="Char1">
    <w:name w:val="页脚 Char"/>
    <w:basedOn w:val="a0"/>
    <w:link w:val="a5"/>
    <w:uiPriority w:val="99"/>
    <w:semiHidden/>
    <w:qFormat/>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qFormat/>
    <w:rPr>
      <w:sz w:val="18"/>
      <w:szCs w:val="18"/>
    </w:rPr>
  </w:style>
  <w:style w:type="paragraph" w:styleId="a7">
    <w:name w:val="Title"/>
    <w:basedOn w:val="a"/>
    <w:next w:val="a"/>
    <w:link w:val="Char3"/>
    <w:uiPriority w:val="10"/>
    <w:qFormat/>
    <w:pPr>
      <w:spacing w:before="240" w:after="60"/>
      <w:jc w:val="center"/>
      <w:outlineLvl w:val="0"/>
    </w:pPr>
    <w:rPr>
      <w:rFonts w:ascii="Cambria" w:hAnsi="Cambria"/>
      <w:b/>
      <w:bCs/>
      <w:sz w:val="32"/>
      <w:szCs w:val="32"/>
    </w:rPr>
  </w:style>
  <w:style w:type="character" w:customStyle="1" w:styleId="Char3">
    <w:name w:val="标题 Char"/>
    <w:basedOn w:val="a0"/>
    <w:link w:val="a7"/>
    <w:uiPriority w:val="10"/>
    <w:qFormat/>
    <w:rPr>
      <w:rFonts w:ascii="Cambria" w:eastAsia="宋体" w:hAnsi="Cambria" w:cs="Times New Roman"/>
      <w:b/>
      <w:bCs/>
      <w:sz w:val="32"/>
      <w:szCs w:val="32"/>
    </w:rPr>
  </w:style>
  <w:style w:type="paragraph" w:styleId="a8">
    <w:name w:val="annotation subject"/>
    <w:basedOn w:val="a3"/>
    <w:next w:val="a3"/>
    <w:link w:val="Char4"/>
    <w:uiPriority w:val="99"/>
    <w:unhideWhenUsed/>
    <w:qFormat/>
    <w:rPr>
      <w:b/>
      <w:bCs/>
    </w:rPr>
  </w:style>
  <w:style w:type="character" w:customStyle="1" w:styleId="Char4">
    <w:name w:val="批注主题 Char"/>
    <w:basedOn w:val="Char"/>
    <w:link w:val="a8"/>
    <w:uiPriority w:val="99"/>
    <w:semiHidden/>
    <w:qFormat/>
    <w:rPr>
      <w:b/>
      <w:bCs/>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x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1131</Characters>
  <Application>Microsoft Office Word</Application>
  <DocSecurity>4</DocSecurity>
  <Lines>9</Lines>
  <Paragraphs>2</Paragraphs>
  <ScaleCrop>false</ScaleCrop>
  <Company>CNSTOCK</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陶菁</dc:creator>
  <cp:keywords/>
  <cp:lastModifiedBy>ZHONGM</cp:lastModifiedBy>
  <cp:revision>2</cp:revision>
  <dcterms:created xsi:type="dcterms:W3CDTF">2023-08-08T16:01:00Z</dcterms:created>
  <dcterms:modified xsi:type="dcterms:W3CDTF">2023-08-08T16:01:00Z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0EEB613590864D48905686D6323FBFC5_13</vt:lpwstr>
  </property>
</Properties>
</file>