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1D" w:rsidRPr="004C2EAC" w:rsidRDefault="008309AE" w:rsidP="004C2EAC">
      <w:pPr>
        <w:spacing w:line="360" w:lineRule="auto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4C2EAC">
        <w:rPr>
          <w:rFonts w:asciiTheme="minorEastAsia" w:eastAsiaTheme="minorEastAsia" w:hAnsiTheme="minorEastAsia" w:hint="eastAsia"/>
          <w:b/>
          <w:sz w:val="24"/>
          <w:szCs w:val="24"/>
        </w:rPr>
        <w:t>南方基金关于</w:t>
      </w:r>
      <w:r w:rsidR="00EE0BBB" w:rsidRPr="004C2EAC">
        <w:rPr>
          <w:rFonts w:asciiTheme="minorEastAsia" w:hAnsiTheme="minorEastAsia" w:hint="eastAsia"/>
          <w:b/>
          <w:sz w:val="24"/>
          <w:szCs w:val="24"/>
        </w:rPr>
        <w:t>旗下部分基金</w:t>
      </w:r>
      <w:r w:rsidRPr="004C2EAC">
        <w:rPr>
          <w:rFonts w:asciiTheme="minorEastAsia" w:eastAsiaTheme="minorEastAsia" w:hAnsiTheme="minorEastAsia" w:hint="eastAsia"/>
          <w:b/>
          <w:sz w:val="24"/>
          <w:szCs w:val="24"/>
        </w:rPr>
        <w:t>增加</w:t>
      </w:r>
      <w:r w:rsidR="00EE0BBB" w:rsidRPr="004C2EAC">
        <w:rPr>
          <w:rFonts w:ascii="宋体" w:hAnsi="宋体" w:hint="eastAsia"/>
          <w:b/>
          <w:color w:val="000000"/>
          <w:sz w:val="24"/>
          <w:szCs w:val="24"/>
        </w:rPr>
        <w:t>东方证券</w:t>
      </w:r>
      <w:r w:rsidRPr="004C2EAC">
        <w:rPr>
          <w:rFonts w:asciiTheme="minorEastAsia" w:eastAsiaTheme="minorEastAsia" w:hAnsiTheme="minorEastAsia" w:hint="eastAsia"/>
          <w:b/>
          <w:sz w:val="24"/>
          <w:szCs w:val="24"/>
        </w:rPr>
        <w:t>为</w:t>
      </w:r>
      <w:r w:rsidR="00FF2C24" w:rsidRPr="004C2EAC">
        <w:rPr>
          <w:rFonts w:asciiTheme="minorEastAsia" w:eastAsiaTheme="minorEastAsia" w:hAnsiTheme="minorEastAsia" w:hint="eastAsia"/>
          <w:b/>
          <w:sz w:val="24"/>
          <w:szCs w:val="24"/>
        </w:rPr>
        <w:t>场内</w:t>
      </w:r>
      <w:r w:rsidRPr="004C2EAC">
        <w:rPr>
          <w:rFonts w:asciiTheme="minorEastAsia" w:eastAsiaTheme="minorEastAsia" w:hAnsiTheme="minorEastAsia" w:hint="eastAsia"/>
          <w:b/>
          <w:sz w:val="24"/>
          <w:szCs w:val="24"/>
        </w:rPr>
        <w:t>申购赎回代理券商的公告</w:t>
      </w:r>
    </w:p>
    <w:p w:rsidR="00A53541" w:rsidRPr="004C2EAC" w:rsidRDefault="008309AE">
      <w:pPr>
        <w:spacing w:line="360" w:lineRule="auto"/>
        <w:ind w:firstLineChars="200" w:firstLine="420"/>
        <w:rPr>
          <w:rFonts w:asciiTheme="minorEastAsia" w:eastAsiaTheme="minorEastAsia" w:hAnsiTheme="minorEastAsia"/>
          <w:color w:val="000000"/>
          <w:szCs w:val="21"/>
        </w:rPr>
      </w:pPr>
      <w:r w:rsidRPr="004C2EAC">
        <w:rPr>
          <w:rFonts w:asciiTheme="minorEastAsia" w:eastAsiaTheme="minorEastAsia" w:hAnsiTheme="minorEastAsia" w:hint="eastAsia"/>
          <w:color w:val="000000"/>
          <w:szCs w:val="21"/>
        </w:rPr>
        <w:t>经深圳证券交易所</w:t>
      </w:r>
      <w:r w:rsidR="00B36B3F" w:rsidRPr="004C2EAC">
        <w:rPr>
          <w:rFonts w:asciiTheme="minorEastAsia" w:eastAsiaTheme="minorEastAsia" w:hAnsiTheme="minorEastAsia" w:hint="eastAsia"/>
          <w:color w:val="000000"/>
          <w:szCs w:val="21"/>
        </w:rPr>
        <w:t>确认</w:t>
      </w:r>
      <w:r w:rsidR="005369FE" w:rsidRPr="004C2EAC">
        <w:rPr>
          <w:rFonts w:asciiTheme="minorEastAsia" w:eastAsiaTheme="minorEastAsia" w:hAnsiTheme="minorEastAsia"/>
          <w:color w:val="000000"/>
          <w:szCs w:val="21"/>
        </w:rPr>
        <w:t>,</w:t>
      </w:r>
      <w:r w:rsidRPr="004C2EAC">
        <w:rPr>
          <w:rFonts w:asciiTheme="minorEastAsia" w:eastAsiaTheme="minorEastAsia" w:hAnsiTheme="minorEastAsia" w:hint="eastAsia"/>
          <w:color w:val="000000"/>
          <w:szCs w:val="21"/>
        </w:rPr>
        <w:t>根据南方基金管理</w:t>
      </w:r>
      <w:r w:rsidR="00FF2C24" w:rsidRPr="004C2EAC">
        <w:rPr>
          <w:rFonts w:asciiTheme="minorEastAsia" w:eastAsiaTheme="minorEastAsia" w:hAnsiTheme="minorEastAsia" w:hint="eastAsia"/>
          <w:color w:val="000000"/>
          <w:szCs w:val="21"/>
        </w:rPr>
        <w:t>股份</w:t>
      </w:r>
      <w:r w:rsidRPr="004C2EAC">
        <w:rPr>
          <w:rFonts w:asciiTheme="minorEastAsia" w:eastAsiaTheme="minorEastAsia" w:hAnsiTheme="minorEastAsia" w:hint="eastAsia"/>
          <w:color w:val="000000"/>
          <w:szCs w:val="21"/>
        </w:rPr>
        <w:t>有限公司</w:t>
      </w:r>
      <w:r w:rsidRPr="004C2EAC">
        <w:rPr>
          <w:rFonts w:asciiTheme="minorEastAsia" w:eastAsiaTheme="minorEastAsia" w:hAnsiTheme="minorEastAsia"/>
          <w:color w:val="000000"/>
          <w:szCs w:val="21"/>
        </w:rPr>
        <w:t>(下称"本公司")与</w:t>
      </w:r>
      <w:r w:rsidRPr="004C2EAC">
        <w:rPr>
          <w:rFonts w:asciiTheme="minorEastAsia" w:eastAsiaTheme="minorEastAsia" w:hAnsiTheme="minorEastAsia" w:hint="eastAsia"/>
          <w:color w:val="000000"/>
          <w:szCs w:val="21"/>
        </w:rPr>
        <w:t>以下</w:t>
      </w:r>
      <w:r w:rsidR="00E66EDB" w:rsidRPr="004C2EAC">
        <w:rPr>
          <w:rFonts w:asciiTheme="minorEastAsia" w:eastAsiaTheme="minorEastAsia" w:hAnsiTheme="minorEastAsia" w:hint="eastAsia"/>
          <w:color w:val="000000"/>
          <w:szCs w:val="21"/>
        </w:rPr>
        <w:t>券商</w:t>
      </w:r>
      <w:r w:rsidRPr="004C2EAC">
        <w:rPr>
          <w:rFonts w:asciiTheme="minorEastAsia" w:eastAsiaTheme="minorEastAsia" w:hAnsiTheme="minorEastAsia" w:hint="eastAsia"/>
          <w:color w:val="000000"/>
          <w:szCs w:val="21"/>
        </w:rPr>
        <w:t>签署的协议</w:t>
      </w:r>
      <w:r w:rsidRPr="004C2EAC">
        <w:rPr>
          <w:rFonts w:asciiTheme="minorEastAsia" w:eastAsiaTheme="minorEastAsia" w:hAnsiTheme="minorEastAsia"/>
          <w:color w:val="000000"/>
          <w:szCs w:val="21"/>
        </w:rPr>
        <w:t>, 本公司决定</w:t>
      </w:r>
      <w:r w:rsidRPr="004C2EAC">
        <w:rPr>
          <w:rFonts w:asciiTheme="minorEastAsia" w:eastAsiaTheme="minorEastAsia" w:hAnsiTheme="minorEastAsia" w:hint="eastAsia"/>
          <w:color w:val="000000"/>
          <w:szCs w:val="21"/>
        </w:rPr>
        <w:t>自</w:t>
      </w:r>
      <w:r w:rsidR="004C2EAC" w:rsidRPr="004C2EAC">
        <w:rPr>
          <w:rFonts w:asciiTheme="minorEastAsia" w:hAnsiTheme="minorEastAsia"/>
          <w:szCs w:val="21"/>
        </w:rPr>
        <w:t>2023年</w:t>
      </w:r>
      <w:r w:rsidR="007011CA">
        <w:rPr>
          <w:rFonts w:asciiTheme="minorEastAsia" w:hAnsiTheme="minorEastAsia"/>
          <w:szCs w:val="21"/>
        </w:rPr>
        <w:t>8月9日</w:t>
      </w:r>
      <w:r w:rsidR="005369FE" w:rsidRPr="004C2EAC">
        <w:rPr>
          <w:rFonts w:asciiTheme="minorEastAsia" w:eastAsiaTheme="minorEastAsia" w:hAnsiTheme="minorEastAsia" w:hint="eastAsia"/>
          <w:color w:val="000000"/>
          <w:szCs w:val="21"/>
        </w:rPr>
        <w:t>起</w:t>
      </w:r>
      <w:r w:rsidRPr="004C2EAC">
        <w:rPr>
          <w:rFonts w:asciiTheme="minorEastAsia" w:eastAsiaTheme="minorEastAsia" w:hAnsiTheme="minorEastAsia" w:hint="eastAsia"/>
          <w:color w:val="000000"/>
          <w:szCs w:val="21"/>
        </w:rPr>
        <w:t>增加以下</w:t>
      </w:r>
      <w:r w:rsidR="00E66EDB" w:rsidRPr="004C2EAC">
        <w:rPr>
          <w:rFonts w:asciiTheme="minorEastAsia" w:eastAsiaTheme="minorEastAsia" w:hAnsiTheme="minorEastAsia" w:hint="eastAsia"/>
          <w:color w:val="000000"/>
          <w:szCs w:val="21"/>
        </w:rPr>
        <w:t>券商</w:t>
      </w:r>
      <w:r w:rsidRPr="004C2EAC">
        <w:rPr>
          <w:rFonts w:asciiTheme="minorEastAsia" w:eastAsiaTheme="minorEastAsia" w:hAnsiTheme="minorEastAsia" w:hint="eastAsia"/>
          <w:color w:val="000000"/>
          <w:szCs w:val="21"/>
        </w:rPr>
        <w:t>为</w:t>
      </w:r>
      <w:r w:rsidR="00EE0BBB" w:rsidRPr="004C2EAC">
        <w:rPr>
          <w:rFonts w:asciiTheme="minorEastAsia" w:hAnsiTheme="minorEastAsia" w:hint="eastAsia"/>
          <w:szCs w:val="21"/>
        </w:rPr>
        <w:t>南方沪深</w:t>
      </w:r>
      <w:r w:rsidR="00EE0BBB" w:rsidRPr="004C2EAC">
        <w:rPr>
          <w:rFonts w:asciiTheme="minorEastAsia" w:hAnsiTheme="minorEastAsia"/>
          <w:szCs w:val="21"/>
        </w:rPr>
        <w:t>300交易型开放式指数证券投资基金（场内简称：沪深300ETF南方，基金代码:159925）、南方中证创新药产业交易型开放式指数证券投资基金（场内简称：创新药指ETF，基金代码:159858）、南方中证科创创业50交易型开放式指数证券投资基金（场内简称：双创ETF，基金代码:159780）、南方中证科技100交易型开放式指数证券投资基金（场内简称：科技100ETF，基金代码:159853）、南方中证全指医疗保健设备与服务交易型开放式指数证券投资基金（场内简称：医疗产业ETF，基金代码:159877</w:t>
      </w:r>
      <w:r w:rsidR="00EE0BBB" w:rsidRPr="004C2EAC">
        <w:rPr>
          <w:rFonts w:asciiTheme="minorEastAsia" w:hAnsiTheme="minorEastAsia" w:hint="eastAsia"/>
          <w:szCs w:val="21"/>
        </w:rPr>
        <w:t>）、南方中证物联网主题交易型开放式指数证券投资基金（场内简称：物联网龙头</w:t>
      </w:r>
      <w:r w:rsidR="00EE0BBB" w:rsidRPr="004C2EAC">
        <w:rPr>
          <w:rFonts w:asciiTheme="minorEastAsia" w:hAnsiTheme="minorEastAsia"/>
          <w:szCs w:val="21"/>
        </w:rPr>
        <w:t>ETF，基金代码:159896）、南方国证在线消费交易型开放式指数证券投资基金（场内简称：在线消费ETF，基金代码:159728）、南方中证上海环交所碳中和交易型开放式指数证券投资基金（场内简称：碳中和ETF南方，基金代码:159639）、南方中证主要消费交易型开放式指数证券投资基金（场内简称：中证消费ETF，基金代码:159689）</w:t>
      </w:r>
      <w:r w:rsidR="002D303B" w:rsidRPr="004C2EAC">
        <w:rPr>
          <w:rFonts w:asciiTheme="minorEastAsia" w:eastAsiaTheme="minorEastAsia" w:hAnsiTheme="minorEastAsia" w:hint="eastAsia"/>
          <w:color w:val="000000"/>
          <w:szCs w:val="21"/>
        </w:rPr>
        <w:t>的</w:t>
      </w:r>
      <w:r w:rsidR="00B36B3F" w:rsidRPr="004C2EAC">
        <w:rPr>
          <w:rFonts w:asciiTheme="minorEastAsia" w:eastAsiaTheme="minorEastAsia" w:hAnsiTheme="minorEastAsia" w:hint="eastAsia"/>
          <w:color w:val="000000"/>
          <w:szCs w:val="21"/>
        </w:rPr>
        <w:t>场内</w:t>
      </w:r>
      <w:r w:rsidRPr="004C2EAC">
        <w:rPr>
          <w:rFonts w:asciiTheme="minorEastAsia" w:eastAsiaTheme="minorEastAsia" w:hAnsiTheme="minorEastAsia" w:hint="eastAsia"/>
          <w:color w:val="000000"/>
          <w:szCs w:val="21"/>
        </w:rPr>
        <w:t>申购赎回代理券商。</w:t>
      </w:r>
      <w:bookmarkStart w:id="0" w:name="_GoBack"/>
      <w:bookmarkEnd w:id="0"/>
    </w:p>
    <w:p w:rsidR="00EE0BBB" w:rsidRPr="004C2EAC" w:rsidDel="0076149F" w:rsidRDefault="00104C81">
      <w:pPr>
        <w:pStyle w:val="a7"/>
        <w:spacing w:before="0" w:beforeAutospacing="0" w:after="0" w:afterAutospacing="0" w:line="360" w:lineRule="auto"/>
        <w:rPr>
          <w:rFonts w:asciiTheme="minorEastAsia" w:hAnsiTheme="minorEastAsia"/>
          <w:sz w:val="21"/>
          <w:szCs w:val="21"/>
        </w:rPr>
      </w:pPr>
      <w:r w:rsidRPr="004C2EAC">
        <w:rPr>
          <w:rFonts w:asciiTheme="minorEastAsia" w:eastAsiaTheme="minorEastAsia" w:hAnsiTheme="minorEastAsia"/>
          <w:color w:val="000000"/>
          <w:sz w:val="21"/>
          <w:szCs w:val="21"/>
        </w:rPr>
        <w:t xml:space="preserve">    </w:t>
      </w:r>
      <w:r w:rsidR="008309AE" w:rsidRPr="004C2EAC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投资人可通过以下途径了解或咨询相关情况：</w:t>
      </w:r>
      <w:r w:rsidR="003F1447" w:rsidRPr="004C2EAC">
        <w:rPr>
          <w:rFonts w:asciiTheme="minorEastAsia" w:eastAsiaTheme="minorEastAsia" w:hAnsiTheme="minorEastAsia"/>
          <w:color w:val="000000"/>
          <w:sz w:val="21"/>
          <w:szCs w:val="21"/>
        </w:rPr>
        <w:t xml:space="preserve"> </w:t>
      </w:r>
    </w:p>
    <w:tbl>
      <w:tblPr>
        <w:tblStyle w:val="dxjgtable"/>
        <w:tblW w:w="0" w:type="auto"/>
        <w:tblLayout w:type="fixed"/>
        <w:tblLook w:val="04A0"/>
      </w:tblPr>
      <w:tblGrid>
        <w:gridCol w:w="1134"/>
        <w:gridCol w:w="2835"/>
        <w:gridCol w:w="4536"/>
      </w:tblGrid>
      <w:tr w:rsidR="00EE0BBB" w:rsidRPr="004C2EAC" w:rsidTr="004C2EAC">
        <w:tc>
          <w:tcPr>
            <w:tcW w:w="1134" w:type="dxa"/>
          </w:tcPr>
          <w:p w:rsidR="00EE0BBB" w:rsidRPr="004C2EAC" w:rsidRDefault="00EE0BB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4C2EAC">
              <w:rPr>
                <w:rFonts w:asciiTheme="minorEastAsia" w:hAnsiTheme="minorEastAsia" w:hint="eastAsia"/>
                <w:sz w:val="21"/>
                <w:szCs w:val="21"/>
              </w:rPr>
              <w:t>编号</w:t>
            </w:r>
          </w:p>
        </w:tc>
        <w:tc>
          <w:tcPr>
            <w:tcW w:w="2835" w:type="dxa"/>
          </w:tcPr>
          <w:p w:rsidR="00EE0BBB" w:rsidRPr="004C2EAC" w:rsidRDefault="00EE0BB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4C2EAC">
              <w:rPr>
                <w:rFonts w:asciiTheme="minorEastAsia" w:hAnsiTheme="minorEastAsia" w:hint="eastAsia"/>
                <w:sz w:val="21"/>
                <w:szCs w:val="21"/>
              </w:rPr>
              <w:t>场内申购赎回代理券商</w:t>
            </w:r>
          </w:p>
        </w:tc>
        <w:tc>
          <w:tcPr>
            <w:tcW w:w="4536" w:type="dxa"/>
          </w:tcPr>
          <w:p w:rsidR="00EE0BBB" w:rsidRPr="004C2EAC" w:rsidRDefault="00EE0BB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4C2EAC">
              <w:rPr>
                <w:rFonts w:asciiTheme="minorEastAsia" w:hAnsiTheme="minorEastAsia" w:hint="eastAsia"/>
                <w:sz w:val="21"/>
                <w:szCs w:val="21"/>
              </w:rPr>
              <w:t>联系方式</w:t>
            </w:r>
          </w:p>
        </w:tc>
      </w:tr>
      <w:tr w:rsidR="00EE0BBB" w:rsidRPr="004C2EAC" w:rsidTr="007011CA">
        <w:tc>
          <w:tcPr>
            <w:tcW w:w="1134" w:type="dxa"/>
            <w:vAlign w:val="center"/>
          </w:tcPr>
          <w:p w:rsidR="00EE0BBB" w:rsidRPr="004C2EAC" w:rsidRDefault="00EE0BB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4C2EAC">
              <w:rPr>
                <w:rFonts w:asciiTheme="minorEastAsia" w:hAnsiTheme="minorEastAsia"/>
                <w:sz w:val="21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EE0BBB" w:rsidRPr="004C2EAC" w:rsidRDefault="00EE0BB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4C2EAC">
              <w:rPr>
                <w:rFonts w:asciiTheme="minorEastAsia" w:hAnsiTheme="minorEastAsia" w:hint="eastAsia"/>
                <w:sz w:val="21"/>
                <w:szCs w:val="21"/>
              </w:rPr>
              <w:t>东方证券股份有限公司</w:t>
            </w:r>
          </w:p>
        </w:tc>
        <w:tc>
          <w:tcPr>
            <w:tcW w:w="4536" w:type="dxa"/>
          </w:tcPr>
          <w:p w:rsidR="00EE0BBB" w:rsidRPr="004C2EAC" w:rsidRDefault="00EE0BB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4C2EAC">
              <w:rPr>
                <w:rFonts w:asciiTheme="minorEastAsia" w:hAnsiTheme="minorEastAsia" w:hint="eastAsia"/>
                <w:sz w:val="21"/>
                <w:szCs w:val="21"/>
              </w:rPr>
              <w:t>客服电话：</w:t>
            </w:r>
            <w:r w:rsidRPr="004C2EAC">
              <w:rPr>
                <w:rFonts w:asciiTheme="minorEastAsia" w:hAnsiTheme="minorEastAsia"/>
                <w:sz w:val="21"/>
                <w:szCs w:val="21"/>
              </w:rPr>
              <w:t>95503</w:t>
            </w:r>
          </w:p>
          <w:p w:rsidR="00EE0BBB" w:rsidRPr="004C2EAC" w:rsidRDefault="00EE0BBB">
            <w:pPr>
              <w:pStyle w:val="a7"/>
              <w:spacing w:before="0" w:beforeAutospacing="0" w:after="0" w:afterAutospacing="0" w:line="360" w:lineRule="auto"/>
              <w:rPr>
                <w:rFonts w:asciiTheme="minorEastAsia" w:hAnsiTheme="minorEastAsia"/>
                <w:sz w:val="21"/>
                <w:szCs w:val="21"/>
              </w:rPr>
            </w:pPr>
            <w:r w:rsidRPr="004C2EAC">
              <w:rPr>
                <w:rFonts w:asciiTheme="minorEastAsia" w:hAnsiTheme="minorEastAsia" w:hint="eastAsia"/>
                <w:sz w:val="21"/>
                <w:szCs w:val="21"/>
              </w:rPr>
              <w:t>网址：</w:t>
            </w:r>
            <w:r w:rsidRPr="004C2EAC">
              <w:rPr>
                <w:rFonts w:asciiTheme="minorEastAsia" w:hAnsiTheme="minorEastAsia"/>
                <w:sz w:val="21"/>
                <w:szCs w:val="21"/>
              </w:rPr>
              <w:t>www.dfzq.com.cn</w:t>
            </w:r>
          </w:p>
        </w:tc>
      </w:tr>
    </w:tbl>
    <w:p w:rsidR="00A53541" w:rsidRPr="004C2EAC" w:rsidRDefault="0076149F" w:rsidP="004C2EAC">
      <w:pPr>
        <w:pStyle w:val="a7"/>
        <w:spacing w:before="0" w:beforeAutospacing="0" w:after="0" w:afterAutospacing="0" w:line="360" w:lineRule="auto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4C2EAC">
        <w:rPr>
          <w:rFonts w:asciiTheme="minorEastAsia" w:eastAsiaTheme="minorEastAsia" w:hAnsiTheme="minorEastAsia"/>
          <w:color w:val="000000"/>
          <w:sz w:val="21"/>
          <w:szCs w:val="21"/>
        </w:rPr>
        <w:t xml:space="preserve">    </w:t>
      </w:r>
      <w:r w:rsidR="008309AE" w:rsidRPr="004C2EAC">
        <w:rPr>
          <w:rFonts w:asciiTheme="minorEastAsia" w:eastAsiaTheme="minorEastAsia" w:hAnsiTheme="minorEastAsia" w:hint="eastAsia"/>
          <w:color w:val="000000"/>
          <w:sz w:val="21"/>
          <w:szCs w:val="21"/>
        </w:rPr>
        <w:t>投资人也可通过访问南方基金管理</w:t>
      </w:r>
      <w:r w:rsidR="00BD7132" w:rsidRPr="004C2EAC">
        <w:rPr>
          <w:rFonts w:asciiTheme="minorEastAsia" w:eastAsiaTheme="minorEastAsia" w:hAnsiTheme="minorEastAsia" w:hint="eastAsia"/>
          <w:color w:val="000000"/>
          <w:sz w:val="21"/>
          <w:szCs w:val="21"/>
        </w:rPr>
        <w:t>股份</w:t>
      </w:r>
      <w:r w:rsidR="008309AE" w:rsidRPr="004C2EAC">
        <w:rPr>
          <w:rFonts w:asciiTheme="minorEastAsia" w:eastAsiaTheme="minorEastAsia" w:hAnsiTheme="minorEastAsia" w:hint="eastAsia"/>
          <w:color w:val="000000"/>
          <w:sz w:val="21"/>
          <w:szCs w:val="21"/>
        </w:rPr>
        <w:t>有限公司网站</w:t>
      </w:r>
      <w:r w:rsidR="008309AE" w:rsidRPr="004C2EAC">
        <w:rPr>
          <w:rFonts w:asciiTheme="minorEastAsia" w:eastAsiaTheme="minorEastAsia" w:hAnsiTheme="minorEastAsia"/>
          <w:color w:val="000000"/>
          <w:sz w:val="21"/>
          <w:szCs w:val="21"/>
        </w:rPr>
        <w:t>(</w:t>
      </w:r>
      <w:hyperlink r:id="rId6" w:history="1">
        <w:r w:rsidR="008309AE" w:rsidRPr="004C2EAC">
          <w:rPr>
            <w:rFonts w:asciiTheme="minorEastAsia" w:eastAsiaTheme="minorEastAsia" w:hAnsiTheme="minorEastAsia"/>
            <w:color w:val="000000"/>
            <w:sz w:val="21"/>
            <w:szCs w:val="21"/>
          </w:rPr>
          <w:t>www.nffund.com</w:t>
        </w:r>
      </w:hyperlink>
      <w:r w:rsidR="008309AE" w:rsidRPr="004C2EAC">
        <w:rPr>
          <w:rFonts w:asciiTheme="minorEastAsia" w:eastAsiaTheme="minorEastAsia" w:hAnsiTheme="minorEastAsia"/>
          <w:color w:val="000000"/>
          <w:sz w:val="21"/>
          <w:szCs w:val="21"/>
        </w:rPr>
        <w:t>)或拨打客户服务电话（400－889－8899）咨询相关情况。</w:t>
      </w:r>
    </w:p>
    <w:p w:rsidR="00A53541" w:rsidRPr="004C2EAC" w:rsidRDefault="00BD7132" w:rsidP="004C2EAC">
      <w:pPr>
        <w:pStyle w:val="a7"/>
        <w:spacing w:before="0" w:beforeAutospacing="0" w:after="0" w:afterAutospacing="0" w:line="360" w:lineRule="auto"/>
        <w:ind w:firstLineChars="200" w:firstLine="420"/>
        <w:rPr>
          <w:szCs w:val="21"/>
        </w:rPr>
      </w:pPr>
      <w:r w:rsidRPr="004C2EAC">
        <w:rPr>
          <w:rFonts w:asciiTheme="minorEastAsia" w:eastAsiaTheme="minorEastAsia" w:hAnsiTheme="minorEastAsia"/>
          <w:color w:val="000000"/>
          <w:sz w:val="21"/>
          <w:szCs w:val="21"/>
        </w:rPr>
        <w:t>本基金的申购、赎回包括场外实物申购赎回方式和场内申购赎回方式，</w:t>
      </w:r>
      <w:r w:rsidR="007A013D" w:rsidRPr="004C2EAC">
        <w:rPr>
          <w:rFonts w:asciiTheme="minorEastAsia" w:eastAsiaTheme="minorEastAsia" w:hAnsiTheme="minorEastAsia" w:hint="eastAsia"/>
          <w:color w:val="000000"/>
          <w:sz w:val="21"/>
          <w:szCs w:val="21"/>
        </w:rPr>
        <w:t>两</w:t>
      </w:r>
      <w:r w:rsidRPr="004C2EAC">
        <w:rPr>
          <w:rFonts w:asciiTheme="minorEastAsia" w:eastAsiaTheme="minorEastAsia" w:hAnsiTheme="minorEastAsia"/>
          <w:color w:val="000000"/>
          <w:sz w:val="21"/>
          <w:szCs w:val="21"/>
        </w:rPr>
        <w:t>种方式适用的申购赎回代理券商不一定完全相同，敬请投资人留意。</w:t>
      </w:r>
    </w:p>
    <w:p w:rsidR="004E35E4" w:rsidRPr="004C2EAC" w:rsidRDefault="008309AE">
      <w:pPr>
        <w:spacing w:line="360" w:lineRule="auto"/>
        <w:ind w:firstLine="450"/>
        <w:rPr>
          <w:rFonts w:asciiTheme="minorEastAsia" w:eastAsiaTheme="minorEastAsia" w:hAnsiTheme="minorEastAsia"/>
          <w:b/>
          <w:szCs w:val="21"/>
        </w:rPr>
      </w:pPr>
      <w:r w:rsidRPr="004C2EAC">
        <w:rPr>
          <w:rFonts w:asciiTheme="minorEastAsia" w:eastAsiaTheme="minorEastAsia" w:hAnsiTheme="minorEastAsia" w:hint="eastAsia"/>
          <w:b/>
          <w:szCs w:val="21"/>
        </w:rPr>
        <w:t>风险提示：</w:t>
      </w:r>
    </w:p>
    <w:p w:rsidR="004E35E4" w:rsidRPr="004C2EAC" w:rsidRDefault="008309AE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  <w:r w:rsidRPr="004C2EAC">
        <w:rPr>
          <w:rFonts w:asciiTheme="minorEastAsia" w:eastAsiaTheme="minorEastAsia" w:hAnsiTheme="minorEastAsia" w:hint="eastAsia"/>
          <w:szCs w:val="21"/>
        </w:rPr>
        <w:t>投资人应认真阅读拟投资基金的《基金合同》、《招募说明书》等法律文件，了解所投资基金的风险收益特征，并根据自身情况购买与本人风险承受能力相匹配的产品。</w:t>
      </w:r>
    </w:p>
    <w:p w:rsidR="006E364C" w:rsidRPr="004C2EAC" w:rsidRDefault="008309AE" w:rsidP="004C2EAC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  <w:r w:rsidRPr="004C2EAC">
        <w:rPr>
          <w:rFonts w:asciiTheme="minorEastAsia" w:eastAsiaTheme="minorEastAsia" w:hAnsiTheme="minorEastAsia" w:hint="eastAsia"/>
          <w:szCs w:val="21"/>
        </w:rPr>
        <w:t>特此公告</w:t>
      </w:r>
    </w:p>
    <w:p w:rsidR="006E364C" w:rsidRPr="004C2EAC" w:rsidRDefault="006E364C">
      <w:pPr>
        <w:spacing w:line="360" w:lineRule="auto"/>
        <w:ind w:firstLine="450"/>
        <w:rPr>
          <w:rFonts w:asciiTheme="minorEastAsia" w:eastAsiaTheme="minorEastAsia" w:hAnsiTheme="minorEastAsia"/>
          <w:szCs w:val="21"/>
        </w:rPr>
      </w:pPr>
    </w:p>
    <w:p w:rsidR="004E35E4" w:rsidRPr="004C2EAC" w:rsidRDefault="008309AE">
      <w:pPr>
        <w:spacing w:line="360" w:lineRule="auto"/>
        <w:ind w:firstLine="450"/>
        <w:jc w:val="right"/>
        <w:rPr>
          <w:rFonts w:asciiTheme="minorEastAsia" w:eastAsiaTheme="minorEastAsia" w:hAnsiTheme="minorEastAsia"/>
          <w:szCs w:val="21"/>
        </w:rPr>
      </w:pPr>
      <w:r w:rsidRPr="004C2EAC">
        <w:rPr>
          <w:rFonts w:asciiTheme="minorEastAsia" w:eastAsiaTheme="minorEastAsia" w:hAnsiTheme="minorEastAsia" w:hint="eastAsia"/>
          <w:szCs w:val="21"/>
        </w:rPr>
        <w:t>南方基金管理</w:t>
      </w:r>
      <w:r w:rsidR="00FF2C24" w:rsidRPr="004C2EAC">
        <w:rPr>
          <w:rFonts w:asciiTheme="minorEastAsia" w:eastAsiaTheme="minorEastAsia" w:hAnsiTheme="minorEastAsia" w:hint="eastAsia"/>
          <w:szCs w:val="21"/>
        </w:rPr>
        <w:t>股份</w:t>
      </w:r>
      <w:r w:rsidRPr="004C2EAC">
        <w:rPr>
          <w:rFonts w:asciiTheme="minorEastAsia" w:eastAsiaTheme="minorEastAsia" w:hAnsiTheme="minorEastAsia" w:hint="eastAsia"/>
          <w:szCs w:val="21"/>
        </w:rPr>
        <w:t>有限公司</w:t>
      </w:r>
    </w:p>
    <w:p w:rsidR="004E35E4" w:rsidRPr="004C2EAC" w:rsidRDefault="00EE0BBB">
      <w:pPr>
        <w:spacing w:line="360" w:lineRule="auto"/>
        <w:ind w:firstLine="450"/>
        <w:jc w:val="right"/>
        <w:rPr>
          <w:rFonts w:asciiTheme="minorEastAsia" w:eastAsiaTheme="minorEastAsia" w:hAnsiTheme="minorEastAsia"/>
          <w:szCs w:val="21"/>
        </w:rPr>
      </w:pPr>
      <w:r w:rsidRPr="004C2EAC">
        <w:rPr>
          <w:rFonts w:asciiTheme="minorEastAsia" w:hAnsiTheme="minorEastAsia"/>
          <w:szCs w:val="21"/>
        </w:rPr>
        <w:t>2023年</w:t>
      </w:r>
      <w:r w:rsidR="007011CA">
        <w:rPr>
          <w:rFonts w:asciiTheme="minorEastAsia" w:hAnsiTheme="minorEastAsia"/>
          <w:szCs w:val="21"/>
        </w:rPr>
        <w:t>8月9日</w:t>
      </w:r>
    </w:p>
    <w:sectPr w:rsidR="004E35E4" w:rsidRPr="004C2EAC" w:rsidSect="00514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0C7" w:rsidRDefault="009170C7" w:rsidP="00B708BF">
      <w:r>
        <w:separator/>
      </w:r>
    </w:p>
  </w:endnote>
  <w:endnote w:type="continuationSeparator" w:id="0">
    <w:p w:rsidR="009170C7" w:rsidRDefault="009170C7" w:rsidP="00B708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0C7" w:rsidRDefault="009170C7" w:rsidP="00B708BF">
      <w:r>
        <w:separator/>
      </w:r>
    </w:p>
  </w:footnote>
  <w:footnote w:type="continuationSeparator" w:id="0">
    <w:p w:rsidR="009170C7" w:rsidRDefault="009170C7" w:rsidP="00B708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369FE"/>
    <w:rsid w:val="00001DC0"/>
    <w:rsid w:val="00003785"/>
    <w:rsid w:val="00004360"/>
    <w:rsid w:val="00004C2C"/>
    <w:rsid w:val="00077F90"/>
    <w:rsid w:val="000A3C6D"/>
    <w:rsid w:val="000C7B8D"/>
    <w:rsid w:val="000D46ED"/>
    <w:rsid w:val="000E3DA8"/>
    <w:rsid w:val="000F3E5D"/>
    <w:rsid w:val="00104C81"/>
    <w:rsid w:val="00125A7E"/>
    <w:rsid w:val="0012705B"/>
    <w:rsid w:val="00145474"/>
    <w:rsid w:val="0015168E"/>
    <w:rsid w:val="00171717"/>
    <w:rsid w:val="00197ACF"/>
    <w:rsid w:val="001A1BF8"/>
    <w:rsid w:val="001A7B66"/>
    <w:rsid w:val="001D4AA3"/>
    <w:rsid w:val="001F6B48"/>
    <w:rsid w:val="002241BC"/>
    <w:rsid w:val="002447E6"/>
    <w:rsid w:val="002453EF"/>
    <w:rsid w:val="002617B3"/>
    <w:rsid w:val="00275618"/>
    <w:rsid w:val="00280FDB"/>
    <w:rsid w:val="0028790A"/>
    <w:rsid w:val="002A3573"/>
    <w:rsid w:val="002D303B"/>
    <w:rsid w:val="002F470A"/>
    <w:rsid w:val="00305B06"/>
    <w:rsid w:val="00324C96"/>
    <w:rsid w:val="00392AB2"/>
    <w:rsid w:val="0039683B"/>
    <w:rsid w:val="003B14DB"/>
    <w:rsid w:val="003B2C54"/>
    <w:rsid w:val="003D0893"/>
    <w:rsid w:val="003D6009"/>
    <w:rsid w:val="003F1447"/>
    <w:rsid w:val="003F39F9"/>
    <w:rsid w:val="00426D50"/>
    <w:rsid w:val="00434743"/>
    <w:rsid w:val="004426BF"/>
    <w:rsid w:val="004550BB"/>
    <w:rsid w:val="00475453"/>
    <w:rsid w:val="00491585"/>
    <w:rsid w:val="004C2082"/>
    <w:rsid w:val="004C2EAC"/>
    <w:rsid w:val="004E35E4"/>
    <w:rsid w:val="005149AD"/>
    <w:rsid w:val="0052796C"/>
    <w:rsid w:val="0053591B"/>
    <w:rsid w:val="005369FE"/>
    <w:rsid w:val="00542FE6"/>
    <w:rsid w:val="00563296"/>
    <w:rsid w:val="00564E05"/>
    <w:rsid w:val="005653E5"/>
    <w:rsid w:val="00566756"/>
    <w:rsid w:val="00577765"/>
    <w:rsid w:val="005A7BB9"/>
    <w:rsid w:val="005B3AA5"/>
    <w:rsid w:val="005D0F58"/>
    <w:rsid w:val="005D4EA8"/>
    <w:rsid w:val="00616176"/>
    <w:rsid w:val="00616586"/>
    <w:rsid w:val="00655F32"/>
    <w:rsid w:val="006606CC"/>
    <w:rsid w:val="00663355"/>
    <w:rsid w:val="0069249F"/>
    <w:rsid w:val="00696B22"/>
    <w:rsid w:val="00697E9B"/>
    <w:rsid w:val="006A1FEC"/>
    <w:rsid w:val="006E364C"/>
    <w:rsid w:val="006F034D"/>
    <w:rsid w:val="006F3525"/>
    <w:rsid w:val="006F6804"/>
    <w:rsid w:val="007011CA"/>
    <w:rsid w:val="0072245B"/>
    <w:rsid w:val="0073212E"/>
    <w:rsid w:val="00735667"/>
    <w:rsid w:val="00754DC9"/>
    <w:rsid w:val="0076149F"/>
    <w:rsid w:val="0077279D"/>
    <w:rsid w:val="0077364E"/>
    <w:rsid w:val="00794B06"/>
    <w:rsid w:val="00794F1C"/>
    <w:rsid w:val="007A013D"/>
    <w:rsid w:val="007F07C2"/>
    <w:rsid w:val="008309AE"/>
    <w:rsid w:val="0083531D"/>
    <w:rsid w:val="008816AE"/>
    <w:rsid w:val="00883307"/>
    <w:rsid w:val="008D17AE"/>
    <w:rsid w:val="0090441E"/>
    <w:rsid w:val="009107E3"/>
    <w:rsid w:val="009170C7"/>
    <w:rsid w:val="00930056"/>
    <w:rsid w:val="0096491F"/>
    <w:rsid w:val="00964CD9"/>
    <w:rsid w:val="00971A4E"/>
    <w:rsid w:val="009734EC"/>
    <w:rsid w:val="00987A1F"/>
    <w:rsid w:val="009945FE"/>
    <w:rsid w:val="009B5421"/>
    <w:rsid w:val="009C78E6"/>
    <w:rsid w:val="00A0257D"/>
    <w:rsid w:val="00A2141B"/>
    <w:rsid w:val="00A423C7"/>
    <w:rsid w:val="00A53541"/>
    <w:rsid w:val="00A61921"/>
    <w:rsid w:val="00A63969"/>
    <w:rsid w:val="00A83696"/>
    <w:rsid w:val="00A90286"/>
    <w:rsid w:val="00A96541"/>
    <w:rsid w:val="00A96D5B"/>
    <w:rsid w:val="00AC10E3"/>
    <w:rsid w:val="00AF3D72"/>
    <w:rsid w:val="00B164EB"/>
    <w:rsid w:val="00B22903"/>
    <w:rsid w:val="00B3016B"/>
    <w:rsid w:val="00B33EF1"/>
    <w:rsid w:val="00B36B3F"/>
    <w:rsid w:val="00B535D3"/>
    <w:rsid w:val="00B57704"/>
    <w:rsid w:val="00B708BF"/>
    <w:rsid w:val="00B8275F"/>
    <w:rsid w:val="00B92297"/>
    <w:rsid w:val="00BA54AE"/>
    <w:rsid w:val="00BD7132"/>
    <w:rsid w:val="00C05673"/>
    <w:rsid w:val="00C225F8"/>
    <w:rsid w:val="00C412B3"/>
    <w:rsid w:val="00C623A1"/>
    <w:rsid w:val="00C62A82"/>
    <w:rsid w:val="00CB6722"/>
    <w:rsid w:val="00CE6C34"/>
    <w:rsid w:val="00D34F4E"/>
    <w:rsid w:val="00D655AC"/>
    <w:rsid w:val="00D726FA"/>
    <w:rsid w:val="00D80A3E"/>
    <w:rsid w:val="00D82616"/>
    <w:rsid w:val="00DB4F6D"/>
    <w:rsid w:val="00DC6DC7"/>
    <w:rsid w:val="00DF78E0"/>
    <w:rsid w:val="00E03585"/>
    <w:rsid w:val="00E16C8D"/>
    <w:rsid w:val="00E40291"/>
    <w:rsid w:val="00E47653"/>
    <w:rsid w:val="00E66EDB"/>
    <w:rsid w:val="00E8092E"/>
    <w:rsid w:val="00EC0C41"/>
    <w:rsid w:val="00ED35C4"/>
    <w:rsid w:val="00EE0BBB"/>
    <w:rsid w:val="00F01515"/>
    <w:rsid w:val="00F102AC"/>
    <w:rsid w:val="00F1477B"/>
    <w:rsid w:val="00F209FE"/>
    <w:rsid w:val="00F33D76"/>
    <w:rsid w:val="00F54D0B"/>
    <w:rsid w:val="00F54DF9"/>
    <w:rsid w:val="00F566E5"/>
    <w:rsid w:val="00F83884"/>
    <w:rsid w:val="00F84AD5"/>
    <w:rsid w:val="00F946CB"/>
    <w:rsid w:val="00FC3F22"/>
    <w:rsid w:val="00FC5626"/>
    <w:rsid w:val="00FD2FEC"/>
    <w:rsid w:val="00FE21CD"/>
    <w:rsid w:val="00FE2F1E"/>
    <w:rsid w:val="00FF2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1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708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708B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708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708BF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542FE6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542F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42FE6"/>
    <w:rPr>
      <w:kern w:val="2"/>
      <w:sz w:val="18"/>
      <w:szCs w:val="18"/>
    </w:rPr>
  </w:style>
  <w:style w:type="paragraph" w:styleId="a7">
    <w:name w:val="Normal (Web)"/>
    <w:basedOn w:val="a"/>
    <w:uiPriority w:val="99"/>
    <w:unhideWhenUsed/>
    <w:rsid w:val="00A535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B164E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B164E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B164EB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B164E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B164EB"/>
    <w:rPr>
      <w:b/>
      <w:bCs/>
      <w:kern w:val="2"/>
      <w:sz w:val="21"/>
      <w:szCs w:val="22"/>
    </w:rPr>
  </w:style>
  <w:style w:type="table" w:customStyle="1" w:styleId="dxjgtable">
    <w:name w:val="dxjg_table"/>
    <w:basedOn w:val="a1"/>
    <w:uiPriority w:val="99"/>
    <w:rsid w:val="003F14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writetable">
    <w:name w:val="write_table"/>
    <w:basedOn w:val="a1"/>
    <w:uiPriority w:val="99"/>
    <w:rsid w:val="00B3016B"/>
    <w:rPr>
      <w:sz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ffund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4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nfuser</dc:creator>
  <cp:keywords/>
  <dc:description/>
  <cp:lastModifiedBy>ZHONGM</cp:lastModifiedBy>
  <cp:revision>2</cp:revision>
  <dcterms:created xsi:type="dcterms:W3CDTF">2023-08-08T16:02:00Z</dcterms:created>
  <dcterms:modified xsi:type="dcterms:W3CDTF">2023-08-08T16:02:00Z</dcterms:modified>
</cp:coreProperties>
</file>