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B" w:rsidRDefault="004A6A5A">
      <w:pPr>
        <w:spacing w:line="360" w:lineRule="auto"/>
        <w:jc w:val="center"/>
        <w:rPr>
          <w:rFonts w:ascii="宋体" w:hAnsi="宋体" w:cs="Calibri"/>
          <w:sz w:val="44"/>
          <w:szCs w:val="44"/>
        </w:rPr>
      </w:pPr>
      <w:r>
        <w:rPr>
          <w:rFonts w:ascii="宋体" w:hAnsi="宋体" w:cs="Calibri" w:hint="eastAsia"/>
          <w:sz w:val="44"/>
          <w:szCs w:val="44"/>
        </w:rPr>
        <w:t>国寿安保基金管理有限公司关于旗下部分</w:t>
      </w:r>
      <w:r>
        <w:rPr>
          <w:rFonts w:ascii="宋体" w:hAnsi="宋体" w:cs="Calibri" w:hint="eastAsia"/>
          <w:bCs/>
          <w:sz w:val="44"/>
          <w:szCs w:val="44"/>
        </w:rPr>
        <w:t>基金</w:t>
      </w:r>
      <w:r>
        <w:rPr>
          <w:rFonts w:ascii="宋体" w:hAnsi="宋体" w:cs="Calibri" w:hint="eastAsia"/>
          <w:sz w:val="44"/>
          <w:szCs w:val="44"/>
        </w:rPr>
        <w:t>参加招商银行股份有限公司费率优惠活动的公告</w:t>
      </w:r>
    </w:p>
    <w:p w:rsidR="006C0D2B" w:rsidRDefault="006C0D2B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为答谢广大投资者长期以来的信任与支持，经与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Ansi="仿宋" w:hint="eastAsia"/>
          <w:sz w:val="32"/>
          <w:szCs w:val="32"/>
        </w:rPr>
        <w:t>股份有限公司</w:t>
      </w:r>
      <w:r>
        <w:rPr>
          <w:rFonts w:ascii="仿宋_GB2312" w:eastAsia="仿宋_GB2312" w:hint="eastAsia"/>
          <w:sz w:val="32"/>
          <w:szCs w:val="32"/>
        </w:rPr>
        <w:t>（以下简称“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”）协商一致，国寿</w:t>
      </w:r>
      <w:r>
        <w:rPr>
          <w:rFonts w:ascii="仿宋_GB2312" w:eastAsia="仿宋_GB2312" w:hint="eastAsia"/>
          <w:sz w:val="32"/>
          <w:szCs w:val="32"/>
        </w:rPr>
        <w:t>安保基金管理有限公司（以下简称“本公司”）决定</w:t>
      </w:r>
      <w:r>
        <w:rPr>
          <w:rFonts w:ascii="仿宋_GB2312" w:eastAsia="仿宋_GB2312" w:hAnsi="仿宋" w:hint="eastAsia"/>
          <w:sz w:val="32"/>
          <w:szCs w:val="32"/>
        </w:rPr>
        <w:t>自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14</w:t>
      </w:r>
      <w:r>
        <w:rPr>
          <w:rFonts w:ascii="仿宋_GB2312" w:eastAsia="仿宋_GB2312" w:hAnsi="仿宋"/>
          <w:sz w:val="32"/>
          <w:szCs w:val="32"/>
        </w:rPr>
        <w:t>日起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开展的费率优惠活动。现将有关事项公告如下：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适用基金：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、国寿安保智慧生活股票型证券投资基金（基金</w:t>
      </w:r>
      <w:r>
        <w:rPr>
          <w:rFonts w:ascii="仿宋_GB2312" w:eastAsia="仿宋_GB2312"/>
          <w:sz w:val="32"/>
          <w:szCs w:val="32"/>
        </w:rPr>
        <w:t>代码：</w:t>
      </w:r>
      <w:r>
        <w:rPr>
          <w:rFonts w:ascii="仿宋_GB2312" w:eastAsia="仿宋_GB2312" w:hint="eastAsia"/>
          <w:sz w:val="32"/>
          <w:szCs w:val="32"/>
        </w:rPr>
        <w:t>001672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、国寿安保强国智造灵活配置混合型证券投资基金（基金</w:t>
      </w:r>
      <w:r>
        <w:rPr>
          <w:rFonts w:ascii="仿宋_GB2312" w:eastAsia="仿宋_GB2312"/>
          <w:sz w:val="32"/>
          <w:szCs w:val="32"/>
        </w:rPr>
        <w:t>代码：</w:t>
      </w:r>
      <w:r>
        <w:rPr>
          <w:rFonts w:ascii="仿宋_GB2312" w:eastAsia="仿宋_GB2312" w:hint="eastAsia"/>
          <w:sz w:val="32"/>
          <w:szCs w:val="32"/>
        </w:rPr>
        <w:t>003131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、国寿安保华兴灵活配置混合型证券投资基金（基金</w:t>
      </w:r>
      <w:r>
        <w:rPr>
          <w:rFonts w:ascii="仿宋_GB2312" w:eastAsia="仿宋_GB2312"/>
          <w:sz w:val="32"/>
          <w:szCs w:val="32"/>
        </w:rPr>
        <w:t>代码：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5683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活动时间：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日起，活动截止日期以</w:t>
      </w:r>
      <w:r>
        <w:rPr>
          <w:rFonts w:ascii="仿宋_GB2312" w:eastAsia="仿宋_GB2312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公告为准。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费率优惠活动内容：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日起，凡通过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申购、定投上述基金的个人投资者、非个人投资者，享受申购、定投费率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lastRenderedPageBreak/>
        <w:t>折优惠，申购费率按笔收取固定金额的，不享受费率折扣优</w:t>
      </w:r>
      <w:r>
        <w:rPr>
          <w:rFonts w:ascii="仿宋_GB2312" w:eastAsia="仿宋_GB2312" w:hint="eastAsia"/>
          <w:sz w:val="32"/>
          <w:szCs w:val="32"/>
        </w:rPr>
        <w:t>惠。具体折扣费率以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公告为准。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如本公司新增通过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进行销售的基金产品，自该基金产品开放申购当日起，是否参与优惠活动，以</w:t>
      </w:r>
      <w:r>
        <w:rPr>
          <w:rFonts w:ascii="仿宋_GB2312" w:eastAsia="仿宋_GB2312" w:hAnsi="仿宋" w:hint="eastAsia"/>
          <w:sz w:val="32"/>
          <w:szCs w:val="32"/>
        </w:rPr>
        <w:t>招商银行</w:t>
      </w:r>
      <w:r>
        <w:rPr>
          <w:rFonts w:ascii="仿宋_GB2312" w:eastAsia="仿宋_GB2312" w:hint="eastAsia"/>
          <w:sz w:val="32"/>
          <w:szCs w:val="32"/>
        </w:rPr>
        <w:t>公告为准。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本优惠活动仅适用于处于正常申购期或申</w:t>
      </w:r>
      <w:r>
        <w:rPr>
          <w:rFonts w:ascii="仿宋_GB2312" w:eastAsia="仿宋_GB2312" w:hint="eastAsia"/>
          <w:sz w:val="32"/>
          <w:szCs w:val="32"/>
        </w:rPr>
        <w:t>购开放期基金产品日常申购手续费或定期定额投资手续费，不包括基金赎回、转换业务等其他业务的基金手续费。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投资者可通过以下渠道咨询详情：</w:t>
      </w:r>
    </w:p>
    <w:bookmarkEnd w:id="0"/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招商银行股份有限公司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客户服务电话：</w:t>
      </w:r>
      <w:r>
        <w:rPr>
          <w:rFonts w:ascii="仿宋_GB2312" w:eastAsia="仿宋_GB2312"/>
          <w:sz w:val="32"/>
          <w:szCs w:val="32"/>
        </w:rPr>
        <w:t>955</w:t>
      </w:r>
      <w:r>
        <w:rPr>
          <w:rFonts w:ascii="仿宋_GB2312" w:eastAsia="仿宋_GB2312" w:hint="eastAsia"/>
          <w:sz w:val="32"/>
          <w:szCs w:val="32"/>
        </w:rPr>
        <w:t>55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公司网站：</w:t>
      </w:r>
      <w:r>
        <w:rPr>
          <w:rFonts w:ascii="仿宋_GB2312" w:eastAsia="仿宋_GB2312" w:hint="eastAsia"/>
          <w:sz w:val="32"/>
          <w:szCs w:val="32"/>
        </w:rPr>
        <w:t>www.cmbchina.com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（二）国寿安保基金管理有限公司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客服电话</w:t>
      </w:r>
      <w:r>
        <w:rPr>
          <w:rFonts w:ascii="仿宋_GB2312" w:eastAsia="仿宋_GB2312" w:hint="eastAsia"/>
          <w:sz w:val="32"/>
          <w:szCs w:val="32"/>
        </w:rPr>
        <w:t>: 4009-258-258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公司网站：</w:t>
      </w:r>
      <w:hyperlink r:id="rId4" w:history="1">
        <w:r>
          <w:rPr>
            <w:rFonts w:ascii="仿宋_GB2312" w:eastAsia="仿宋_GB2312"/>
            <w:sz w:val="32"/>
            <w:szCs w:val="32"/>
          </w:rPr>
          <w:t>www.gsfunds.com.cn</w:t>
        </w:r>
      </w:hyperlink>
    </w:p>
    <w:p w:rsidR="006C0D2B" w:rsidRDefault="006C0D2B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风险提示：</w:t>
      </w:r>
    </w:p>
    <w:p w:rsidR="006C0D2B" w:rsidRDefault="004A6A5A">
      <w:pPr>
        <w:pStyle w:val="Default"/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承诺以诚实信用、勤勉尽责的原则管理和运用基金资产，但不保证基金一定盈利，也不保证最低收益。敬请投资人认真阅读基金合同、招募说明书等法律文件，并根据自身的风险承受能力选择适合自己的基金产品投资，注意基金投资风险。特此公告。</w:t>
      </w:r>
    </w:p>
    <w:p w:rsidR="006C0D2B" w:rsidRDefault="006C0D2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C0D2B" w:rsidRDefault="004A6A5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国寿安保基金管理有限公司</w:t>
      </w:r>
    </w:p>
    <w:p w:rsidR="006C0D2B" w:rsidRDefault="004A6A5A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sz w:val="32"/>
          <w:szCs w:val="32"/>
        </w:rPr>
        <w:t>〇</w:t>
      </w:r>
      <w:r>
        <w:rPr>
          <w:rFonts w:ascii="宋体" w:hAnsi="宋体" w:cs="宋体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九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C0D2B" w:rsidRDefault="006C0D2B"/>
    <w:sectPr w:rsidR="006C0D2B" w:rsidSect="006C0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djMjFmYmY2YTE3NGI2OTc5YmEzYWM0YWJlOTQyYjYifQ=="/>
  </w:docVars>
  <w:rsids>
    <w:rsidRoot w:val="0071321D"/>
    <w:rsid w:val="00000C50"/>
    <w:rsid w:val="000A53C4"/>
    <w:rsid w:val="000C716A"/>
    <w:rsid w:val="00126A24"/>
    <w:rsid w:val="0014006B"/>
    <w:rsid w:val="001551E9"/>
    <w:rsid w:val="001A2C8F"/>
    <w:rsid w:val="0023322F"/>
    <w:rsid w:val="002C2BB0"/>
    <w:rsid w:val="00327521"/>
    <w:rsid w:val="00357D0D"/>
    <w:rsid w:val="00372703"/>
    <w:rsid w:val="00383EC8"/>
    <w:rsid w:val="003B6533"/>
    <w:rsid w:val="003D4E93"/>
    <w:rsid w:val="003F2EDF"/>
    <w:rsid w:val="00406F7A"/>
    <w:rsid w:val="004200E8"/>
    <w:rsid w:val="0045406B"/>
    <w:rsid w:val="00497A00"/>
    <w:rsid w:val="004A130B"/>
    <w:rsid w:val="004A6A5A"/>
    <w:rsid w:val="00550B95"/>
    <w:rsid w:val="00605B19"/>
    <w:rsid w:val="0060788E"/>
    <w:rsid w:val="00666653"/>
    <w:rsid w:val="00683226"/>
    <w:rsid w:val="006B478F"/>
    <w:rsid w:val="006C0D2B"/>
    <w:rsid w:val="00710BF6"/>
    <w:rsid w:val="0071321D"/>
    <w:rsid w:val="00734175"/>
    <w:rsid w:val="0074387A"/>
    <w:rsid w:val="007F74EB"/>
    <w:rsid w:val="00837CD7"/>
    <w:rsid w:val="00853B4B"/>
    <w:rsid w:val="00896D37"/>
    <w:rsid w:val="008A2A91"/>
    <w:rsid w:val="008C4F1B"/>
    <w:rsid w:val="0091215D"/>
    <w:rsid w:val="00932671"/>
    <w:rsid w:val="009B02B4"/>
    <w:rsid w:val="009B7180"/>
    <w:rsid w:val="009D5DD2"/>
    <w:rsid w:val="00A50927"/>
    <w:rsid w:val="00B07F2C"/>
    <w:rsid w:val="00B158A8"/>
    <w:rsid w:val="00B22334"/>
    <w:rsid w:val="00B252B2"/>
    <w:rsid w:val="00B419AD"/>
    <w:rsid w:val="00B6148C"/>
    <w:rsid w:val="00B85AA8"/>
    <w:rsid w:val="00BA001F"/>
    <w:rsid w:val="00C43C53"/>
    <w:rsid w:val="00CE537D"/>
    <w:rsid w:val="00D6085A"/>
    <w:rsid w:val="00D73815"/>
    <w:rsid w:val="00EB0D02"/>
    <w:rsid w:val="177F332E"/>
    <w:rsid w:val="2B684379"/>
    <w:rsid w:val="371A6CB4"/>
    <w:rsid w:val="3A9D4590"/>
    <w:rsid w:val="3AE70733"/>
    <w:rsid w:val="46F27D84"/>
    <w:rsid w:val="4B6804E1"/>
    <w:rsid w:val="71C752E1"/>
    <w:rsid w:val="76C547FF"/>
    <w:rsid w:val="7EAB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C0D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C0D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C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C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C0D2B"/>
    <w:rPr>
      <w:b/>
      <w:bCs/>
    </w:rPr>
  </w:style>
  <w:style w:type="character" w:styleId="a8">
    <w:name w:val="Strong"/>
    <w:basedOn w:val="a0"/>
    <w:uiPriority w:val="22"/>
    <w:qFormat/>
    <w:rsid w:val="006C0D2B"/>
    <w:rPr>
      <w:b/>
      <w:bCs/>
    </w:rPr>
  </w:style>
  <w:style w:type="character" w:styleId="a9">
    <w:name w:val="Hyperlink"/>
    <w:uiPriority w:val="99"/>
    <w:semiHidden/>
    <w:unhideWhenUsed/>
    <w:qFormat/>
    <w:rsid w:val="006C0D2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C0D2B"/>
    <w:rPr>
      <w:sz w:val="21"/>
      <w:szCs w:val="21"/>
    </w:rPr>
  </w:style>
  <w:style w:type="paragraph" w:customStyle="1" w:styleId="Default">
    <w:name w:val="Default"/>
    <w:qFormat/>
    <w:rsid w:val="006C0D2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6C0D2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C0D2B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C0D2B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C0D2B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6C0D2B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C0D2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729</Characters>
  <Application>Microsoft Office Word</Application>
  <DocSecurity>4</DocSecurity>
  <Lines>6</Lines>
  <Paragraphs>1</Paragraphs>
  <ScaleCrop>false</ScaleCrop>
  <Company>CNSTOCK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王怡菲</dc:creator>
  <cp:lastModifiedBy>ZHONGM</cp:lastModifiedBy>
  <cp:revision>2</cp:revision>
  <dcterms:created xsi:type="dcterms:W3CDTF">2023-08-08T16:01:00Z</dcterms:created>
  <dcterms:modified xsi:type="dcterms:W3CDTF">2023-08-08T16:01:00Z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ABFCEACCFA8F49A2AEC1FD07FE39DA3C</vt:lpwstr>
  </property>
</Properties>
</file>