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B2C" w:rsidRDefault="00112B67">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华宝基金关于旗下部分基金新增中国中金财富证券有限公司为代销机构的公告</w:t>
      </w:r>
    </w:p>
    <w:p w:rsidR="00351B2C" w:rsidRDefault="00112B67">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）与中国中金财富证券有限公司（以下简称</w:t>
      </w:r>
      <w:r>
        <w:rPr>
          <w:rFonts w:ascii="宋体" w:eastAsia="宋体" w:hAnsi="宋体" w:cs="宋体"/>
          <w:sz w:val="21"/>
          <w:szCs w:val="21"/>
        </w:rPr>
        <w:t>“</w:t>
      </w:r>
      <w:r>
        <w:rPr>
          <w:rFonts w:ascii="宋体" w:eastAsia="宋体" w:hAnsi="宋体" w:cs="宋体"/>
          <w:sz w:val="21"/>
          <w:szCs w:val="21"/>
        </w:rPr>
        <w:t>中金财富</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2023</w:t>
      </w:r>
      <w:r>
        <w:rPr>
          <w:rFonts w:ascii="宋体" w:eastAsia="宋体" w:hAnsi="宋体" w:cs="宋体"/>
          <w:sz w:val="21"/>
          <w:szCs w:val="21"/>
        </w:rPr>
        <w:t>年</w:t>
      </w:r>
      <w:r>
        <w:rPr>
          <w:rFonts w:ascii="宋体" w:eastAsia="宋体" w:hAnsi="宋体" w:cs="宋体"/>
          <w:sz w:val="21"/>
          <w:szCs w:val="21"/>
        </w:rPr>
        <w:t>08</w:t>
      </w:r>
      <w:r>
        <w:rPr>
          <w:rFonts w:ascii="宋体" w:eastAsia="宋体" w:hAnsi="宋体" w:cs="宋体"/>
          <w:sz w:val="21"/>
          <w:szCs w:val="21"/>
        </w:rPr>
        <w:t>月</w:t>
      </w:r>
      <w:r>
        <w:rPr>
          <w:rFonts w:ascii="宋体" w:eastAsia="宋体" w:hAnsi="宋体" w:cs="宋体"/>
          <w:sz w:val="21"/>
          <w:szCs w:val="21"/>
        </w:rPr>
        <w:t>02</w:t>
      </w:r>
      <w:r>
        <w:rPr>
          <w:rFonts w:ascii="宋体" w:eastAsia="宋体" w:hAnsi="宋体" w:cs="宋体"/>
          <w:sz w:val="21"/>
          <w:szCs w:val="21"/>
        </w:rPr>
        <w:t>日起增加中金财富为以下适用基金的代销机构。</w:t>
      </w:r>
      <w:r>
        <w:rPr>
          <w:rFonts w:ascii="宋体" w:eastAsia="宋体" w:hAnsi="宋体" w:cs="宋体"/>
          <w:sz w:val="21"/>
          <w:szCs w:val="21"/>
        </w:rPr>
        <w:t xml:space="preserve"> </w:t>
      </w:r>
    </w:p>
    <w:p w:rsidR="00351B2C" w:rsidRDefault="00112B67">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b/>
                <w:bCs/>
                <w:color w:val="000000"/>
                <w:sz w:val="21"/>
                <w:szCs w:val="21"/>
              </w:rPr>
            </w:pPr>
            <w:r>
              <w:rPr>
                <w:rFonts w:ascii="宋体" w:eastAsia="宋体" w:hAnsi="宋体" w:cs="宋体"/>
                <w:b/>
                <w:bCs/>
                <w:color w:val="000000"/>
                <w:sz w:val="21"/>
                <w:szCs w:val="21"/>
              </w:rPr>
              <w:t>基金代码</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华宝生态中国混合型证券投资基金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016462</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华宝万物互联灵活配置混合型证券投资基金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016463</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华宝新起点灵活配置混合型证券投资基金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002111</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华宝未来主导产业灵活配置混合型证券投资基金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012919</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华宝沪深</w:t>
            </w:r>
            <w:r>
              <w:rPr>
                <w:rFonts w:ascii="宋体" w:eastAsia="宋体" w:hAnsi="宋体" w:cs="宋体"/>
                <w:color w:val="000000"/>
                <w:sz w:val="21"/>
                <w:szCs w:val="21"/>
              </w:rPr>
              <w:t>300</w:t>
            </w:r>
            <w:r>
              <w:rPr>
                <w:rFonts w:ascii="宋体" w:eastAsia="宋体" w:hAnsi="宋体" w:cs="宋体"/>
                <w:color w:val="000000"/>
                <w:sz w:val="21"/>
                <w:szCs w:val="21"/>
              </w:rPr>
              <w:t>指数增强型发起式证券投资基金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007404</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华宝新飞跃灵活配置混合型证券投资基金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004335</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华宝第三产业灵活配置混合型证券投资基金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004481</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华宝第三产业灵活配置混合型证券投资基金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012798</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华宝价值发现混合型证券投资基金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015614</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华宝绿色主题混合型证券投资基金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012799</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华宝科技先锋混合型证券投资基金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010842</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华宝宝丰高等级债券型发起式证券投资基金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006300</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13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华宝宝丰高等级债券型发起式证券投资基金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006301</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14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华宝大健康混合型证券投资基金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006881</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华宝大健康混合型证券投资基金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018529</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16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华宝消费升级混合型证券投资基金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007308</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17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华宝致远混合型证券投资基金（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008253</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18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华宝致远混合型证券投资基金（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008254</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19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华宝红利精选混合型证券投资基金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010841</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20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华宝双债增强债券型证券投资基金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011280</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21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华宝双债增强债券型证券投资基金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011281</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22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华宝安享混合型证券投资基金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011376</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23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华宝稳健目标风险三个月持有期混合型发起式基金中基金（</w:t>
            </w:r>
            <w:r>
              <w:rPr>
                <w:rFonts w:ascii="宋体" w:eastAsia="宋体" w:hAnsi="宋体" w:cs="宋体"/>
                <w:color w:val="000000"/>
                <w:sz w:val="21"/>
                <w:szCs w:val="21"/>
              </w:rPr>
              <w:t xml:space="preserve"> </w:t>
            </w:r>
            <w:r>
              <w:rPr>
                <w:rFonts w:ascii="宋体" w:eastAsia="宋体" w:hAnsi="宋体" w:cs="宋体"/>
                <w:color w:val="000000"/>
                <w:sz w:val="21"/>
                <w:szCs w:val="21"/>
              </w:rPr>
              <w:br/>
              <w:t>FOF</w:t>
            </w:r>
            <w:r>
              <w:rPr>
                <w:rFonts w:ascii="宋体" w:eastAsia="宋体" w:hAnsi="宋体" w:cs="宋体"/>
                <w:color w:val="000000"/>
                <w:sz w:val="21"/>
                <w:szCs w:val="21"/>
              </w:rPr>
              <w:t>）</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013150</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华宝中证全指农牧渔指数型发起式证券投资基金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013471</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25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华宝中证全指农牧渔指数型发起式证券投资基金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013472</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26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华宝安宜六个月持有期债券型证券投资基金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015069</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27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华宝安宜六个月持有期债券型证券投资基金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015070</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28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华宝安悦一年持有期混合型证券投资基金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015250</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29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华宝安悦一年持有期混合型证券投资基金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015251</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30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华宝宝隆债券型证券投资基金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015414</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31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华宝宝隆债券型证券投资基金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015415</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32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华宝专精特新混合型发起式证券投资基金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016380</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lastRenderedPageBreak/>
              <w:t>33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华宝专精特新混合型发起式证券投资基金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016381</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34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华宝安融六个月持有期债券型证券投资基金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016806</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35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华宝安融六个月持有期债券型证券投资基金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016807</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36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华宝宝通</w:t>
            </w:r>
            <w:r>
              <w:rPr>
                <w:rFonts w:ascii="宋体" w:eastAsia="宋体" w:hAnsi="宋体" w:cs="宋体"/>
                <w:color w:val="000000"/>
                <w:sz w:val="21"/>
                <w:szCs w:val="21"/>
              </w:rPr>
              <w:t>30</w:t>
            </w:r>
            <w:r>
              <w:rPr>
                <w:rFonts w:ascii="宋体" w:eastAsia="宋体" w:hAnsi="宋体" w:cs="宋体"/>
                <w:color w:val="000000"/>
                <w:sz w:val="21"/>
                <w:szCs w:val="21"/>
              </w:rPr>
              <w:t>天持有期短债债券型证券投资基金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017100</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37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华宝宝通</w:t>
            </w:r>
            <w:r>
              <w:rPr>
                <w:rFonts w:ascii="宋体" w:eastAsia="宋体" w:hAnsi="宋体" w:cs="宋体"/>
                <w:color w:val="000000"/>
                <w:sz w:val="21"/>
                <w:szCs w:val="21"/>
              </w:rPr>
              <w:t>30</w:t>
            </w:r>
            <w:r>
              <w:rPr>
                <w:rFonts w:ascii="宋体" w:eastAsia="宋体" w:hAnsi="宋体" w:cs="宋体"/>
                <w:color w:val="000000"/>
                <w:sz w:val="21"/>
                <w:szCs w:val="21"/>
              </w:rPr>
              <w:t>天持有期短债债券型证券投资基金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017101</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38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华宝标普石油天然气上游股票指数证券投资基金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007844</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39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华宝中证医疗交易型开放式指数证券投资基金联接基金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012323</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40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华宝新机遇灵活配置混合型证券投资基金</w:t>
            </w:r>
            <w:r>
              <w:rPr>
                <w:rFonts w:ascii="宋体" w:eastAsia="宋体" w:hAnsi="宋体" w:cs="宋体"/>
                <w:color w:val="000000"/>
                <w:sz w:val="21"/>
                <w:szCs w:val="21"/>
              </w:rP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003144</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41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华宝标普美国品质消费股票指数证券投资基金</w:t>
            </w:r>
            <w:r>
              <w:rPr>
                <w:rFonts w:ascii="宋体" w:eastAsia="宋体" w:hAnsi="宋体" w:cs="宋体"/>
                <w:color w:val="000000"/>
                <w:sz w:val="21"/>
                <w:szCs w:val="21"/>
              </w:rP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009975</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42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华宝宝康债券投资基金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007964</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43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华宝多策略增长开放式证券投资基金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015613</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44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华宝收益增长混合型证券投资基金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015573</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45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华宝可转债债券型证券投资基金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008817</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46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华宝中证银行交易型开放式指数证券投资基金联接基金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006697</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47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华宝资源优选混合型证券投资基金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011068</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w:t>
            </w:r>
            <w:r>
              <w:rPr>
                <w:rFonts w:ascii="宋体" w:eastAsia="宋体" w:hAnsi="宋体" w:cs="宋体"/>
                <w:color w:val="000000"/>
                <w:sz w:val="21"/>
                <w:szCs w:val="21"/>
              </w:rPr>
              <w:t>MSCI</w:t>
            </w:r>
            <w:r>
              <w:rPr>
                <w:rFonts w:ascii="宋体" w:eastAsia="宋体" w:hAnsi="宋体" w:cs="宋体"/>
                <w:color w:val="000000"/>
                <w:sz w:val="21"/>
                <w:szCs w:val="21"/>
              </w:rPr>
              <w:t>中国</w:t>
            </w:r>
            <w:r>
              <w:rPr>
                <w:rFonts w:ascii="宋体" w:eastAsia="宋体" w:hAnsi="宋体" w:cs="宋体"/>
                <w:color w:val="000000"/>
                <w:sz w:val="21"/>
                <w:szCs w:val="21"/>
              </w:rPr>
              <w:t>A</w:t>
            </w:r>
            <w:r>
              <w:rPr>
                <w:rFonts w:ascii="宋体" w:eastAsia="宋体" w:hAnsi="宋体" w:cs="宋体"/>
                <w:color w:val="000000"/>
                <w:sz w:val="21"/>
                <w:szCs w:val="21"/>
              </w:rPr>
              <w:t>股国际通</w:t>
            </w:r>
            <w:r>
              <w:rPr>
                <w:rFonts w:ascii="宋体" w:eastAsia="宋体" w:hAnsi="宋体" w:cs="宋体"/>
                <w:color w:val="000000"/>
                <w:sz w:val="21"/>
                <w:szCs w:val="21"/>
              </w:rPr>
              <w:t>ESG</w:t>
            </w:r>
            <w:r>
              <w:rPr>
                <w:rFonts w:ascii="宋体" w:eastAsia="宋体" w:hAnsi="宋体" w:cs="宋体"/>
                <w:color w:val="000000"/>
                <w:sz w:val="21"/>
                <w:szCs w:val="21"/>
              </w:rPr>
              <w:t>通用指数证券投资基金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012811</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49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华宝中证消费龙头指数证券投资基金</w:t>
            </w:r>
            <w:r>
              <w:rPr>
                <w:rFonts w:ascii="宋体" w:eastAsia="宋体" w:hAnsi="宋体" w:cs="宋体"/>
                <w:color w:val="000000"/>
                <w:sz w:val="21"/>
                <w:szCs w:val="21"/>
              </w:rP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009329</w:t>
            </w:r>
          </w:p>
        </w:tc>
      </w:tr>
      <w:tr w:rsidR="00351B2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rPr>
                <w:color w:val="000000"/>
                <w:sz w:val="21"/>
                <w:szCs w:val="21"/>
              </w:rPr>
            </w:pPr>
            <w:r>
              <w:rPr>
                <w:rFonts w:ascii="宋体" w:eastAsia="宋体" w:hAnsi="宋体" w:cs="宋体"/>
                <w:color w:val="000000"/>
                <w:sz w:val="21"/>
                <w:szCs w:val="21"/>
              </w:rPr>
              <w:t>华宝标普沪港深中国增强价值指数证券投资基金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51B2C" w:rsidRDefault="00112B67">
            <w:pPr>
              <w:jc w:val="center"/>
              <w:rPr>
                <w:color w:val="000000"/>
                <w:sz w:val="21"/>
                <w:szCs w:val="21"/>
              </w:rPr>
            </w:pPr>
            <w:r>
              <w:rPr>
                <w:rFonts w:ascii="宋体" w:eastAsia="宋体" w:hAnsi="宋体" w:cs="宋体"/>
                <w:color w:val="000000"/>
                <w:sz w:val="21"/>
                <w:szCs w:val="21"/>
              </w:rPr>
              <w:t>007397</w:t>
            </w:r>
          </w:p>
        </w:tc>
      </w:tr>
    </w:tbl>
    <w:p w:rsidR="00351B2C" w:rsidRDefault="00112B67">
      <w:pPr>
        <w:spacing w:before="210" w:after="210" w:line="560" w:lineRule="atLeast"/>
        <w:ind w:left="420"/>
        <w:rPr>
          <w:sz w:val="21"/>
          <w:szCs w:val="21"/>
        </w:rPr>
      </w:pPr>
      <w:r>
        <w:rPr>
          <w:rFonts w:ascii="宋体" w:eastAsia="宋体" w:hAnsi="宋体" w:cs="宋体"/>
          <w:sz w:val="21"/>
          <w:szCs w:val="21"/>
        </w:rPr>
        <w:t>二、投资者可到中金财富办理上述基金的开户、申赎及其他业务。投资者可以通过以下途径了解或咨询相关情况：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中国中金财富证券有限公司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95532</w:t>
      </w:r>
      <w:r>
        <w:rPr>
          <w:rFonts w:ascii="宋体" w:eastAsia="宋体" w:hAnsi="宋体" w:cs="宋体"/>
          <w:sz w:val="21"/>
          <w:szCs w:val="21"/>
        </w:rPr>
        <w:t>或</w:t>
      </w:r>
      <w:r>
        <w:rPr>
          <w:rFonts w:ascii="宋体" w:eastAsia="宋体" w:hAnsi="宋体" w:cs="宋体"/>
          <w:sz w:val="21"/>
          <w:szCs w:val="21"/>
        </w:rPr>
        <w:t>400-600-8008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www.ciccwm.com</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351B2C" w:rsidRDefault="00112B67">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w:t>
      </w:r>
      <w:r>
        <w:rPr>
          <w:rFonts w:ascii="宋体" w:eastAsia="宋体" w:hAnsi="宋体" w:cs="宋体"/>
          <w:sz w:val="21"/>
          <w:szCs w:val="21"/>
        </w:rPr>
        <w:t>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351B2C" w:rsidRDefault="00112B67">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351B2C" w:rsidRDefault="00112B67">
      <w:pPr>
        <w:spacing w:before="210" w:after="210" w:line="560" w:lineRule="atLeast"/>
        <w:jc w:val="right"/>
        <w:rPr>
          <w:sz w:val="21"/>
          <w:szCs w:val="21"/>
        </w:rPr>
      </w:pPr>
      <w:r>
        <w:rPr>
          <w:rFonts w:ascii="宋体" w:eastAsia="宋体" w:hAnsi="宋体" w:cs="宋体"/>
          <w:sz w:val="21"/>
          <w:szCs w:val="21"/>
        </w:rPr>
        <w:lastRenderedPageBreak/>
        <w:t>华宝基金管理有限公司</w:t>
      </w:r>
      <w:r>
        <w:rPr>
          <w:rFonts w:ascii="宋体" w:eastAsia="宋体" w:hAnsi="宋体" w:cs="宋体"/>
          <w:sz w:val="21"/>
          <w:szCs w:val="21"/>
        </w:rPr>
        <w:br/>
        <w:t>2023</w:t>
      </w:r>
      <w:r>
        <w:rPr>
          <w:rFonts w:ascii="宋体" w:eastAsia="宋体" w:hAnsi="宋体" w:cs="宋体"/>
          <w:sz w:val="21"/>
          <w:szCs w:val="21"/>
        </w:rPr>
        <w:t>年</w:t>
      </w:r>
      <w:r>
        <w:rPr>
          <w:rFonts w:ascii="宋体" w:eastAsia="宋体" w:hAnsi="宋体" w:cs="宋体"/>
          <w:sz w:val="21"/>
          <w:szCs w:val="21"/>
        </w:rPr>
        <w:t>08</w:t>
      </w:r>
      <w:r>
        <w:rPr>
          <w:rFonts w:ascii="宋体" w:eastAsia="宋体" w:hAnsi="宋体" w:cs="宋体"/>
          <w:sz w:val="21"/>
          <w:szCs w:val="21"/>
        </w:rPr>
        <w:t>月</w:t>
      </w:r>
      <w:r>
        <w:rPr>
          <w:rFonts w:ascii="宋体" w:eastAsia="宋体" w:hAnsi="宋体" w:cs="宋体"/>
          <w:sz w:val="21"/>
          <w:szCs w:val="21"/>
        </w:rPr>
        <w:t>02</w:t>
      </w:r>
      <w:r>
        <w:rPr>
          <w:rFonts w:ascii="宋体" w:eastAsia="宋体" w:hAnsi="宋体" w:cs="宋体"/>
          <w:sz w:val="21"/>
          <w:szCs w:val="21"/>
        </w:rPr>
        <w:t>日</w:t>
      </w:r>
      <w:r>
        <w:rPr>
          <w:rFonts w:ascii="宋体" w:eastAsia="宋体" w:hAnsi="宋体" w:cs="宋体"/>
          <w:sz w:val="21"/>
          <w:szCs w:val="21"/>
        </w:rPr>
        <w:t xml:space="preserve"> </w:t>
      </w:r>
    </w:p>
    <w:p w:rsidR="00351B2C" w:rsidRDefault="00351B2C">
      <w:pPr>
        <w:spacing w:before="240" w:after="240"/>
      </w:pPr>
    </w:p>
    <w:sectPr w:rsidR="00351B2C" w:rsidSect="00351B2C">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B2C" w:rsidRDefault="00351B2C" w:rsidP="00351B2C">
      <w:r>
        <w:separator/>
      </w:r>
    </w:p>
  </w:endnote>
  <w:endnote w:type="continuationSeparator" w:id="0">
    <w:p w:rsidR="00351B2C" w:rsidRDefault="00351B2C" w:rsidP="00351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B2C" w:rsidRDefault="00351B2C">
    <w:pPr>
      <w:jc w:val="center"/>
      <w:rPr>
        <w:sz w:val="20"/>
      </w:rPr>
    </w:pPr>
    <w:r>
      <w:rPr>
        <w:sz w:val="20"/>
      </w:rPr>
      <w:fldChar w:fldCharType="begin"/>
    </w:r>
    <w:r w:rsidR="00112B67">
      <w:rPr>
        <w:rFonts w:ascii="宋体" w:eastAsia="宋体" w:hAnsi="宋体" w:cs="宋体"/>
        <w:sz w:val="20"/>
      </w:rPr>
      <w:instrText>PAGE</w:instrText>
    </w:r>
    <w:r>
      <w:rPr>
        <w:sz w:val="20"/>
      </w:rPr>
      <w:fldChar w:fldCharType="separate"/>
    </w:r>
    <w:r w:rsidR="00112B67">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B2C" w:rsidRDefault="00351B2C" w:rsidP="00351B2C">
      <w:r>
        <w:separator/>
      </w:r>
    </w:p>
  </w:footnote>
  <w:footnote w:type="continuationSeparator" w:id="0">
    <w:p w:rsidR="00351B2C" w:rsidRDefault="00351B2C" w:rsidP="00351B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12B67"/>
    <w:rsid w:val="00351B2C"/>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B2C"/>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317</Words>
  <Characters>1808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华宝基金关于旗下部分基金新增中国中金财富证券有限公司为代销机构的公告</dc:title>
  <cp:lastModifiedBy>ZHONGM</cp:lastModifiedBy>
  <cp:revision>2</cp:revision>
  <dcterms:created xsi:type="dcterms:W3CDTF">2023-08-01T16:01:00Z</dcterms:created>
  <dcterms:modified xsi:type="dcterms:W3CDTF">2023-08-01T16:01:00Z</dcterms:modified>
</cp:coreProperties>
</file>