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308" w:rsidRPr="007A334A" w:rsidRDefault="001076CE">
      <w:pPr>
        <w:widowControl/>
        <w:spacing w:before="75" w:after="75" w:line="315" w:lineRule="atLeast"/>
        <w:jc w:val="center"/>
        <w:rPr>
          <w:rFonts w:ascii="Times New Roman" w:eastAsia="宋体" w:hAnsi="Times New Roman" w:cs="Times New Roman"/>
          <w:color w:val="000000"/>
          <w:kern w:val="0"/>
          <w:szCs w:val="21"/>
        </w:rPr>
      </w:pPr>
      <w:bookmarkStart w:id="0" w:name="_GoBack"/>
      <w:bookmarkEnd w:id="0"/>
      <w:r w:rsidRPr="007A334A">
        <w:rPr>
          <w:rFonts w:ascii="Times New Roman" w:eastAsia="宋体" w:hAnsi="Times New Roman" w:cs="Times New Roman"/>
          <w:b/>
          <w:bCs/>
          <w:color w:val="000000"/>
          <w:kern w:val="0"/>
          <w:sz w:val="28"/>
          <w:szCs w:val="28"/>
        </w:rPr>
        <w:t>国泰基金管理有限公司</w:t>
      </w:r>
      <w:r w:rsidR="0087353D" w:rsidRPr="007A334A">
        <w:rPr>
          <w:rFonts w:ascii="Times New Roman" w:eastAsia="宋体" w:hAnsi="Times New Roman" w:cs="Times New Roman"/>
          <w:b/>
          <w:bCs/>
          <w:color w:val="000000"/>
          <w:kern w:val="0"/>
          <w:sz w:val="28"/>
          <w:szCs w:val="28"/>
        </w:rPr>
        <w:t>旗下部分开放式基金参加</w:t>
      </w:r>
      <w:r w:rsidR="00C62881" w:rsidRPr="00C62881">
        <w:rPr>
          <w:rFonts w:ascii="Times New Roman" w:eastAsia="宋体" w:hAnsi="Times New Roman" w:cs="Times New Roman" w:hint="eastAsia"/>
          <w:b/>
          <w:bCs/>
          <w:color w:val="000000"/>
          <w:kern w:val="0"/>
          <w:sz w:val="28"/>
          <w:szCs w:val="28"/>
        </w:rPr>
        <w:t>招商银行股份有限公司</w:t>
      </w:r>
      <w:r w:rsidR="0087353D" w:rsidRPr="007A334A">
        <w:rPr>
          <w:rFonts w:ascii="Times New Roman" w:eastAsia="宋体" w:hAnsi="Times New Roman" w:cs="Times New Roman"/>
          <w:b/>
          <w:bCs/>
          <w:color w:val="000000"/>
          <w:kern w:val="0"/>
          <w:sz w:val="28"/>
          <w:szCs w:val="28"/>
        </w:rPr>
        <w:t>费率优惠活动的公告</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为满足广大投资者的理财需求，经</w:t>
      </w:r>
      <w:r w:rsidR="001076CE" w:rsidRPr="007A334A">
        <w:rPr>
          <w:rFonts w:ascii="Times New Roman" w:eastAsia="宋体" w:hAnsi="Times New Roman" w:cs="Times New Roman"/>
          <w:color w:val="000000"/>
          <w:kern w:val="0"/>
          <w:sz w:val="24"/>
          <w:szCs w:val="24"/>
        </w:rPr>
        <w:t>国泰基金管理有限公司</w:t>
      </w:r>
      <w:r w:rsidRPr="007A334A">
        <w:rPr>
          <w:rFonts w:ascii="Times New Roman" w:eastAsia="宋体" w:hAnsi="Times New Roman" w:cs="Times New Roman"/>
          <w:color w:val="000000"/>
          <w:kern w:val="0"/>
          <w:sz w:val="24"/>
          <w:szCs w:val="24"/>
        </w:rPr>
        <w:t>（以下简称</w:t>
      </w:r>
      <w:r w:rsidRPr="007A334A">
        <w:rPr>
          <w:rFonts w:ascii="Times New Roman" w:eastAsia="宋体" w:hAnsi="Times New Roman" w:cs="Times New Roman"/>
          <w:color w:val="000000"/>
          <w:kern w:val="0"/>
          <w:sz w:val="24"/>
          <w:szCs w:val="24"/>
        </w:rPr>
        <w:t>“</w:t>
      </w:r>
      <w:r w:rsidRPr="007A334A">
        <w:rPr>
          <w:rFonts w:ascii="Times New Roman" w:eastAsia="宋体" w:hAnsi="Times New Roman" w:cs="Times New Roman"/>
          <w:color w:val="000000"/>
          <w:kern w:val="0"/>
          <w:sz w:val="24"/>
          <w:szCs w:val="24"/>
        </w:rPr>
        <w:t>本公司</w:t>
      </w:r>
      <w:r w:rsidRPr="007A334A">
        <w:rPr>
          <w:rFonts w:ascii="Times New Roman" w:eastAsia="宋体" w:hAnsi="Times New Roman" w:cs="Times New Roman"/>
          <w:color w:val="000000"/>
          <w:kern w:val="0"/>
          <w:sz w:val="24"/>
          <w:szCs w:val="24"/>
        </w:rPr>
        <w:t>”</w:t>
      </w:r>
      <w:r w:rsidRPr="007A334A">
        <w:rPr>
          <w:rFonts w:ascii="Times New Roman" w:eastAsia="宋体" w:hAnsi="Times New Roman" w:cs="Times New Roman"/>
          <w:color w:val="000000"/>
          <w:kern w:val="0"/>
          <w:sz w:val="24"/>
          <w:szCs w:val="24"/>
        </w:rPr>
        <w:t>）与招商银行股份有限公司（以下简称</w:t>
      </w:r>
      <w:r w:rsidRPr="007A334A">
        <w:rPr>
          <w:rFonts w:ascii="Times New Roman" w:eastAsia="宋体" w:hAnsi="Times New Roman" w:cs="Times New Roman"/>
          <w:color w:val="000000"/>
          <w:kern w:val="0"/>
          <w:sz w:val="24"/>
          <w:szCs w:val="24"/>
        </w:rPr>
        <w:t>“</w:t>
      </w:r>
      <w:r w:rsidRPr="007A334A">
        <w:rPr>
          <w:rFonts w:ascii="Times New Roman" w:eastAsia="宋体" w:hAnsi="Times New Roman" w:cs="Times New Roman"/>
          <w:color w:val="000000"/>
          <w:kern w:val="0"/>
          <w:sz w:val="24"/>
          <w:szCs w:val="24"/>
        </w:rPr>
        <w:t>招商银行</w:t>
      </w:r>
      <w:r w:rsidRPr="007A334A">
        <w:rPr>
          <w:rFonts w:ascii="Times New Roman" w:eastAsia="宋体" w:hAnsi="Times New Roman" w:cs="Times New Roman"/>
          <w:color w:val="000000"/>
          <w:kern w:val="0"/>
          <w:sz w:val="24"/>
          <w:szCs w:val="24"/>
        </w:rPr>
        <w:t>”</w:t>
      </w:r>
      <w:r w:rsidRPr="007A334A">
        <w:rPr>
          <w:rFonts w:ascii="Times New Roman" w:eastAsia="宋体" w:hAnsi="Times New Roman" w:cs="Times New Roman"/>
          <w:color w:val="000000"/>
          <w:kern w:val="0"/>
          <w:sz w:val="24"/>
          <w:szCs w:val="24"/>
        </w:rPr>
        <w:t>）协商一致，自</w:t>
      </w:r>
      <w:r w:rsidR="001F3908" w:rsidRPr="007A334A">
        <w:rPr>
          <w:rFonts w:ascii="Times New Roman" w:eastAsia="宋体" w:hAnsi="Times New Roman" w:cs="Times New Roman"/>
          <w:color w:val="000000"/>
          <w:kern w:val="0"/>
          <w:sz w:val="24"/>
          <w:szCs w:val="24"/>
        </w:rPr>
        <w:t>2023</w:t>
      </w:r>
      <w:r w:rsidR="001F3908" w:rsidRPr="007A334A">
        <w:rPr>
          <w:rFonts w:ascii="Times New Roman" w:eastAsia="宋体" w:hAnsi="Times New Roman" w:cs="Times New Roman"/>
          <w:color w:val="000000"/>
          <w:kern w:val="0"/>
          <w:sz w:val="24"/>
          <w:szCs w:val="24"/>
        </w:rPr>
        <w:t>年</w:t>
      </w:r>
      <w:r w:rsidR="001F3908">
        <w:rPr>
          <w:rFonts w:ascii="Times New Roman" w:eastAsia="宋体" w:hAnsi="Times New Roman" w:cs="Times New Roman"/>
          <w:color w:val="000000"/>
          <w:kern w:val="0"/>
          <w:sz w:val="24"/>
          <w:szCs w:val="24"/>
        </w:rPr>
        <w:t>7</w:t>
      </w:r>
      <w:r w:rsidR="001076CE" w:rsidRPr="007A334A">
        <w:rPr>
          <w:rFonts w:ascii="Times New Roman" w:eastAsia="宋体" w:hAnsi="Times New Roman" w:cs="Times New Roman"/>
          <w:color w:val="000000"/>
          <w:kern w:val="0"/>
          <w:sz w:val="24"/>
          <w:szCs w:val="24"/>
        </w:rPr>
        <w:t>月</w:t>
      </w:r>
      <w:r w:rsidR="00C17884">
        <w:rPr>
          <w:rFonts w:ascii="Times New Roman" w:eastAsia="宋体" w:hAnsi="Times New Roman" w:cs="Times New Roman"/>
          <w:color w:val="000000"/>
          <w:kern w:val="0"/>
          <w:sz w:val="24"/>
          <w:szCs w:val="24"/>
        </w:rPr>
        <w:t>31</w:t>
      </w:r>
      <w:r w:rsidR="001076CE" w:rsidRPr="007A334A">
        <w:rPr>
          <w:rFonts w:ascii="Times New Roman" w:eastAsia="宋体" w:hAnsi="Times New Roman" w:cs="Times New Roman"/>
          <w:color w:val="000000"/>
          <w:kern w:val="0"/>
          <w:sz w:val="24"/>
          <w:szCs w:val="24"/>
        </w:rPr>
        <w:t>日</w:t>
      </w:r>
      <w:r w:rsidRPr="007A334A">
        <w:rPr>
          <w:rFonts w:ascii="Times New Roman" w:eastAsia="宋体" w:hAnsi="Times New Roman" w:cs="Times New Roman"/>
          <w:color w:val="000000"/>
          <w:kern w:val="0"/>
          <w:sz w:val="24"/>
          <w:szCs w:val="24"/>
        </w:rPr>
        <w:t>起，本公司旗下部分开放式基金参加招商银行申购及定期定额投资费率优惠活动。</w:t>
      </w:r>
    </w:p>
    <w:p w:rsidR="008C1308" w:rsidRPr="00E84E5E"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现</w:t>
      </w:r>
      <w:r w:rsidRPr="00E84E5E">
        <w:rPr>
          <w:rFonts w:ascii="Times New Roman" w:eastAsia="宋体" w:hAnsi="Times New Roman" w:cs="Times New Roman"/>
          <w:color w:val="000000"/>
          <w:kern w:val="0"/>
          <w:sz w:val="24"/>
          <w:szCs w:val="24"/>
        </w:rPr>
        <w:t>将有关事项公告如下：</w:t>
      </w:r>
    </w:p>
    <w:p w:rsidR="008C1308" w:rsidRPr="00E84E5E"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一、适用基金</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709"/>
        <w:gridCol w:w="1476"/>
        <w:gridCol w:w="6179"/>
      </w:tblGrid>
      <w:tr w:rsidR="008C1308" w:rsidRPr="00E84E5E" w:rsidTr="00363ACA">
        <w:trPr>
          <w:trHeight w:val="270"/>
          <w:jc w:val="center"/>
        </w:trPr>
        <w:tc>
          <w:tcPr>
            <w:tcW w:w="709" w:type="dxa"/>
            <w:noWrap/>
            <w:tcMar>
              <w:top w:w="0" w:type="dxa"/>
              <w:left w:w="108" w:type="dxa"/>
              <w:bottom w:w="0" w:type="dxa"/>
              <w:right w:w="108" w:type="dxa"/>
            </w:tcMar>
            <w:vAlign w:val="center"/>
          </w:tcPr>
          <w:p w:rsidR="008C1308" w:rsidRPr="00E84E5E" w:rsidRDefault="0087353D"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序号</w:t>
            </w:r>
          </w:p>
        </w:tc>
        <w:tc>
          <w:tcPr>
            <w:tcW w:w="1476" w:type="dxa"/>
            <w:tcMar>
              <w:top w:w="0" w:type="dxa"/>
              <w:left w:w="108" w:type="dxa"/>
              <w:bottom w:w="0" w:type="dxa"/>
              <w:right w:w="108" w:type="dxa"/>
            </w:tcMar>
            <w:vAlign w:val="center"/>
          </w:tcPr>
          <w:p w:rsidR="008C1308" w:rsidRPr="00E84E5E" w:rsidRDefault="0087353D"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基金代码</w:t>
            </w:r>
          </w:p>
        </w:tc>
        <w:tc>
          <w:tcPr>
            <w:tcW w:w="6179" w:type="dxa"/>
            <w:tcMar>
              <w:top w:w="0" w:type="dxa"/>
              <w:left w:w="108" w:type="dxa"/>
              <w:bottom w:w="0" w:type="dxa"/>
              <w:right w:w="108" w:type="dxa"/>
            </w:tcMar>
            <w:vAlign w:val="center"/>
          </w:tcPr>
          <w:p w:rsidR="008C1308" w:rsidRPr="00E84E5E" w:rsidRDefault="0087353D"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基金名称</w:t>
            </w:r>
          </w:p>
        </w:tc>
      </w:tr>
      <w:tr w:rsidR="00363ACA" w:rsidRPr="00E84E5E" w:rsidTr="00363ACA">
        <w:trPr>
          <w:trHeight w:val="270"/>
          <w:jc w:val="center"/>
        </w:trPr>
        <w:tc>
          <w:tcPr>
            <w:tcW w:w="709" w:type="dxa"/>
            <w:noWrap/>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1</w:t>
            </w:r>
          </w:p>
        </w:tc>
        <w:tc>
          <w:tcPr>
            <w:tcW w:w="1476"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160222</w:t>
            </w:r>
          </w:p>
        </w:tc>
        <w:tc>
          <w:tcPr>
            <w:tcW w:w="6179"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国泰国证食品饮料行业指数证券投资基金</w:t>
            </w:r>
            <w:r w:rsidRPr="00E84E5E">
              <w:rPr>
                <w:rFonts w:ascii="Times New Roman" w:eastAsia="宋体" w:hAnsi="Times New Roman" w:cs="Times New Roman"/>
                <w:color w:val="000000"/>
                <w:kern w:val="0"/>
                <w:sz w:val="24"/>
                <w:szCs w:val="24"/>
              </w:rPr>
              <w:t>（</w:t>
            </w:r>
            <w:r w:rsidRPr="00E84E5E">
              <w:rPr>
                <w:rFonts w:ascii="Times New Roman" w:eastAsia="宋体" w:hAnsi="Times New Roman" w:cs="Times New Roman"/>
                <w:color w:val="000000"/>
                <w:kern w:val="0"/>
                <w:sz w:val="24"/>
                <w:szCs w:val="24"/>
              </w:rPr>
              <w:t>A</w:t>
            </w:r>
            <w:r w:rsidRPr="00E84E5E">
              <w:rPr>
                <w:rFonts w:ascii="Times New Roman" w:eastAsia="宋体" w:hAnsi="Times New Roman" w:cs="Times New Roman"/>
                <w:color w:val="000000"/>
                <w:kern w:val="0"/>
                <w:sz w:val="24"/>
                <w:szCs w:val="24"/>
              </w:rPr>
              <w:t>类）</w:t>
            </w:r>
          </w:p>
        </w:tc>
      </w:tr>
      <w:tr w:rsidR="00363ACA" w:rsidRPr="00E84E5E" w:rsidTr="00363ACA">
        <w:trPr>
          <w:trHeight w:val="270"/>
          <w:jc w:val="center"/>
        </w:trPr>
        <w:tc>
          <w:tcPr>
            <w:tcW w:w="709" w:type="dxa"/>
            <w:noWrap/>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2</w:t>
            </w:r>
          </w:p>
        </w:tc>
        <w:tc>
          <w:tcPr>
            <w:tcW w:w="1476"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160221</w:t>
            </w:r>
          </w:p>
        </w:tc>
        <w:tc>
          <w:tcPr>
            <w:tcW w:w="6179"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国泰国证有色金属行业指数证券投资基金（</w:t>
            </w:r>
            <w:r w:rsidRPr="00E84E5E">
              <w:rPr>
                <w:rFonts w:ascii="Times New Roman" w:eastAsia="宋体" w:hAnsi="Times New Roman" w:cs="Times New Roman"/>
                <w:color w:val="000000"/>
                <w:sz w:val="24"/>
                <w:szCs w:val="24"/>
              </w:rPr>
              <w:t>A</w:t>
            </w:r>
            <w:r w:rsidRPr="00E84E5E">
              <w:rPr>
                <w:rFonts w:ascii="Times New Roman" w:eastAsia="宋体" w:hAnsi="Times New Roman" w:cs="Times New Roman"/>
                <w:color w:val="000000"/>
                <w:sz w:val="24"/>
                <w:szCs w:val="24"/>
              </w:rPr>
              <w:t>类）</w:t>
            </w:r>
          </w:p>
        </w:tc>
      </w:tr>
      <w:tr w:rsidR="00363ACA" w:rsidRPr="00E84E5E" w:rsidTr="00363ACA">
        <w:trPr>
          <w:trHeight w:val="270"/>
          <w:jc w:val="center"/>
        </w:trPr>
        <w:tc>
          <w:tcPr>
            <w:tcW w:w="709" w:type="dxa"/>
            <w:noWrap/>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3</w:t>
            </w:r>
          </w:p>
        </w:tc>
        <w:tc>
          <w:tcPr>
            <w:tcW w:w="1476"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011319</w:t>
            </w:r>
          </w:p>
        </w:tc>
        <w:tc>
          <w:tcPr>
            <w:tcW w:w="6179"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国泰上证综合交易型开放式指数证券投资基金发起式联接基金（</w:t>
            </w:r>
            <w:r w:rsidRPr="00E84E5E">
              <w:rPr>
                <w:rFonts w:ascii="Times New Roman" w:eastAsia="宋体" w:hAnsi="Times New Roman" w:cs="Times New Roman"/>
                <w:color w:val="000000"/>
                <w:sz w:val="24"/>
                <w:szCs w:val="24"/>
              </w:rPr>
              <w:t>A</w:t>
            </w:r>
            <w:r w:rsidRPr="00E84E5E">
              <w:rPr>
                <w:rFonts w:ascii="Times New Roman" w:eastAsia="宋体" w:hAnsi="Times New Roman" w:cs="Times New Roman"/>
                <w:color w:val="000000"/>
                <w:sz w:val="24"/>
                <w:szCs w:val="24"/>
              </w:rPr>
              <w:t>类）</w:t>
            </w:r>
          </w:p>
        </w:tc>
      </w:tr>
      <w:tr w:rsidR="00363ACA" w:rsidRPr="00E84E5E" w:rsidTr="00363ACA">
        <w:trPr>
          <w:trHeight w:val="270"/>
          <w:jc w:val="center"/>
        </w:trPr>
        <w:tc>
          <w:tcPr>
            <w:tcW w:w="709" w:type="dxa"/>
            <w:noWrap/>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4</w:t>
            </w:r>
          </w:p>
        </w:tc>
        <w:tc>
          <w:tcPr>
            <w:tcW w:w="1476"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012728</w:t>
            </w:r>
          </w:p>
        </w:tc>
        <w:tc>
          <w:tcPr>
            <w:tcW w:w="6179"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国泰中证动漫游戏交易型开放式指数证券投资基金发起式联接基金（</w:t>
            </w:r>
            <w:r w:rsidRPr="00E84E5E">
              <w:rPr>
                <w:rFonts w:ascii="Times New Roman" w:eastAsia="宋体" w:hAnsi="Times New Roman" w:cs="Times New Roman"/>
                <w:color w:val="000000"/>
                <w:sz w:val="24"/>
                <w:szCs w:val="24"/>
              </w:rPr>
              <w:t>A</w:t>
            </w:r>
            <w:r w:rsidRPr="00E84E5E">
              <w:rPr>
                <w:rFonts w:ascii="Times New Roman" w:eastAsia="宋体" w:hAnsi="Times New Roman" w:cs="Times New Roman"/>
                <w:color w:val="000000"/>
                <w:sz w:val="24"/>
                <w:szCs w:val="24"/>
              </w:rPr>
              <w:t>类）</w:t>
            </w:r>
          </w:p>
        </w:tc>
      </w:tr>
      <w:tr w:rsidR="00363ACA" w:rsidRPr="00E84E5E" w:rsidTr="00363ACA">
        <w:trPr>
          <w:trHeight w:val="270"/>
          <w:jc w:val="center"/>
        </w:trPr>
        <w:tc>
          <w:tcPr>
            <w:tcW w:w="709" w:type="dxa"/>
            <w:noWrap/>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5</w:t>
            </w:r>
          </w:p>
        </w:tc>
        <w:tc>
          <w:tcPr>
            <w:tcW w:w="1476"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012362</w:t>
            </w:r>
          </w:p>
        </w:tc>
        <w:tc>
          <w:tcPr>
            <w:tcW w:w="6179"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国泰中证全指证券公司交易型开放式指数证券投资基金发起式联接基金（</w:t>
            </w:r>
            <w:r w:rsidRPr="00E84E5E">
              <w:rPr>
                <w:rFonts w:ascii="Times New Roman" w:eastAsia="宋体" w:hAnsi="Times New Roman" w:cs="Times New Roman"/>
                <w:color w:val="000000"/>
                <w:sz w:val="24"/>
                <w:szCs w:val="24"/>
              </w:rPr>
              <w:t>A</w:t>
            </w:r>
            <w:r w:rsidRPr="00E84E5E">
              <w:rPr>
                <w:rFonts w:ascii="Times New Roman" w:eastAsia="宋体" w:hAnsi="Times New Roman" w:cs="Times New Roman"/>
                <w:color w:val="000000"/>
                <w:sz w:val="24"/>
                <w:szCs w:val="24"/>
              </w:rPr>
              <w:t>类）</w:t>
            </w:r>
          </w:p>
        </w:tc>
      </w:tr>
      <w:tr w:rsidR="00363ACA" w:rsidRPr="00E84E5E" w:rsidTr="00363ACA">
        <w:trPr>
          <w:trHeight w:val="270"/>
          <w:jc w:val="center"/>
        </w:trPr>
        <w:tc>
          <w:tcPr>
            <w:tcW w:w="709" w:type="dxa"/>
            <w:noWrap/>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6</w:t>
            </w:r>
          </w:p>
        </w:tc>
        <w:tc>
          <w:tcPr>
            <w:tcW w:w="1476"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012634</w:t>
            </w:r>
          </w:p>
        </w:tc>
        <w:tc>
          <w:tcPr>
            <w:tcW w:w="6179" w:type="dxa"/>
            <w:tcMar>
              <w:top w:w="0" w:type="dxa"/>
              <w:left w:w="108" w:type="dxa"/>
              <w:bottom w:w="0" w:type="dxa"/>
              <w:right w:w="108" w:type="dxa"/>
            </w:tcMar>
            <w:vAlign w:val="center"/>
          </w:tcPr>
          <w:p w:rsidR="00363ACA" w:rsidRPr="00E84E5E" w:rsidRDefault="00363ACA" w:rsidP="00363ACA">
            <w:pPr>
              <w:widowControl/>
              <w:spacing w:line="360" w:lineRule="auto"/>
              <w:jc w:val="center"/>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sz w:val="24"/>
                <w:szCs w:val="24"/>
              </w:rPr>
              <w:t>国泰中证医疗交易型开放式指数证券投资基金发起式联接基金（</w:t>
            </w:r>
            <w:r w:rsidRPr="00E84E5E">
              <w:rPr>
                <w:rFonts w:ascii="Times New Roman" w:eastAsia="宋体" w:hAnsi="Times New Roman" w:cs="Times New Roman"/>
                <w:color w:val="000000"/>
                <w:sz w:val="24"/>
                <w:szCs w:val="24"/>
              </w:rPr>
              <w:t>A</w:t>
            </w:r>
            <w:r w:rsidRPr="00E84E5E">
              <w:rPr>
                <w:rFonts w:ascii="Times New Roman" w:eastAsia="宋体" w:hAnsi="Times New Roman" w:cs="Times New Roman"/>
                <w:color w:val="000000"/>
                <w:sz w:val="24"/>
                <w:szCs w:val="24"/>
              </w:rPr>
              <w:t>类）</w:t>
            </w:r>
          </w:p>
        </w:tc>
      </w:tr>
    </w:tbl>
    <w:p w:rsidR="008C1308" w:rsidRPr="00E84E5E"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二、活动时间</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E84E5E">
        <w:rPr>
          <w:rFonts w:ascii="Times New Roman" w:eastAsia="宋体" w:hAnsi="Times New Roman" w:cs="Times New Roman"/>
          <w:color w:val="000000"/>
          <w:kern w:val="0"/>
          <w:sz w:val="24"/>
          <w:szCs w:val="24"/>
        </w:rPr>
        <w:t>费率优惠活动自</w:t>
      </w:r>
      <w:r w:rsidR="001F3908" w:rsidRPr="00E84E5E">
        <w:rPr>
          <w:rFonts w:ascii="Times New Roman" w:eastAsia="宋体" w:hAnsi="Times New Roman" w:cs="Times New Roman"/>
          <w:color w:val="000000"/>
          <w:kern w:val="0"/>
          <w:sz w:val="24"/>
          <w:szCs w:val="24"/>
        </w:rPr>
        <w:t>2023</w:t>
      </w:r>
      <w:r w:rsidR="001F3908" w:rsidRPr="00E84E5E">
        <w:rPr>
          <w:rFonts w:ascii="Times New Roman" w:eastAsia="宋体" w:hAnsi="Times New Roman" w:cs="Times New Roman"/>
          <w:color w:val="000000"/>
          <w:kern w:val="0"/>
          <w:sz w:val="24"/>
          <w:szCs w:val="24"/>
        </w:rPr>
        <w:t>年</w:t>
      </w:r>
      <w:r w:rsidR="001F3908" w:rsidRPr="00E84E5E">
        <w:rPr>
          <w:rFonts w:ascii="Times New Roman" w:eastAsia="宋体" w:hAnsi="Times New Roman" w:cs="Times New Roman"/>
          <w:color w:val="000000"/>
          <w:kern w:val="0"/>
          <w:sz w:val="24"/>
          <w:szCs w:val="24"/>
        </w:rPr>
        <w:t>7</w:t>
      </w:r>
      <w:r w:rsidR="001F3908" w:rsidRPr="00E84E5E">
        <w:rPr>
          <w:rFonts w:ascii="Times New Roman" w:eastAsia="宋体" w:hAnsi="Times New Roman" w:cs="Times New Roman"/>
          <w:color w:val="000000"/>
          <w:kern w:val="0"/>
          <w:sz w:val="24"/>
          <w:szCs w:val="24"/>
        </w:rPr>
        <w:t>月</w:t>
      </w:r>
      <w:r w:rsidR="00C17884">
        <w:rPr>
          <w:rFonts w:ascii="Times New Roman" w:eastAsia="宋体" w:hAnsi="Times New Roman" w:cs="Times New Roman"/>
          <w:color w:val="000000"/>
          <w:kern w:val="0"/>
          <w:sz w:val="24"/>
          <w:szCs w:val="24"/>
        </w:rPr>
        <w:t>31</w:t>
      </w:r>
      <w:r w:rsidR="001F3908" w:rsidRPr="00E84E5E">
        <w:rPr>
          <w:rFonts w:ascii="Times New Roman" w:eastAsia="宋体" w:hAnsi="Times New Roman" w:cs="Times New Roman"/>
          <w:color w:val="000000"/>
          <w:kern w:val="0"/>
          <w:sz w:val="24"/>
          <w:szCs w:val="24"/>
        </w:rPr>
        <w:t>日起</w:t>
      </w:r>
      <w:r w:rsidRPr="00E84E5E">
        <w:rPr>
          <w:rFonts w:ascii="Times New Roman" w:eastAsia="宋体" w:hAnsi="Times New Roman" w:cs="Times New Roman"/>
          <w:color w:val="000000"/>
          <w:kern w:val="0"/>
          <w:sz w:val="24"/>
          <w:szCs w:val="24"/>
        </w:rPr>
        <w:t>开展，暂不设截止日期</w:t>
      </w:r>
      <w:r w:rsidRPr="007A334A">
        <w:rPr>
          <w:rFonts w:ascii="Times New Roman" w:eastAsia="宋体" w:hAnsi="Times New Roman" w:cs="Times New Roman"/>
          <w:color w:val="000000"/>
          <w:kern w:val="0"/>
          <w:sz w:val="24"/>
          <w:szCs w:val="24"/>
        </w:rPr>
        <w:t>。若有变动，以招商银行相关公告为准。</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三、活动内容</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费率优惠活动期间，投资者通过招商银行手机银行、网银和网点柜台申购或定期定额投资上述适用基金，享有基金申购费率</w:t>
      </w:r>
      <w:r w:rsidRPr="007A334A">
        <w:rPr>
          <w:rFonts w:ascii="Times New Roman" w:eastAsia="宋体" w:hAnsi="Times New Roman" w:cs="Times New Roman"/>
          <w:color w:val="000000"/>
          <w:kern w:val="0"/>
          <w:sz w:val="24"/>
          <w:szCs w:val="24"/>
        </w:rPr>
        <w:t>1</w:t>
      </w:r>
      <w:r w:rsidRPr="007A334A">
        <w:rPr>
          <w:rFonts w:ascii="Times New Roman" w:eastAsia="宋体" w:hAnsi="Times New Roman" w:cs="Times New Roman"/>
          <w:color w:val="000000"/>
          <w:kern w:val="0"/>
          <w:sz w:val="24"/>
          <w:szCs w:val="24"/>
        </w:rPr>
        <w:t>折优惠，即实收申购费率＝原申购费率</w:t>
      </w:r>
      <w:r w:rsidRPr="007A334A">
        <w:rPr>
          <w:rFonts w:ascii="Times New Roman" w:eastAsia="宋体" w:hAnsi="Times New Roman" w:cs="Times New Roman"/>
          <w:color w:val="000000"/>
          <w:kern w:val="0"/>
          <w:sz w:val="24"/>
          <w:szCs w:val="24"/>
        </w:rPr>
        <w:t>×0.1</w:t>
      </w:r>
      <w:r w:rsidRPr="007A334A">
        <w:rPr>
          <w:rFonts w:ascii="Times New Roman" w:eastAsia="宋体" w:hAnsi="Times New Roman" w:cs="Times New Roman"/>
          <w:color w:val="000000"/>
          <w:kern w:val="0"/>
          <w:sz w:val="24"/>
          <w:szCs w:val="24"/>
        </w:rPr>
        <w:t>。</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上述适用基金的原申购费率参见各基金的相关法律文件及本公司发布的最新相关公告。</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lastRenderedPageBreak/>
        <w:t>四、重要提示</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1.</w:t>
      </w:r>
      <w:r w:rsidRPr="007A334A">
        <w:rPr>
          <w:rFonts w:ascii="Times New Roman" w:eastAsia="宋体" w:hAnsi="Times New Roman" w:cs="Times New Roman"/>
          <w:color w:val="000000"/>
          <w:kern w:val="0"/>
          <w:sz w:val="24"/>
          <w:szCs w:val="24"/>
        </w:rPr>
        <w:t>本公司所管理的尚未参加本优惠活动的开放式基金及今后发行的开放式基金是否参与此项优惠活动将根据具体情况确定。本优惠活动的规则以招商银行的规定为准。投资者欲了解基金产品的详细情况，请仔细阅读各基金的基金合同、招募说明书（更新）等法律文件。</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2.</w:t>
      </w:r>
      <w:r w:rsidRPr="007A334A">
        <w:rPr>
          <w:rFonts w:ascii="Times New Roman" w:eastAsia="宋体" w:hAnsi="Times New Roman" w:cs="Times New Roman"/>
          <w:color w:val="000000"/>
          <w:kern w:val="0"/>
          <w:sz w:val="24"/>
          <w:szCs w:val="24"/>
        </w:rPr>
        <w:t>本优惠活动仅适用于处于正常申购期或申购开放期基金产品日常申购手续费或定期定额投资手续费，不包括基金赎回、转换业务等其他业务的基金手续费。费率优惠活动期间，通过招商银行办理定期定额投资业务的投资者仅享有定期定额投资费率优惠，不同时享有申购费率优惠。</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3.</w:t>
      </w:r>
      <w:r w:rsidRPr="007A334A">
        <w:rPr>
          <w:rFonts w:ascii="Times New Roman" w:eastAsia="宋体" w:hAnsi="Times New Roman" w:cs="Times New Roman"/>
          <w:color w:val="000000"/>
          <w:kern w:val="0"/>
          <w:sz w:val="24"/>
          <w:szCs w:val="24"/>
        </w:rPr>
        <w:t>上述基金最新交易状态请关注本公司相关公告。</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4.</w:t>
      </w:r>
      <w:r w:rsidRPr="007A334A">
        <w:rPr>
          <w:rFonts w:ascii="Times New Roman" w:eastAsia="宋体" w:hAnsi="Times New Roman" w:cs="Times New Roman"/>
          <w:color w:val="000000"/>
          <w:kern w:val="0"/>
          <w:sz w:val="24"/>
          <w:szCs w:val="24"/>
        </w:rPr>
        <w:t>本公告的解释权归</w:t>
      </w:r>
      <w:r w:rsidR="00CE36D1">
        <w:rPr>
          <w:rFonts w:ascii="Times New Roman" w:eastAsia="宋体" w:hAnsi="Times New Roman" w:cs="Times New Roman" w:hint="eastAsia"/>
          <w:color w:val="000000"/>
          <w:kern w:val="0"/>
          <w:sz w:val="24"/>
          <w:szCs w:val="24"/>
        </w:rPr>
        <w:t>本公司</w:t>
      </w:r>
      <w:r w:rsidRPr="007A334A">
        <w:rPr>
          <w:rFonts w:ascii="Times New Roman" w:eastAsia="宋体" w:hAnsi="Times New Roman" w:cs="Times New Roman"/>
          <w:color w:val="000000"/>
          <w:kern w:val="0"/>
          <w:sz w:val="24"/>
          <w:szCs w:val="24"/>
        </w:rPr>
        <w:t>所有。</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五、投资者可通过以下途径咨询有关详情</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1.</w:t>
      </w:r>
      <w:r w:rsidR="007A334A" w:rsidRPr="007A334A">
        <w:rPr>
          <w:rFonts w:ascii="Times New Roman" w:eastAsia="宋体" w:hAnsi="Times New Roman" w:cs="Times New Roman"/>
        </w:rPr>
        <w:t xml:space="preserve"> </w:t>
      </w:r>
      <w:r w:rsidR="007A334A" w:rsidRPr="007A334A">
        <w:rPr>
          <w:rFonts w:ascii="Times New Roman" w:eastAsia="宋体" w:hAnsi="Times New Roman" w:cs="Times New Roman"/>
          <w:color w:val="000000"/>
          <w:kern w:val="0"/>
          <w:sz w:val="24"/>
          <w:szCs w:val="24"/>
        </w:rPr>
        <w:t>招商银行股份有限公司</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客服电话</w:t>
      </w:r>
      <w:r w:rsidRPr="007A334A">
        <w:rPr>
          <w:rFonts w:ascii="Times New Roman" w:eastAsia="宋体" w:hAnsi="Times New Roman" w:cs="Times New Roman"/>
          <w:color w:val="000000"/>
          <w:kern w:val="0"/>
          <w:sz w:val="24"/>
          <w:szCs w:val="24"/>
        </w:rPr>
        <w:t>：</w:t>
      </w:r>
      <w:r w:rsidRPr="007A334A">
        <w:rPr>
          <w:rFonts w:ascii="Times New Roman" w:eastAsia="宋体" w:hAnsi="Times New Roman" w:cs="Times New Roman"/>
          <w:color w:val="000000"/>
          <w:kern w:val="0"/>
          <w:sz w:val="24"/>
          <w:szCs w:val="24"/>
        </w:rPr>
        <w:t>95555</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网址：</w:t>
      </w:r>
      <w:r w:rsidRPr="007A334A">
        <w:rPr>
          <w:rFonts w:ascii="Times New Roman" w:eastAsia="宋体" w:hAnsi="Times New Roman" w:cs="Times New Roman"/>
          <w:color w:val="000000"/>
          <w:kern w:val="0"/>
          <w:sz w:val="24"/>
          <w:szCs w:val="24"/>
        </w:rPr>
        <w:t>www.cmbchina.com</w:t>
      </w: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2.</w:t>
      </w:r>
      <w:r w:rsidR="007A334A" w:rsidRPr="007A334A">
        <w:rPr>
          <w:rFonts w:ascii="Times New Roman" w:eastAsia="宋体" w:hAnsi="Times New Roman" w:cs="Times New Roman"/>
        </w:rPr>
        <w:t xml:space="preserve"> </w:t>
      </w:r>
      <w:r w:rsidR="007A334A" w:rsidRPr="007A334A">
        <w:rPr>
          <w:rFonts w:ascii="Times New Roman" w:eastAsia="宋体" w:hAnsi="Times New Roman" w:cs="Times New Roman"/>
          <w:color w:val="000000"/>
          <w:kern w:val="0"/>
          <w:sz w:val="24"/>
          <w:szCs w:val="24"/>
        </w:rPr>
        <w:t>国泰基金管理有限公司</w:t>
      </w:r>
    </w:p>
    <w:p w:rsidR="007A334A" w:rsidRPr="007A334A" w:rsidRDefault="007A334A" w:rsidP="007A334A">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客服电话：</w:t>
      </w:r>
      <w:r w:rsidRPr="007A334A">
        <w:rPr>
          <w:rFonts w:ascii="Times New Roman" w:eastAsia="宋体" w:hAnsi="Times New Roman" w:cs="Times New Roman"/>
          <w:color w:val="000000"/>
          <w:kern w:val="0"/>
          <w:sz w:val="24"/>
          <w:szCs w:val="24"/>
        </w:rPr>
        <w:t>400-888-8688</w:t>
      </w:r>
    </w:p>
    <w:p w:rsidR="008C1308" w:rsidRPr="007A334A" w:rsidRDefault="007A334A"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网址：</w:t>
      </w:r>
      <w:r w:rsidRPr="007A334A">
        <w:rPr>
          <w:rFonts w:ascii="Times New Roman" w:eastAsia="宋体" w:hAnsi="Times New Roman" w:cs="Times New Roman"/>
          <w:color w:val="000000"/>
          <w:kern w:val="0"/>
          <w:sz w:val="24"/>
          <w:szCs w:val="24"/>
        </w:rPr>
        <w:t>www.gtfund.com</w:t>
      </w:r>
    </w:p>
    <w:p w:rsidR="002C29E7" w:rsidRPr="007A334A" w:rsidRDefault="002C29E7" w:rsidP="002C29E7">
      <w:pPr>
        <w:widowControl/>
        <w:spacing w:line="360" w:lineRule="auto"/>
        <w:ind w:firstLineChars="200" w:firstLine="480"/>
        <w:rPr>
          <w:rFonts w:ascii="Times New Roman" w:eastAsia="宋体" w:hAnsi="Times New Roman" w:cs="Times New Roman"/>
          <w:color w:val="000000"/>
          <w:kern w:val="0"/>
          <w:sz w:val="24"/>
          <w:szCs w:val="24"/>
        </w:rPr>
      </w:pP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风险提示：</w:t>
      </w:r>
      <w:r w:rsidR="002C29E7" w:rsidRPr="007A334A">
        <w:rPr>
          <w:rFonts w:ascii="Times New Roman" w:eastAsia="宋体" w:hAnsi="Times New Roman" w:cs="Times New Roman"/>
          <w:color w:val="000000"/>
          <w:kern w:val="0"/>
          <w:sz w:val="24"/>
          <w:szCs w:val="24"/>
        </w:rPr>
        <w:t>本</w:t>
      </w:r>
      <w:r w:rsidR="00E537AD">
        <w:rPr>
          <w:rFonts w:ascii="Times New Roman" w:eastAsia="宋体" w:hAnsi="Times New Roman" w:cs="Times New Roman" w:hint="eastAsia"/>
          <w:color w:val="000000"/>
          <w:kern w:val="0"/>
          <w:sz w:val="24"/>
          <w:szCs w:val="24"/>
        </w:rPr>
        <w:t>公司</w:t>
      </w:r>
      <w:r w:rsidR="002C29E7" w:rsidRPr="007A334A">
        <w:rPr>
          <w:rFonts w:ascii="Times New Roman" w:eastAsia="宋体" w:hAnsi="Times New Roman" w:cs="Times New Roman"/>
          <w:color w:val="000000"/>
          <w:kern w:val="0"/>
          <w:sz w:val="24"/>
          <w:szCs w:val="24"/>
        </w:rPr>
        <w:t>承诺以诚实信用、勤勉尽责的原则管理和运用基金资产，但不保证基金一定盈利，也不保证最低收益。投资者投资于本</w:t>
      </w:r>
      <w:r w:rsidR="00E537AD">
        <w:rPr>
          <w:rFonts w:ascii="Times New Roman" w:eastAsia="宋体" w:hAnsi="Times New Roman" w:cs="Times New Roman" w:hint="eastAsia"/>
          <w:color w:val="000000"/>
          <w:kern w:val="0"/>
          <w:sz w:val="24"/>
          <w:szCs w:val="24"/>
        </w:rPr>
        <w:t>公司</w:t>
      </w:r>
      <w:r w:rsidR="002C29E7" w:rsidRPr="007A334A">
        <w:rPr>
          <w:rFonts w:ascii="Times New Roman" w:eastAsia="宋体" w:hAnsi="Times New Roman" w:cs="Times New Roman"/>
          <w:color w:val="000000"/>
          <w:kern w:val="0"/>
          <w:sz w:val="24"/>
          <w:szCs w:val="24"/>
        </w:rPr>
        <w:t>管理的基金时应认真阅读《基金合同》、《招募说明书》等法律文件，了解基金产品的详细情况，选择与自己风险识别能力和风险承受能力相匹配的基金，并注意投资风险。</w:t>
      </w:r>
    </w:p>
    <w:p w:rsidR="002C29E7" w:rsidRPr="007A334A" w:rsidRDefault="002C29E7" w:rsidP="002C29E7">
      <w:pPr>
        <w:widowControl/>
        <w:spacing w:line="360" w:lineRule="auto"/>
        <w:ind w:firstLineChars="200" w:firstLine="480"/>
        <w:rPr>
          <w:rFonts w:ascii="Times New Roman" w:eastAsia="宋体" w:hAnsi="Times New Roman" w:cs="Times New Roman"/>
          <w:color w:val="000000"/>
          <w:kern w:val="0"/>
          <w:sz w:val="24"/>
          <w:szCs w:val="24"/>
        </w:rPr>
      </w:pPr>
    </w:p>
    <w:p w:rsidR="008C1308" w:rsidRPr="007A334A" w:rsidRDefault="0087353D" w:rsidP="002C29E7">
      <w:pPr>
        <w:widowControl/>
        <w:spacing w:line="360" w:lineRule="auto"/>
        <w:ind w:firstLineChars="200" w:firstLine="480"/>
        <w:rPr>
          <w:rFonts w:ascii="Times New Roman" w:eastAsia="宋体" w:hAnsi="Times New Roman" w:cs="Times New Roman"/>
          <w:color w:val="000000"/>
          <w:kern w:val="0"/>
          <w:sz w:val="24"/>
          <w:szCs w:val="24"/>
        </w:rPr>
      </w:pPr>
      <w:r w:rsidRPr="007A334A">
        <w:rPr>
          <w:rFonts w:ascii="Times New Roman" w:eastAsia="宋体" w:hAnsi="Times New Roman" w:cs="Times New Roman"/>
          <w:color w:val="000000"/>
          <w:kern w:val="0"/>
          <w:sz w:val="24"/>
          <w:szCs w:val="24"/>
        </w:rPr>
        <w:t>特此公告。</w:t>
      </w:r>
    </w:p>
    <w:p w:rsidR="002C29E7" w:rsidRPr="007A334A" w:rsidRDefault="002C29E7" w:rsidP="002C29E7">
      <w:pPr>
        <w:widowControl/>
        <w:spacing w:line="360" w:lineRule="auto"/>
        <w:ind w:firstLineChars="200" w:firstLine="480"/>
        <w:rPr>
          <w:rFonts w:ascii="Times New Roman" w:eastAsia="宋体" w:hAnsi="Times New Roman" w:cs="Times New Roman"/>
          <w:color w:val="000000"/>
          <w:kern w:val="0"/>
          <w:sz w:val="24"/>
          <w:szCs w:val="24"/>
        </w:rPr>
      </w:pPr>
    </w:p>
    <w:p w:rsidR="008C1308" w:rsidRPr="007A334A" w:rsidRDefault="006A0160" w:rsidP="002C29E7">
      <w:pPr>
        <w:widowControl/>
        <w:spacing w:line="360" w:lineRule="auto"/>
        <w:ind w:firstLineChars="200" w:firstLine="480"/>
        <w:jc w:val="right"/>
        <w:rPr>
          <w:rFonts w:ascii="Times New Roman" w:eastAsia="宋体" w:hAnsi="Times New Roman" w:cs="Times New Roman"/>
          <w:color w:val="000000"/>
          <w:kern w:val="0"/>
          <w:sz w:val="24"/>
          <w:szCs w:val="24"/>
        </w:rPr>
      </w:pPr>
      <w:r w:rsidRPr="006A0160">
        <w:rPr>
          <w:rFonts w:ascii="Times New Roman" w:eastAsia="宋体" w:hAnsi="Times New Roman" w:cs="Times New Roman" w:hint="eastAsia"/>
          <w:color w:val="000000"/>
          <w:kern w:val="0"/>
          <w:sz w:val="24"/>
          <w:szCs w:val="24"/>
        </w:rPr>
        <w:t>国泰基金管理有限公司</w:t>
      </w:r>
    </w:p>
    <w:p w:rsidR="008C1308" w:rsidRDefault="001F3908" w:rsidP="002C29E7">
      <w:pPr>
        <w:widowControl/>
        <w:spacing w:line="360" w:lineRule="auto"/>
        <w:ind w:firstLineChars="200" w:firstLine="480"/>
        <w:jc w:val="right"/>
        <w:rPr>
          <w:rFonts w:ascii="Times New Roman" w:eastAsia="宋体" w:hAnsi="Times New Roman" w:cs="Times New Roman"/>
          <w:color w:val="000000"/>
          <w:kern w:val="0"/>
          <w:szCs w:val="21"/>
        </w:rPr>
      </w:pPr>
      <w:r>
        <w:rPr>
          <w:rFonts w:ascii="Times New Roman" w:eastAsia="宋体" w:hAnsi="Times New Roman" w:cs="Times New Roman"/>
          <w:color w:val="000000"/>
          <w:kern w:val="0"/>
          <w:sz w:val="24"/>
          <w:szCs w:val="24"/>
        </w:rPr>
        <w:t>2023</w:t>
      </w:r>
      <w:r>
        <w:rPr>
          <w:rFonts w:ascii="Times New Roman" w:eastAsia="宋体" w:hAnsi="Times New Roman" w:cs="Times New Roman" w:hint="eastAsia"/>
          <w:color w:val="000000"/>
          <w:kern w:val="0"/>
          <w:sz w:val="24"/>
          <w:szCs w:val="24"/>
        </w:rPr>
        <w:t>年</w:t>
      </w:r>
      <w:r>
        <w:rPr>
          <w:rFonts w:ascii="Times New Roman" w:eastAsia="宋体" w:hAnsi="Times New Roman" w:cs="Times New Roman" w:hint="eastAsia"/>
          <w:color w:val="000000"/>
          <w:kern w:val="0"/>
          <w:sz w:val="24"/>
          <w:szCs w:val="24"/>
        </w:rPr>
        <w:t>7</w:t>
      </w:r>
      <w:r>
        <w:rPr>
          <w:rFonts w:ascii="Times New Roman" w:eastAsia="宋体" w:hAnsi="Times New Roman" w:cs="Times New Roman" w:hint="eastAsia"/>
          <w:color w:val="000000"/>
          <w:kern w:val="0"/>
          <w:sz w:val="24"/>
          <w:szCs w:val="24"/>
        </w:rPr>
        <w:t>月</w:t>
      </w:r>
      <w:r w:rsidR="00761466">
        <w:rPr>
          <w:rFonts w:ascii="Times New Roman" w:eastAsia="宋体" w:hAnsi="Times New Roman" w:cs="Times New Roman"/>
          <w:color w:val="000000"/>
          <w:kern w:val="0"/>
          <w:sz w:val="24"/>
          <w:szCs w:val="24"/>
        </w:rPr>
        <w:t>27</w:t>
      </w:r>
      <w:r>
        <w:rPr>
          <w:rFonts w:ascii="Times New Roman" w:eastAsia="宋体" w:hAnsi="Times New Roman" w:cs="Times New Roman" w:hint="eastAsia"/>
          <w:color w:val="000000"/>
          <w:kern w:val="0"/>
          <w:sz w:val="24"/>
          <w:szCs w:val="24"/>
        </w:rPr>
        <w:t>日</w:t>
      </w:r>
    </w:p>
    <w:p w:rsidR="008C1308" w:rsidRDefault="008C1308"/>
    <w:sectPr w:rsidR="008C1308" w:rsidSect="00167E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18E" w:rsidRDefault="009A218E" w:rsidP="007B6B95">
      <w:r>
        <w:separator/>
      </w:r>
    </w:p>
  </w:endnote>
  <w:endnote w:type="continuationSeparator" w:id="0">
    <w:p w:rsidR="009A218E" w:rsidRDefault="009A218E" w:rsidP="007B6B9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18E" w:rsidRDefault="009A218E" w:rsidP="007B6B95">
      <w:r>
        <w:separator/>
      </w:r>
    </w:p>
  </w:footnote>
  <w:footnote w:type="continuationSeparator" w:id="0">
    <w:p w:rsidR="009A218E" w:rsidRDefault="009A218E" w:rsidP="007B6B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04F4"/>
    <w:rsid w:val="E3CD3E30"/>
    <w:rsid w:val="0002577D"/>
    <w:rsid w:val="00072902"/>
    <w:rsid w:val="001076CE"/>
    <w:rsid w:val="00167E1E"/>
    <w:rsid w:val="001A48B5"/>
    <w:rsid w:val="001F3908"/>
    <w:rsid w:val="002304F4"/>
    <w:rsid w:val="002C29E7"/>
    <w:rsid w:val="003524C5"/>
    <w:rsid w:val="00363ACA"/>
    <w:rsid w:val="0040567C"/>
    <w:rsid w:val="00587687"/>
    <w:rsid w:val="006A0160"/>
    <w:rsid w:val="006A290E"/>
    <w:rsid w:val="00761466"/>
    <w:rsid w:val="007A334A"/>
    <w:rsid w:val="007B6B95"/>
    <w:rsid w:val="0087353D"/>
    <w:rsid w:val="008B5B63"/>
    <w:rsid w:val="008C1308"/>
    <w:rsid w:val="009A218E"/>
    <w:rsid w:val="00B20667"/>
    <w:rsid w:val="00B434E3"/>
    <w:rsid w:val="00BC2C6B"/>
    <w:rsid w:val="00BE5EF2"/>
    <w:rsid w:val="00C17884"/>
    <w:rsid w:val="00C60FC4"/>
    <w:rsid w:val="00C62881"/>
    <w:rsid w:val="00CE36D1"/>
    <w:rsid w:val="00D66E64"/>
    <w:rsid w:val="00E537AD"/>
    <w:rsid w:val="00E84E5E"/>
    <w:rsid w:val="00EB577C"/>
    <w:rsid w:val="00FB3702"/>
    <w:rsid w:val="7FBF4A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E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167E1E"/>
    <w:rPr>
      <w:rFonts w:ascii="宋体" w:eastAsia="宋体" w:hAnsi="宋体" w:cs="宋体"/>
      <w:sz w:val="24"/>
      <w:szCs w:val="24"/>
    </w:rPr>
  </w:style>
  <w:style w:type="paragraph" w:styleId="a3">
    <w:name w:val="Balloon Text"/>
    <w:basedOn w:val="a"/>
    <w:link w:val="Char"/>
    <w:uiPriority w:val="99"/>
    <w:semiHidden/>
    <w:unhideWhenUsed/>
    <w:rsid w:val="001076CE"/>
    <w:rPr>
      <w:sz w:val="18"/>
      <w:szCs w:val="18"/>
    </w:rPr>
  </w:style>
  <w:style w:type="character" w:customStyle="1" w:styleId="Char">
    <w:name w:val="批注框文本 Char"/>
    <w:basedOn w:val="a0"/>
    <w:link w:val="a3"/>
    <w:uiPriority w:val="99"/>
    <w:semiHidden/>
    <w:rsid w:val="001076CE"/>
    <w:rPr>
      <w:kern w:val="2"/>
      <w:sz w:val="18"/>
      <w:szCs w:val="18"/>
    </w:rPr>
  </w:style>
  <w:style w:type="paragraph" w:styleId="a4">
    <w:name w:val="header"/>
    <w:basedOn w:val="a"/>
    <w:link w:val="Char0"/>
    <w:uiPriority w:val="99"/>
    <w:unhideWhenUsed/>
    <w:rsid w:val="007B6B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B6B95"/>
    <w:rPr>
      <w:kern w:val="2"/>
      <w:sz w:val="18"/>
      <w:szCs w:val="18"/>
    </w:rPr>
  </w:style>
  <w:style w:type="paragraph" w:styleId="a5">
    <w:name w:val="footer"/>
    <w:basedOn w:val="a"/>
    <w:link w:val="Char1"/>
    <w:uiPriority w:val="99"/>
    <w:unhideWhenUsed/>
    <w:rsid w:val="007B6B95"/>
    <w:pPr>
      <w:tabs>
        <w:tab w:val="center" w:pos="4153"/>
        <w:tab w:val="right" w:pos="8306"/>
      </w:tabs>
      <w:snapToGrid w:val="0"/>
      <w:jc w:val="left"/>
    </w:pPr>
    <w:rPr>
      <w:sz w:val="18"/>
      <w:szCs w:val="18"/>
    </w:rPr>
  </w:style>
  <w:style w:type="character" w:customStyle="1" w:styleId="Char1">
    <w:name w:val="页脚 Char"/>
    <w:basedOn w:val="a0"/>
    <w:link w:val="a5"/>
    <w:uiPriority w:val="99"/>
    <w:rsid w:val="007B6B95"/>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1007</Characters>
  <Application>Microsoft Office Word</Application>
  <DocSecurity>4</DocSecurity>
  <Lines>8</Lines>
  <Paragraphs>2</Paragraphs>
  <ScaleCrop>false</ScaleCrop>
  <Company>神州网信技术有限公司</Company>
  <LinksUpToDate>false</LinksUpToDate>
  <CharactersWithSpaces>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周嘉谊/01021500</dc:creator>
  <cp:lastModifiedBy>ZHONGM</cp:lastModifiedBy>
  <cp:revision>2</cp:revision>
  <dcterms:created xsi:type="dcterms:W3CDTF">2023-07-26T16:01:00Z</dcterms:created>
  <dcterms:modified xsi:type="dcterms:W3CDTF">2023-07-26T16:01:00Z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2052-5.3.0.7863</vt:lpwstr>
  </property>
  <property fmtid="{D5CDD505-2E9C-101B-9397-08002B2CF9AE}" pid="3" name="ICV">
    <vt:lpwstr>E23F0C7A7463427AE1166F64A1D73266_42</vt:lpwstr>
  </property>
</Properties>
</file>